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0.bmp" ContentType="image/x-ms-bmp"/>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Using Early Intonational Cues to Disambiguate Sentence Modality in L1 and L2 Spanish: An Eye-tracking Study</w:t>
      </w:r>
    </w:p>
    <w:p>
      <w:pPr>
        <w:pStyle w:val="Author"/>
      </w:pPr>
      <w:r>
        <w:t xml:space="preserve"> </w:t>
      </w:r>
    </w:p>
    <w:p>
      <w:pPr>
        <w:pStyle w:val="Author"/>
      </w:pPr>
      <w:r>
        <w:t xml:space="preserve">Robert Esposito</w:t>
      </w:r>
    </w:p>
    <w:p>
      <w:pPr>
        <w:pStyle w:val="Author"/>
      </w:pPr>
      <w:r>
        <w:t xml:space="preserve">Department of Spanish and Portuguese, Rutgers University</w:t>
      </w:r>
    </w:p>
    <w:p>
      <w:pPr>
        <w:pStyle w:val="BodyText"/>
      </w:pPr>
      <w:r>
        <w:t xml:space="preserve"> </w:t>
      </w:r>
    </w:p>
    <w:p>
      <w:pPr>
        <w:pStyle w:val="BodyText"/>
      </w:pPr>
      <w:r>
        <w:t xml:space="preserve"> </w:t>
      </w:r>
    </w:p>
    <w:bookmarkEnd w:id="20"/>
    <w:bookmarkStart w:id="22" w:name="author-note"/>
    <w:p>
      <w:pPr>
        <w:pStyle w:val="Heading1"/>
      </w:pPr>
      <w:r>
        <w:t xml:space="preserve">Author Note</w:t>
      </w:r>
    </w:p>
    <w:p>
      <w:pPr>
        <w:pStyle w:val="FirstParagraph"/>
      </w:pPr>
      <w:r>
        <w:t xml:space="preserve">The authors have no conflicts of interest to disclose.</w:t>
      </w:r>
    </w:p>
    <w:p>
      <w:pPr>
        <w:pStyle w:val="BodyText"/>
      </w:pPr>
      <w:r>
        <w:t xml:space="preserve">Correspondence concerning this article should be addressed to Robert Esposito, Department of Spanish and Portuguese, Rutgers University, 15 Seminary Pl., New Brunswick, NJ 8901, USA, Email:</w:t>
      </w:r>
      <w:r>
        <w:t xml:space="preserve"> </w:t>
      </w:r>
      <w:hyperlink r:id="rId21">
        <w:r>
          <w:rPr>
            <w:rStyle w:val="Hyperlink"/>
          </w:rPr>
          <w:t xml:space="preserve">rme70@rutgers.edu</w:t>
        </w:r>
      </w:hyperlink>
    </w:p>
    <w:p>
      <w:r>
        <w:br w:type="page"/>
      </w:r>
    </w:p>
    <w:bookmarkEnd w:id="22"/>
    <w:bookmarkStart w:id="23" w:name="abstract"/>
    <w:p>
      <w:pPr>
        <w:pStyle w:val="Heading1"/>
      </w:pPr>
      <w:r>
        <w:t xml:space="preserve">Abstract</w:t>
      </w:r>
    </w:p>
    <w:p>
      <w:pPr>
        <w:pStyle w:val="AbstractFirstParagraph"/>
      </w:pPr>
      <w:r>
        <w:t xml:space="preserve">Accurately parsing intonation is crucial for identifying sentence modality (i.e., declarative versus interrogative utterances) in Spanish. For example,</w:t>
      </w:r>
      <w:r>
        <w:t xml:space="preserve"> </w:t>
      </w:r>
      <w:r>
        <w:rPr>
          <w:i/>
          <w:iCs/>
        </w:rPr>
        <w:t xml:space="preserve">Mariano habla del tiempo</w:t>
      </w:r>
      <w:r>
        <w:t xml:space="preserve"> </w:t>
      </w:r>
      <w:r>
        <w:t xml:space="preserve">may variably be a statement (</w:t>
      </w:r>
      <w:r>
        <w:t xml:space="preserve">‘Mariano talks about the weather’</w:t>
      </w:r>
      <w:r>
        <w:t xml:space="preserve">) or a neutral information-seeking yes-no question (</w:t>
      </w:r>
      <w:r>
        <w:t xml:space="preserve">‘Does Mariano talk about the weather?’</w:t>
      </w:r>
      <w:r>
        <w:t xml:space="preserve">) depending on the intonation. Traditional analysis of Spanish intonation points to solely the final pitch movement as determining sentence modality</w:t>
      </w:r>
      <w:r>
        <w:t xml:space="preserve"> </w:t>
      </w:r>
      <w:r>
        <w:t xml:space="preserve">(</w:t>
      </w:r>
      <w:hyperlink w:anchor="ref-tomas1944manual">
        <w:r>
          <w:rPr>
            <w:rStyle w:val="Hyperlink"/>
          </w:rPr>
          <w:t xml:space="preserve">Tomás Navarro, 1944</w:t>
        </w:r>
      </w:hyperlink>
      <w:r>
        <w:t xml:space="preserve">)</w:t>
      </w:r>
      <w:r>
        <w:t xml:space="preserve">, but a recent gating experiment has demonstrated that L1 Spanish speakers can identify sentence modality by the first word</w:t>
      </w:r>
      <w:r>
        <w:t xml:space="preserve"> </w:t>
      </w:r>
      <w:r>
        <w:t xml:space="preserve">(</w:t>
      </w:r>
      <w:hyperlink w:anchor="ref-face2007role">
        <w:r>
          <w:rPr>
            <w:rStyle w:val="Hyperlink"/>
          </w:rPr>
          <w:t xml:space="preserve">Face, 2007</w:t>
        </w:r>
      </w:hyperlink>
      <w:r>
        <w:t xml:space="preserve">)</w:t>
      </w:r>
      <w:r>
        <w:t xml:space="preserve">. Humans are believed to integrate linguistic information incrementally to make predictions about future content</w:t>
      </w:r>
      <w:r>
        <w:t xml:space="preserve"> </w:t>
      </w:r>
      <w:r>
        <w:t xml:space="preserve">(</w:t>
      </w:r>
      <w:hyperlink w:anchor="ref-van2012prediction">
        <w:r>
          <w:rPr>
            <w:rStyle w:val="Hyperlink"/>
          </w:rPr>
          <w:t xml:space="preserve">Van Petten &amp; Luka, 2012</w:t>
        </w:r>
      </w:hyperlink>
      <w:r>
        <w:t xml:space="preserve">)</w:t>
      </w:r>
      <w:r>
        <w:t xml:space="preserve">, and it follows that Spanish speakers would use early intonational cues to predict sentence modality instead of waiting for the final pitch movement, but there has yet to have been on-line measures to determine if sentence modality is predicted during real-time processing based on intonatioanl cues. This study uses eye-tracking to investigate L1 Spanish speakers’ and L1 English L2 Spanish learners’ sensitivity to early intonational information for identifying sentence modality. Participants completed a two-alternative forced choice task in which they identified if an orally-delivered utterance was a question or not. Results of this study provide insight into understanding if either or both populations are sensitive to non-vital intonational information to predict sentence type. The findings of this study shed light on the incremental processing of intonational information as real-time sentence comprehension unfolds and provides information about which cues are recruited to make predictions.</w:t>
      </w:r>
    </w:p>
    <w:p>
      <w:pPr>
        <w:pStyle w:val="BodyText"/>
      </w:pPr>
      <w:r>
        <w:rPr>
          <w:i/>
          <w:iCs/>
        </w:rPr>
        <w:t xml:space="preserve">Keywords</w:t>
      </w:r>
      <w:r>
        <w:t xml:space="preserve">: psycholinguistics, intonation, prediction, eye-tracking</w:t>
      </w:r>
    </w:p>
    <w:p>
      <w:r>
        <w:br w:type="page"/>
      </w:r>
    </w:p>
    <w:bookmarkEnd w:id="23"/>
    <w:bookmarkStart w:id="28" w:name="firstheader"/>
    <w:p>
      <w:pPr>
        <w:pStyle w:val="Heading1"/>
      </w:pPr>
      <w:r>
        <w:t xml:space="preserve">Using Early Intonational Cues to Disambiguate Sentence Modality in L1 and L2 Spanish: An Eye-tracking Study</w:t>
      </w:r>
    </w:p>
    <w:p>
      <w:pPr>
        <w:pStyle w:val="FirstParagraph"/>
      </w:pPr>
      <w:r>
        <w:t xml:space="preserve">When listening to speech, humans are exposed to an acoustic signal that is seldom encoded in writing: fundamental frequency (F0). F0, modulated by how fast the vocal folds vibrate, is interpreted in human language as discrete pitch targets (high or low) and organized at the utterance-level to provide syntactic, pragmatic, and paralinguistic information</w:t>
      </w:r>
      <w:r>
        <w:t xml:space="preserve"> </w:t>
      </w:r>
      <w:r>
        <w:t xml:space="preserve">(</w:t>
      </w:r>
      <w:hyperlink w:anchor="ref-ladd2008intonational">
        <w:r>
          <w:rPr>
            <w:rStyle w:val="Hyperlink"/>
          </w:rPr>
          <w:t xml:space="preserve">Ladd, 2008</w:t>
        </w:r>
      </w:hyperlink>
      <w:r>
        <w:t xml:space="preserve">)</w:t>
      </w:r>
      <w:r>
        <w:t xml:space="preserve">. Both native speakers (L1 speakers) and second language learners (L2 speakers) must accurately produce or perceive intonation to prevent communicative breakdowns. For example, distinguishing a sarcastic exclamation and a genuinely complimentary one in English (e.g.,</w:t>
      </w:r>
      <w:r>
        <w:t xml:space="preserve"> </w:t>
      </w:r>
      <w:r>
        <w:t xml:space="preserve">“How smart she is!”</w:t>
      </w:r>
      <w:r>
        <w:t xml:space="preserve">) requires correct parsing of intonation, as the utterance is identical at both the lexical (word) and syntactic (word-order) levels</w:t>
      </w:r>
      <w:r>
        <w:t xml:space="preserve"> </w:t>
      </w:r>
      <w:r>
        <w:t xml:space="preserve">(</w:t>
      </w:r>
      <w:hyperlink w:anchor="ref-zhou2019detecting">
        <w:r>
          <w:rPr>
            <w:rStyle w:val="Hyperlink"/>
          </w:rPr>
          <w:t xml:space="preserve">Zhou et al., 2019</w:t>
        </w:r>
      </w:hyperlink>
      <w:r>
        <w:t xml:space="preserve">)</w:t>
      </w:r>
      <w:r>
        <w:t xml:space="preserve">.</w:t>
      </w:r>
    </w:p>
    <w:p>
      <w:pPr>
        <w:pStyle w:val="BodyText"/>
      </w:pPr>
      <w:r>
        <w:t xml:space="preserve">Even more quotidian, Spanish declaratives and yes-no questions (absolute interrogatives) are similarly distinguished only at the level of intonation:</w:t>
      </w:r>
      <w:r>
        <w:t xml:space="preserve"> </w:t>
      </w:r>
      <w:r>
        <w:rPr>
          <w:i/>
          <w:iCs/>
        </w:rPr>
        <w:t xml:space="preserve">Mariano habla del tiempo</w:t>
      </w:r>
      <w:r>
        <w:t xml:space="preserve"> </w:t>
      </w:r>
      <w:r>
        <w:t xml:space="preserve">“Mariano talks about the weather”</w:t>
      </w:r>
      <w:r>
        <w:t xml:space="preserve"> </w:t>
      </w:r>
      <w:r>
        <w:t xml:space="preserve">may variably be a statement or information-seeking (i.e., neutral) yes-no question depending solely on intonation. Traditionally, only the final F0 movement of the utterance is analyzed as providing the disambiguating cue to determine if such an utterance is a declarative or interrogative. However, as early as</w:t>
      </w:r>
      <w:r>
        <w:t xml:space="preserve"> </w:t>
      </w:r>
      <w:r>
        <w:t xml:space="preserve">(</w:t>
      </w:r>
      <w:hyperlink w:anchor="ref-tomas1944manual">
        <w:r>
          <w:rPr>
            <w:rStyle w:val="Hyperlink"/>
          </w:rPr>
          <w:t xml:space="preserve">Tomás Navarro, 1944</w:t>
        </w:r>
      </w:hyperlink>
      <w:r>
        <w:t xml:space="preserve">)</w:t>
      </w:r>
      <w:r>
        <w:t xml:space="preserve">, yes-no questions have been identified as having higher initial F0 than declaratives</w:t>
      </w:r>
      <w:r>
        <w:t xml:space="preserve"> </w:t>
      </w:r>
      <w:r>
        <w:t xml:space="preserve">(</w:t>
      </w:r>
      <w:hyperlink w:anchor="ref-quilis1993filologia">
        <w:r>
          <w:rPr>
            <w:rStyle w:val="Hyperlink"/>
          </w:rPr>
          <w:t xml:space="preserve">QUILIS, 1993</w:t>
        </w:r>
      </w:hyperlink>
      <w:r>
        <w:t xml:space="preserve">;</w:t>
      </w:r>
      <w:r>
        <w:t xml:space="preserve"> </w:t>
      </w:r>
      <w:hyperlink w:anchor="ref-verdugo2005aproximacion">
        <w:r>
          <w:rPr>
            <w:rStyle w:val="Hyperlink"/>
          </w:rPr>
          <w:t xml:space="preserve">Verdugo, 2005</w:t>
        </w:r>
      </w:hyperlink>
      <w:r>
        <w:t xml:space="preserve">)</w:t>
      </w:r>
      <w:r>
        <w:t xml:space="preserve">, as well as only have pitch accents on the initial and final words</w:t>
      </w:r>
      <w:r>
        <w:t xml:space="preserve"> </w:t>
      </w:r>
      <w:r>
        <w:t xml:space="preserve">(</w:t>
      </w:r>
      <w:hyperlink w:anchor="ref-prieto2004search">
        <w:r>
          <w:rPr>
            <w:rStyle w:val="Hyperlink"/>
          </w:rPr>
          <w:t xml:space="preserve">Prieto, 2004</w:t>
        </w:r>
      </w:hyperlink>
      <w:r>
        <w:t xml:space="preserve">)</w:t>
      </w:r>
      <w:r>
        <w:t xml:space="preserve">.</w:t>
      </w:r>
      <w:r>
        <w:t xml:space="preserve"> </w:t>
      </w:r>
      <w:r>
        <w:t xml:space="preserve">Face (</w:t>
      </w:r>
      <w:hyperlink w:anchor="ref-face2007role">
        <w:r>
          <w:rPr>
            <w:rStyle w:val="Hyperlink"/>
          </w:rPr>
          <w:t xml:space="preserve">2007</w:t>
        </w:r>
      </w:hyperlink>
      <w:r>
        <w:t xml:space="preserve">)</w:t>
      </w:r>
      <w:r>
        <w:t xml:space="preserve"> </w:t>
      </w:r>
      <w:r>
        <w:t xml:space="preserve">determined in an off-line gating experiment that L1 Spanish speakers can distinguish between these two sentence types as early as the first word, which encompasses the first F0 peak. While the final F0 movement strongly influenced participants’ judgement, it appears that L1 Spanish speakers can use early intonational cues to determine sentence modality (i.e., whether an utterance is a declarative or interrogative) before the final movement is reached.</w:t>
      </w:r>
    </w:p>
    <w:p>
      <w:pPr>
        <w:pStyle w:val="BodyText"/>
      </w:pPr>
      <w:r>
        <w:t xml:space="preserve">Although early intonation cues are available to L1 and L2 Spanish speakers to predict sentence modality</w:t>
      </w:r>
      <w:r>
        <w:t xml:space="preserve"> </w:t>
      </w:r>
      <w:r>
        <w:t xml:space="preserve">(</w:t>
      </w:r>
      <w:hyperlink w:anchor="ref-face2005f0">
        <w:r>
          <w:rPr>
            <w:rStyle w:val="Hyperlink"/>
          </w:rPr>
          <w:t xml:space="preserve">Face, 2005</w:t>
        </w:r>
      </w:hyperlink>
      <w:r>
        <w:t xml:space="preserve">,</w:t>
      </w:r>
      <w:r>
        <w:t xml:space="preserve"> </w:t>
      </w:r>
      <w:hyperlink w:anchor="ref-face2007role">
        <w:r>
          <w:rPr>
            <w:rStyle w:val="Hyperlink"/>
          </w:rPr>
          <w:t xml:space="preserve">2007</w:t>
        </w:r>
      </w:hyperlink>
      <w:r>
        <w:t xml:space="preserve">)</w:t>
      </w:r>
      <w:r>
        <w:t xml:space="preserve">, there has been no investigation to demonstrate if the cues are processed during on-line sentence comprehension to make predictions about sentence modality. Theoretical models of brain function suggest that the brain makes continuous predictions about future events based on Bayesian inferences</w:t>
      </w:r>
      <w:r>
        <w:t xml:space="preserve"> </w:t>
      </w:r>
      <w:r>
        <w:t xml:space="preserve">(</w:t>
      </w:r>
      <w:hyperlink w:anchor="ref-altmann1999incremental">
        <w:r>
          <w:rPr>
            <w:rStyle w:val="Hyperlink"/>
          </w:rPr>
          <w:t xml:space="preserve">Altmann &amp; Kamide, 1999</w:t>
        </w:r>
      </w:hyperlink>
      <w:r>
        <w:t xml:space="preserve">;</w:t>
      </w:r>
      <w:r>
        <w:t xml:space="preserve"> </w:t>
      </w:r>
      <w:hyperlink w:anchor="ref-bar2007proactive">
        <w:r>
          <w:rPr>
            <w:rStyle w:val="Hyperlink"/>
          </w:rPr>
          <w:t xml:space="preserve">Bar, 2007</w:t>
        </w:r>
      </w:hyperlink>
      <w:r>
        <w:t xml:space="preserve">;</w:t>
      </w:r>
      <w:r>
        <w:t xml:space="preserve"> </w:t>
      </w:r>
      <w:hyperlink w:anchor="ref-gruter2021prediction">
        <w:r>
          <w:rPr>
            <w:rStyle w:val="Hyperlink"/>
          </w:rPr>
          <w:t xml:space="preserve">Grüter &amp; Kaan, 2021</w:t>
        </w:r>
      </w:hyperlink>
      <w:r>
        <w:t xml:space="preserve">;</w:t>
      </w:r>
      <w:r>
        <w:t xml:space="preserve"> </w:t>
      </w:r>
      <w:hyperlink w:anchor="ref-lee2003hierarchical">
        <w:r>
          <w:rPr>
            <w:rStyle w:val="Hyperlink"/>
          </w:rPr>
          <w:t xml:space="preserve">Lee &amp; Mumford, 2003</w:t>
        </w:r>
      </w:hyperlink>
      <w:r>
        <w:t xml:space="preserve">;</w:t>
      </w:r>
      <w:r>
        <w:t xml:space="preserve"> </w:t>
      </w:r>
      <w:hyperlink w:anchor="ref-van2012prediction">
        <w:r>
          <w:rPr>
            <w:rStyle w:val="Hyperlink"/>
          </w:rPr>
          <w:t xml:space="preserve">Van Petten &amp; Luka, 2012</w:t>
        </w:r>
      </w:hyperlink>
      <w:r>
        <w:t xml:space="preserve">)</w:t>
      </w:r>
      <w:r>
        <w:t xml:space="preserve">. It would be expected, then, that L1 Spanish and</w:t>
      </w:r>
      <w:r>
        <w:t xml:space="preserve"> </w:t>
      </w:r>
      <w:r>
        <w:t xml:space="preserve">“proficient”</w:t>
      </w:r>
      <w:r>
        <w:t xml:space="preserve"> </w:t>
      </w:r>
      <w:r>
        <w:t xml:space="preserve">(that is, native-like) L2 Spanish speakers would recruit intonational information as sentence processing unfolds to predict sentence modality.</w:t>
      </w:r>
    </w:p>
    <w:p>
      <w:pPr>
        <w:pStyle w:val="BodyText"/>
      </w:pPr>
      <w:r>
        <w:t xml:space="preserve">The present study aims to determine if L1 and L2 Spanish speakers are sensitive to the early intonational cues identified by</w:t>
      </w:r>
      <w:r>
        <w:t xml:space="preserve"> </w:t>
      </w:r>
      <w:r>
        <w:t xml:space="preserve">Face (</w:t>
      </w:r>
      <w:hyperlink w:anchor="ref-face2007role">
        <w:r>
          <w:rPr>
            <w:rStyle w:val="Hyperlink"/>
          </w:rPr>
          <w:t xml:space="preserve">2007</w:t>
        </w:r>
      </w:hyperlink>
      <w:r>
        <w:t xml:space="preserve">)</w:t>
      </w:r>
      <w:r>
        <w:t xml:space="preserve"> </w:t>
      </w:r>
      <w:r>
        <w:t xml:space="preserve">and others during on-line sentence processing using eye-tracking while participants complete a two-alternative forced choice (2AFC) task. The results will shed light on the weighting of early intonational cues compared to the final F0 movement in their usefulness to predicting sentence modality during real-time processing</w:t>
      </w:r>
      <w:r>
        <w:t xml:space="preserve"> </w:t>
      </w:r>
      <w:r>
        <w:t xml:space="preserve">(</w:t>
      </w:r>
      <w:hyperlink w:anchor="ref-roettger2019evidential">
        <w:r>
          <w:rPr>
            <w:rStyle w:val="Hyperlink"/>
          </w:rPr>
          <w:t xml:space="preserve">Roettger &amp; Franke, 2019</w:t>
        </w:r>
      </w:hyperlink>
      <w:r>
        <w:t xml:space="preserve">)</w:t>
      </w:r>
      <w:r>
        <w:t xml:space="preserve">.</w:t>
      </w:r>
    </w:p>
    <w:bookmarkStart w:id="24" w:name="Xf5e005239be0f09ecf61a7fe54e6e11906c051e"/>
    <w:p>
      <w:pPr>
        <w:pStyle w:val="Heading2"/>
      </w:pPr>
      <w:r>
        <w:t xml:space="preserve">Early Cues to Sentence Modality in Spanish</w:t>
      </w:r>
    </w:p>
    <w:p>
      <w:pPr>
        <w:pStyle w:val="FirstParagraph"/>
      </w:pPr>
      <w:r>
        <w:t xml:space="preserve">Broadly speaking, intonation can be used to signal speech act marking, information status, belief status, and politeness, among many other communicative functions</w:t>
      </w:r>
      <w:r>
        <w:t xml:space="preserve"> </w:t>
      </w:r>
      <w:r>
        <w:t xml:space="preserve">(</w:t>
      </w:r>
      <w:hyperlink w:anchor="ref-arvaniti2020autosegmental">
        <w:r>
          <w:rPr>
            <w:rStyle w:val="Hyperlink"/>
          </w:rPr>
          <w:t xml:space="preserve">Arvaniti &amp; Fletcher, 2020</w:t>
        </w:r>
      </w:hyperlink>
      <w:r>
        <w:t xml:space="preserve">;</w:t>
      </w:r>
      <w:r>
        <w:t xml:space="preserve"> </w:t>
      </w:r>
      <w:hyperlink w:anchor="ref-best2019diversity">
        <w:r>
          <w:rPr>
            <w:rStyle w:val="Hyperlink"/>
          </w:rPr>
          <w:t xml:space="preserve">Best, 2019</w:t>
        </w:r>
      </w:hyperlink>
      <w:r>
        <w:t xml:space="preserve">;</w:t>
      </w:r>
      <w:r>
        <w:t xml:space="preserve"> </w:t>
      </w:r>
      <w:hyperlink w:anchor="ref-cruttenden1997intonation">
        <w:r>
          <w:rPr>
            <w:rStyle w:val="Hyperlink"/>
          </w:rPr>
          <w:t xml:space="preserve">Cruttenden, 1997</w:t>
        </w:r>
      </w:hyperlink>
      <w:r>
        <w:t xml:space="preserve">;</w:t>
      </w:r>
      <w:r>
        <w:t xml:space="preserve"> </w:t>
      </w:r>
      <w:hyperlink w:anchor="ref-cutler1997prosody">
        <w:r>
          <w:rPr>
            <w:rStyle w:val="Hyperlink"/>
          </w:rPr>
          <w:t xml:space="preserve">Cutler et al., 1997</w:t>
        </w:r>
      </w:hyperlink>
      <w:r>
        <w:t xml:space="preserve">;</w:t>
      </w:r>
      <w:r>
        <w:t xml:space="preserve"> </w:t>
      </w:r>
      <w:hyperlink w:anchor="ref-dahan2015prosody">
        <w:r>
          <w:rPr>
            <w:rStyle w:val="Hyperlink"/>
          </w:rPr>
          <w:t xml:space="preserve">Dahan, 2015</w:t>
        </w:r>
      </w:hyperlink>
      <w:r>
        <w:t xml:space="preserve">;</w:t>
      </w:r>
      <w:r>
        <w:t xml:space="preserve"> </w:t>
      </w:r>
      <w:hyperlink w:anchor="ref-gussenhoven2004phonology">
        <w:r>
          <w:rPr>
            <w:rStyle w:val="Hyperlink"/>
          </w:rPr>
          <w:t xml:space="preserve">Gussenhoven, 2004</w:t>
        </w:r>
      </w:hyperlink>
      <w:r>
        <w:t xml:space="preserve">;</w:t>
      </w:r>
      <w:r>
        <w:t xml:space="preserve"> </w:t>
      </w:r>
      <w:hyperlink w:anchor="ref-ladd2008intonational">
        <w:r>
          <w:rPr>
            <w:rStyle w:val="Hyperlink"/>
          </w:rPr>
          <w:t xml:space="preserve">Ladd, 2008</w:t>
        </w:r>
      </w:hyperlink>
      <w:r>
        <w:t xml:space="preserve">;</w:t>
      </w:r>
      <w:r>
        <w:t xml:space="preserve"> </w:t>
      </w:r>
      <w:hyperlink w:anchor="ref-prieto2015intonational">
        <w:r>
          <w:rPr>
            <w:rStyle w:val="Hyperlink"/>
          </w:rPr>
          <w:t xml:space="preserve">Prieto, 2015</w:t>
        </w:r>
      </w:hyperlink>
      <w:r>
        <w:t xml:space="preserve">)</w:t>
      </w:r>
      <w:r>
        <w:t xml:space="preserve">. Relevant to this study, intonation may also encode sentence modality:</w:t>
      </w:r>
      <w:r>
        <w:t xml:space="preserve"> </w:t>
      </w:r>
      <w:r>
        <w:t xml:space="preserve">Hirst and Di Cristo (</w:t>
      </w:r>
      <w:hyperlink w:anchor="ref-hirst1998survey">
        <w:r>
          <w:rPr>
            <w:rStyle w:val="Hyperlink"/>
          </w:rPr>
          <w:t xml:space="preserve">1998</w:t>
        </w:r>
      </w:hyperlink>
      <w:r>
        <w:t xml:space="preserve">)</w:t>
      </w:r>
      <w:r>
        <w:t xml:space="preserve"> </w:t>
      </w:r>
      <w:r>
        <w:t xml:space="preserve">found that approximately 70% of a sample of nearly 250 languages used the final pitch movement to signal interrogativity. Spanish is an example of such a language, in which an utterance e.g.,</w:t>
      </w:r>
      <w:r>
        <w:t xml:space="preserve"> </w:t>
      </w:r>
      <w:r>
        <w:t xml:space="preserve">‘Mariano habla del tiempo’</w:t>
      </w:r>
      <w:r>
        <w:t xml:space="preserve"> </w:t>
      </w:r>
      <w:r>
        <w:rPr>
          <w:i/>
          <w:iCs/>
        </w:rPr>
        <w:t xml:space="preserve">Mariano talks about the weather</w:t>
      </w:r>
      <w:r>
        <w:t xml:space="preserve"> </w:t>
      </w:r>
      <w:r>
        <w:t xml:space="preserve">may variably be a statement or question, differentiated only by intonation. Importantly,</w:t>
      </w:r>
      <w:r>
        <w:t xml:space="preserve"> </w:t>
      </w:r>
      <w:r>
        <w:t xml:space="preserve">Hirst and Di Cristo (</w:t>
      </w:r>
      <w:hyperlink w:anchor="ref-hirst1998survey">
        <w:r>
          <w:rPr>
            <w:rStyle w:val="Hyperlink"/>
          </w:rPr>
          <w:t xml:space="preserve">1998</w:t>
        </w:r>
      </w:hyperlink>
      <w:r>
        <w:t xml:space="preserve">)</w:t>
      </w:r>
      <w:r>
        <w:t xml:space="preserve"> </w:t>
      </w:r>
      <w:r>
        <w:t xml:space="preserve">categorized languages using only the final F0 movement, and this has been the traditional analysis for Spanish as well</w:t>
      </w:r>
      <w:r>
        <w:t xml:space="preserve"> </w:t>
      </w:r>
      <w:r>
        <w:t xml:space="preserve">(</w:t>
      </w:r>
      <w:hyperlink w:anchor="ref-hualde2008intonation">
        <w:r>
          <w:rPr>
            <w:rStyle w:val="Hyperlink"/>
          </w:rPr>
          <w:t xml:space="preserve">Hualde, 2008</w:t>
        </w:r>
      </w:hyperlink>
      <w:r>
        <w:t xml:space="preserve">;</w:t>
      </w:r>
      <w:r>
        <w:t xml:space="preserve"> </w:t>
      </w:r>
      <w:hyperlink w:anchor="ref-tomas1974manual">
        <w:r>
          <w:rPr>
            <w:rStyle w:val="Hyperlink"/>
          </w:rPr>
          <w:t xml:space="preserve">Tomás, 1974</w:t>
        </w:r>
      </w:hyperlink>
      <w:r>
        <w:t xml:space="preserve">)</w:t>
      </w:r>
      <w:r>
        <w:t xml:space="preserve">.</w:t>
      </w:r>
    </w:p>
    <w:p>
      <w:pPr>
        <w:pStyle w:val="BodyText"/>
      </w:pPr>
      <w:r>
        <w:t xml:space="preserve">Although the final F0 movement is seemingly the most salient in Spanish for determining sentence modality, it serving as the only cue has been unequivocally rejected by</w:t>
      </w:r>
      <w:r>
        <w:t xml:space="preserve"> </w:t>
      </w:r>
      <w:r>
        <w:t xml:space="preserve">Face’s (</w:t>
      </w:r>
      <w:hyperlink w:anchor="ref-face2005f0">
        <w:r>
          <w:rPr>
            <w:rStyle w:val="Hyperlink"/>
          </w:rPr>
          <w:t xml:space="preserve">2005</w:t>
        </w:r>
      </w:hyperlink>
      <w:r>
        <w:t xml:space="preserve">)</w:t>
      </w:r>
      <w:r>
        <w:t xml:space="preserve"> </w:t>
      </w:r>
      <w:r>
        <w:t xml:space="preserve">off-line gating experiment after previous investigations into alternative cues</w:t>
      </w:r>
      <w:r>
        <w:t xml:space="preserve"> </w:t>
      </w:r>
      <w:r>
        <w:t xml:space="preserve">(</w:t>
      </w:r>
      <w:hyperlink w:anchor="ref-prieto2004search">
        <w:r>
          <w:rPr>
            <w:rStyle w:val="Hyperlink"/>
          </w:rPr>
          <w:t xml:space="preserve">Prieto, 2004</w:t>
        </w:r>
      </w:hyperlink>
      <w:r>
        <w:t xml:space="preserve">;</w:t>
      </w:r>
      <w:r>
        <w:t xml:space="preserve"> </w:t>
      </w:r>
      <w:hyperlink w:anchor="ref-quilis1993filologia">
        <w:r>
          <w:rPr>
            <w:rStyle w:val="Hyperlink"/>
          </w:rPr>
          <w:t xml:space="preserve">QUILIS, 1993</w:t>
        </w:r>
      </w:hyperlink>
      <w:r>
        <w:t xml:space="preserve">;</w:t>
      </w:r>
      <w:r>
        <w:t xml:space="preserve"> </w:t>
      </w:r>
      <w:hyperlink w:anchor="ref-verdugo2005aproximacion">
        <w:r>
          <w:rPr>
            <w:rStyle w:val="Hyperlink"/>
          </w:rPr>
          <w:t xml:space="preserve">Verdugo, 2005</w:t>
        </w:r>
      </w:hyperlink>
      <w:r>
        <w:t xml:space="preserve">)</w:t>
      </w:r>
      <w:r>
        <w:t xml:space="preserve">. He found that L1 Spanish speakers can accurately determine sentence modality by the scaling (i.e., height) of the first F0 peak and the presence or absence of a medial pitch accent. In a follow-up off-line gating experiment</w:t>
      </w:r>
      <w:r>
        <w:t xml:space="preserve"> </w:t>
      </w:r>
      <w:r>
        <w:t xml:space="preserve">(</w:t>
      </w:r>
      <w:hyperlink w:anchor="ref-face2007role">
        <w:r>
          <w:rPr>
            <w:rStyle w:val="Hyperlink"/>
          </w:rPr>
          <w:t xml:space="preserve">Face, 2007</w:t>
        </w:r>
      </w:hyperlink>
      <w:r>
        <w:t xml:space="preserve">)</w:t>
      </w:r>
      <w:r>
        <w:t xml:space="preserve">, he found that these early cues hold dramatically less weight than the final F0 movement, which seems to</w:t>
      </w:r>
      <w:r>
        <w:t xml:space="preserve"> </w:t>
      </w:r>
      <w:r>
        <w:t xml:space="preserve">“override”</w:t>
      </w:r>
      <w:r>
        <w:t xml:space="preserve"> </w:t>
      </w:r>
      <w:r>
        <w:t xml:space="preserve">the interpretation. Although speakers are clearly able to recruit the early intonational cues to predict sentence type off-line, it remains unclear if they recruit the same information during on-line sentence processing.</w:t>
      </w:r>
    </w:p>
    <w:bookmarkEnd w:id="24"/>
    <w:bookmarkStart w:id="25" w:name="using-intonation-to-predict"/>
    <w:p>
      <w:pPr>
        <w:pStyle w:val="Heading2"/>
      </w:pPr>
      <w:r>
        <w:t xml:space="preserve">Using Intonation to Predict</w:t>
      </w:r>
    </w:p>
    <w:p>
      <w:pPr>
        <w:pStyle w:val="FirstParagraph"/>
      </w:pPr>
      <w:r>
        <w:t xml:space="preserve">Humans constantly make predictions</w:t>
      </w:r>
      <w:r>
        <w:t xml:space="preserve"> </w:t>
      </w:r>
      <w:r>
        <w:t xml:space="preserve">(</w:t>
      </w:r>
      <w:hyperlink w:anchor="ref-bar2007proactive">
        <w:r>
          <w:rPr>
            <w:rStyle w:val="Hyperlink"/>
          </w:rPr>
          <w:t xml:space="preserve">Bar, 2007</w:t>
        </w:r>
      </w:hyperlink>
      <w:r>
        <w:t xml:space="preserve">;</w:t>
      </w:r>
      <w:r>
        <w:t xml:space="preserve"> </w:t>
      </w:r>
      <w:hyperlink w:anchor="ref-lee2003hierarchical">
        <w:r>
          <w:rPr>
            <w:rStyle w:val="Hyperlink"/>
          </w:rPr>
          <w:t xml:space="preserve">Lee &amp; Mumford, 2003</w:t>
        </w:r>
      </w:hyperlink>
      <w:r>
        <w:t xml:space="preserve">)</w:t>
      </w:r>
      <w:r>
        <w:t xml:space="preserve">, and it follows that we also anticipate linguistic information</w:t>
      </w:r>
      <w:r>
        <w:t xml:space="preserve"> </w:t>
      </w:r>
      <w:r>
        <w:t xml:space="preserve">(</w:t>
      </w:r>
      <w:hyperlink w:anchor="ref-van2012prediction">
        <w:r>
          <w:rPr>
            <w:rStyle w:val="Hyperlink"/>
          </w:rPr>
          <w:t xml:space="preserve">Van Petten &amp; Luka, 2012</w:t>
        </w:r>
      </w:hyperlink>
      <w:r>
        <w:t xml:space="preserve">)</w:t>
      </w:r>
      <w:r>
        <w:t xml:space="preserve">, which has been demonstrated across linguistic domains</w:t>
      </w:r>
      <w:r>
        <w:t xml:space="preserve"> </w:t>
      </w:r>
      <w:r>
        <w:t xml:space="preserve">(e.g.,</w:t>
      </w:r>
      <w:r>
        <w:t xml:space="preserve"> </w:t>
      </w:r>
      <w:hyperlink w:anchor="ref-altmann1999incremental">
        <w:r>
          <w:rPr>
            <w:rStyle w:val="Hyperlink"/>
          </w:rPr>
          <w:t xml:space="preserve">Altmann &amp; Kamide, 1999</w:t>
        </w:r>
      </w:hyperlink>
      <w:r>
        <w:t xml:space="preserve">)</w:t>
      </w:r>
      <w:r>
        <w:t xml:space="preserve">. Prosody and intonation have traditionally received little attention</w:t>
      </w:r>
      <w:r>
        <w:t xml:space="preserve"> </w:t>
      </w:r>
      <w:r>
        <w:t xml:space="preserve">(</w:t>
      </w:r>
      <w:hyperlink w:anchor="ref-cutler1997prosody">
        <w:r>
          <w:rPr>
            <w:rStyle w:val="Hyperlink"/>
          </w:rPr>
          <w:t xml:space="preserve">Cutler et al., 1997</w:t>
        </w:r>
      </w:hyperlink>
      <w:r>
        <w:t xml:space="preserve">)</w:t>
      </w:r>
      <w:r>
        <w:t xml:space="preserve">, but the extant research has demonstrated that listeners integrate intonational information as sentence processing unfolds to make predictions</w:t>
      </w:r>
      <w:r>
        <w:t xml:space="preserve"> </w:t>
      </w:r>
      <w:r>
        <w:t xml:space="preserve">(</w:t>
      </w:r>
      <w:hyperlink w:anchor="ref-crocker2010computational">
        <w:r>
          <w:rPr>
            <w:rStyle w:val="Hyperlink"/>
          </w:rPr>
          <w:t xml:space="preserve">Crocker, 2010</w:t>
        </w:r>
      </w:hyperlink>
      <w:r>
        <w:t xml:space="preserve">;</w:t>
      </w:r>
      <w:r>
        <w:t xml:space="preserve"> </w:t>
      </w:r>
      <w:hyperlink w:anchor="ref-grodner2010some">
        <w:r>
          <w:rPr>
            <w:rStyle w:val="Hyperlink"/>
          </w:rPr>
          <w:t xml:space="preserve">Grodner et al., 2010</w:t>
        </w:r>
      </w:hyperlink>
      <w:r>
        <w:t xml:space="preserve">;</w:t>
      </w:r>
      <w:r>
        <w:t xml:space="preserve"> </w:t>
      </w:r>
      <w:hyperlink w:anchor="ref-kamide2003time">
        <w:r>
          <w:rPr>
            <w:rStyle w:val="Hyperlink"/>
          </w:rPr>
          <w:t xml:space="preserve">Kamide et al., 2003</w:t>
        </w:r>
      </w:hyperlink>
      <w:r>
        <w:t xml:space="preserve">;</w:t>
      </w:r>
      <w:r>
        <w:t xml:space="preserve"> </w:t>
      </w:r>
      <w:hyperlink w:anchor="ref-levy2008expectation">
        <w:r>
          <w:rPr>
            <w:rStyle w:val="Hyperlink"/>
          </w:rPr>
          <w:t xml:space="preserve">Levy, 2008</w:t>
        </w:r>
      </w:hyperlink>
      <w:r>
        <w:t xml:space="preserve">)</w:t>
      </w:r>
      <w:r>
        <w:t xml:space="preserve">. It seems unlikely, then, that Spanish speakers should wait until the very end of an utterance to determine sentence modality when they have other, earlier cues available to make accurate predictions</w:t>
      </w:r>
      <w:r>
        <w:t xml:space="preserve"> </w:t>
      </w:r>
      <w:r>
        <w:t xml:space="preserve">(</w:t>
      </w:r>
      <w:hyperlink w:anchor="ref-face2007role">
        <w:r>
          <w:rPr>
            <w:rStyle w:val="Hyperlink"/>
          </w:rPr>
          <w:t xml:space="preserve">Face, 2007</w:t>
        </w:r>
      </w:hyperlink>
      <w:r>
        <w:t xml:space="preserve">)</w:t>
      </w:r>
      <w:r>
        <w:t xml:space="preserve">.</w:t>
      </w:r>
    </w:p>
    <w:p>
      <w:pPr>
        <w:pStyle w:val="BodyText"/>
      </w:pPr>
      <w:r>
        <w:t xml:space="preserve">Although cues may be available, it is not given that a perceiver will integrate the cue in real-time processing to make predictions; that is, not all cues are weighted equally.</w:t>
      </w:r>
      <w:r>
        <w:t xml:space="preserve"> </w:t>
      </w:r>
      <w:r>
        <w:t xml:space="preserve">Roettger and Franke (</w:t>
      </w:r>
      <w:hyperlink w:anchor="ref-roettger2019evidential">
        <w:r>
          <w:rPr>
            <w:rStyle w:val="Hyperlink"/>
          </w:rPr>
          <w:t xml:space="preserve">2019</w:t>
        </w:r>
      </w:hyperlink>
      <w:r>
        <w:t xml:space="preserve">)</w:t>
      </w:r>
      <w:r>
        <w:t xml:space="preserve"> </w:t>
      </w:r>
      <w:r>
        <w:t xml:space="preserve">attempts to address this issue by introducing a computational model that proposes that the predictive value of an intonational cue is dependent on the prior reliability of the cue-to-function mapping and the likelihood of the mapping given the listener’s most recent experiences. In a later series of mouse-tracking studies,</w:t>
      </w:r>
      <w:r>
        <w:t xml:space="preserve"> </w:t>
      </w:r>
      <w:r>
        <w:t xml:space="preserve">Roettger et al. (</w:t>
      </w:r>
      <w:hyperlink w:anchor="ref-roettger2021positional">
        <w:r>
          <w:rPr>
            <w:rStyle w:val="Hyperlink"/>
          </w:rPr>
          <w:t xml:space="preserve">2021</w:t>
        </w:r>
      </w:hyperlink>
      <w:r>
        <w:t xml:space="preserve">)</w:t>
      </w:r>
      <w:r>
        <w:t xml:space="preserve"> </w:t>
      </w:r>
      <w:r>
        <w:t xml:space="preserve">found that L1 German speakers do not use the presence of absence of a prenuclear pitch accent to predict the discourse status of an upcoming referent, but some L1 American English speakers, who have the same cue with the same predictive power available, do. This research puts doubt on the claim that L1 Spanish speakers recruit early intonational cues, as opposed to waiting for the final F0 movement.</w:t>
      </w:r>
    </w:p>
    <w:bookmarkEnd w:id="25"/>
    <w:bookmarkStart w:id="26" w:name="prediction-in-a-second-language"/>
    <w:p>
      <w:pPr>
        <w:pStyle w:val="Heading2"/>
      </w:pPr>
      <w:r>
        <w:t xml:space="preserve">Prediction in a Second Language</w:t>
      </w:r>
    </w:p>
    <w:p>
      <w:pPr>
        <w:pStyle w:val="FirstParagraph"/>
      </w:pPr>
      <w:r>
        <w:t xml:space="preserve">If it is accurate that early intonational cues provide less meaningful predictive power than later ones in English, and don’t seem to provide meaningful predictive power in German</w:t>
      </w:r>
      <w:r>
        <w:t xml:space="preserve"> </w:t>
      </w:r>
      <w:r>
        <w:t xml:space="preserve">(</w:t>
      </w:r>
      <w:hyperlink w:anchor="ref-roettger2021positional">
        <w:r>
          <w:rPr>
            <w:rStyle w:val="Hyperlink"/>
          </w:rPr>
          <w:t xml:space="preserve">Roettger et al., 2021</w:t>
        </w:r>
      </w:hyperlink>
      <w:r>
        <w:t xml:space="preserve">)</w:t>
      </w:r>
      <w:r>
        <w:t xml:space="preserve">, do late sequential L1 English L2 Spanish learners expend cognitive resources to make use of early intonational cues to predict sentence modality in Spanish? With specific regards to intonational cues,</w:t>
      </w:r>
      <w:r>
        <w:t xml:space="preserve"> </w:t>
      </w:r>
      <w:r>
        <w:t xml:space="preserve">Foltz (</w:t>
      </w:r>
      <w:hyperlink w:anchor="ref-foltz2021using">
        <w:r>
          <w:rPr>
            <w:rStyle w:val="Hyperlink"/>
          </w:rPr>
          <w:t xml:space="preserve">2021</w:t>
        </w:r>
      </w:hyperlink>
      <w:r>
        <w:t xml:space="preserve">)</w:t>
      </w:r>
      <w:r>
        <w:t xml:space="preserve"> </w:t>
      </w:r>
      <w:r>
        <w:t xml:space="preserve">in an eye-tracking study found that L1 German L2 English intermediate-to-advanced learners [B2 or above using CEFR levels;</w:t>
      </w:r>
      <w:r>
        <w:t xml:space="preserve"> </w:t>
      </w:r>
      <w:r>
        <w:t xml:space="preserve">Europe (</w:t>
      </w:r>
      <w:hyperlink w:anchor="ref-coucilofeurope2001cefr">
        <w:r>
          <w:rPr>
            <w:rStyle w:val="Hyperlink"/>
          </w:rPr>
          <w:t xml:space="preserve">2001</w:t>
        </w:r>
      </w:hyperlink>
      <w:r>
        <w:t xml:space="preserve">)</w:t>
      </w:r>
      <w:r>
        <w:t xml:space="preserve">] were able to predict a referent based on a contrastive pitch accent in their L1, but showed delayed processing for the same cue with the same predictive power in their L2. This is in contrast to</w:t>
      </w:r>
      <w:r>
        <w:t xml:space="preserve"> </w:t>
      </w:r>
      <w:r>
        <w:t xml:space="preserve">Klassen (</w:t>
      </w:r>
      <w:hyperlink w:anchor="ref-klassen2015second">
        <w:r>
          <w:rPr>
            <w:rStyle w:val="Hyperlink"/>
          </w:rPr>
          <w:t xml:space="preserve">2015</w:t>
        </w:r>
      </w:hyperlink>
      <w:r>
        <w:t xml:space="preserve">)</w:t>
      </w:r>
      <w:r>
        <w:t xml:space="preserve">, who found that Spanish-English bilinguals</w:t>
      </w:r>
      <w:r>
        <w:t xml:space="preserve"> </w:t>
      </w:r>
      <w:r>
        <w:rPr>
          <w:i/>
          <w:iCs/>
        </w:rPr>
        <w:t xml:space="preserve">did</w:t>
      </w:r>
      <w:r>
        <w:t xml:space="preserve"> </w:t>
      </w:r>
      <w:r>
        <w:t xml:space="preserve">engage in predictive processing for a similar cue-to-function mapping. Importantly, they contribute these differing results to timing: where</w:t>
      </w:r>
      <w:r>
        <w:t xml:space="preserve"> </w:t>
      </w:r>
      <w:r>
        <w:t xml:space="preserve">Klassen (</w:t>
      </w:r>
      <w:hyperlink w:anchor="ref-klassen2015second">
        <w:r>
          <w:rPr>
            <w:rStyle w:val="Hyperlink"/>
          </w:rPr>
          <w:t xml:space="preserve">2015</w:t>
        </w:r>
      </w:hyperlink>
      <w:r>
        <w:t xml:space="preserve">)</w:t>
      </w:r>
      <w:r>
        <w:t xml:space="preserve"> </w:t>
      </w:r>
      <w:r>
        <w:t xml:space="preserve">separated two phrases of an instruction with 700 ms of silence, the target noun in</w:t>
      </w:r>
      <w:r>
        <w:t xml:space="preserve"> </w:t>
      </w:r>
      <w:r>
        <w:t xml:space="preserve">Foltz (</w:t>
      </w:r>
      <w:hyperlink w:anchor="ref-foltz2021using">
        <w:r>
          <w:rPr>
            <w:rStyle w:val="Hyperlink"/>
          </w:rPr>
          <w:t xml:space="preserve">2021</w:t>
        </w:r>
      </w:hyperlink>
      <w:r>
        <w:t xml:space="preserve">)</w:t>
      </w:r>
      <w:r>
        <w:t xml:space="preserve"> </w:t>
      </w:r>
      <w:r>
        <w:t xml:space="preserve">immediately followed the cue-bearing adjective. In fact, it has been seen elsewhere that L2 predictions are typically delayed</w:t>
      </w:r>
      <w:r>
        <w:t xml:space="preserve"> </w:t>
      </w:r>
      <w:r>
        <w:t xml:space="preserve">(</w:t>
      </w:r>
      <w:hyperlink w:anchor="ref-corps2023two">
        <w:r>
          <w:rPr>
            <w:rStyle w:val="Hyperlink"/>
          </w:rPr>
          <w:t xml:space="preserve">Corps et al., 2023</w:t>
        </w:r>
      </w:hyperlink>
      <w:r>
        <w:t xml:space="preserve">)</w:t>
      </w:r>
      <w:r>
        <w:t xml:space="preserve">. Thus, it may be expected that if given enough time (i.e., a longer sentence length), L2 Spanish speakers may integrate early intonational cues.</w:t>
      </w:r>
    </w:p>
    <w:bookmarkEnd w:id="26"/>
    <w:bookmarkStart w:id="27" w:name="research-questions"/>
    <w:p>
      <w:pPr>
        <w:pStyle w:val="Heading2"/>
      </w:pPr>
      <w:r>
        <w:t xml:space="preserve">Research Questions</w:t>
      </w:r>
    </w:p>
    <w:p>
      <w:pPr>
        <w:pStyle w:val="FirstParagraph"/>
      </w:pPr>
      <w:r>
        <w:t xml:space="preserve">Although early intonational cues are available to predict sentence modality</w:t>
      </w:r>
      <w:r>
        <w:t xml:space="preserve"> </w:t>
      </w:r>
      <w:r>
        <w:t xml:space="preserve">(</w:t>
      </w:r>
      <w:hyperlink w:anchor="ref-face2007role">
        <w:r>
          <w:rPr>
            <w:rStyle w:val="Hyperlink"/>
          </w:rPr>
          <w:t xml:space="preserve">Face, 2007</w:t>
        </w:r>
      </w:hyperlink>
      <w:r>
        <w:t xml:space="preserve">)</w:t>
      </w:r>
      <w:r>
        <w:t xml:space="preserve">, no previous research has investigated if L1 Spanish speakers recruit these early cues as sentence processing unfolds. Although the cues are available,</w:t>
      </w:r>
      <w:r>
        <w:t xml:space="preserve"> </w:t>
      </w:r>
      <w:r>
        <w:t xml:space="preserve">Roettger et al.’s (</w:t>
      </w:r>
      <w:hyperlink w:anchor="ref-roettger2021positional">
        <w:r>
          <w:rPr>
            <w:rStyle w:val="Hyperlink"/>
          </w:rPr>
          <w:t xml:space="preserve">2021</w:t>
        </w:r>
      </w:hyperlink>
      <w:r>
        <w:t xml:space="preserve">)</w:t>
      </w:r>
      <w:r>
        <w:t xml:space="preserve"> </w:t>
      </w:r>
      <w:r>
        <w:t xml:space="preserve">computational model predicts that not all possible cues are actually recruited. Furthermore, L1 English L2 Spanish speakers may have even greater difficulty integrating these cues since English primarily relies on lexical and syntactic cues, not intonational cues, to determine sentence modality. The current research investigates predictive capabilities of L1 Spain Spanish speakers and L1 English L2 Spain Spanish learners for sentence modality. I have the following research questions regarding L1 Spain Spanish speakers to determine if early intonational cues are integrated during real-time processing to predict sentence modality:</w:t>
      </w:r>
    </w:p>
    <w:p>
      <w:pPr>
        <w:numPr>
          <w:ilvl w:val="0"/>
          <w:numId w:val="1001"/>
        </w:numPr>
      </w:pPr>
      <w:r>
        <w:t xml:space="preserve">Is the first F0 peak height used to predict sentence modality?</w:t>
      </w:r>
    </w:p>
    <w:p>
      <w:pPr>
        <w:numPr>
          <w:ilvl w:val="0"/>
          <w:numId w:val="1001"/>
        </w:numPr>
      </w:pPr>
      <w:r>
        <w:t xml:space="preserve">Is the presence or absence of a medial pitch accent used to predict sentence modality?</w:t>
      </w:r>
    </w:p>
    <w:p>
      <w:pPr>
        <w:pStyle w:val="FirstParagraph"/>
      </w:pPr>
      <w:r>
        <w:t xml:space="preserve">Based on</w:t>
      </w:r>
      <w:r>
        <w:t xml:space="preserve"> </w:t>
      </w:r>
      <w:r>
        <w:t xml:space="preserve">Face (</w:t>
      </w:r>
      <w:hyperlink w:anchor="ref-face2007role">
        <w:r>
          <w:rPr>
            <w:rStyle w:val="Hyperlink"/>
          </w:rPr>
          <w:t xml:space="preserve">2007</w:t>
        </w:r>
      </w:hyperlink>
      <w:r>
        <w:t xml:space="preserve">)</w:t>
      </w:r>
      <w:r>
        <w:t xml:space="preserve">, it is expected that both cues will result in more target fixations.</w:t>
      </w:r>
    </w:p>
    <w:p>
      <w:pPr>
        <w:pStyle w:val="BodyText"/>
      </w:pPr>
      <w:r>
        <w:t xml:space="preserve">The following research questions are aimed to investigate if L1 English L2 Spain Spanish speakers recruit the same early intonational cues to predict sentence. All questions are to be interpreted as applying to both the cues described in the first two research questions.</w:t>
      </w:r>
    </w:p>
    <w:p>
      <w:pPr>
        <w:numPr>
          <w:ilvl w:val="0"/>
          <w:numId w:val="1002"/>
        </w:numPr>
      </w:pPr>
      <w:r>
        <w:t xml:space="preserve">Do L1 English L2 Spanish speakers recruit either first F0 peak height or the presence/absence of a medial pitch accent to predict sentence modality?</w:t>
      </w:r>
    </w:p>
    <w:p>
      <w:pPr>
        <w:numPr>
          <w:ilvl w:val="0"/>
          <w:numId w:val="1002"/>
        </w:numPr>
      </w:pPr>
      <w:r>
        <w:t xml:space="preserve">Do prediction capabilities depend on amount of time (operationalized here as sentence length) a learner has to process a given cue?</w:t>
      </w:r>
    </w:p>
    <w:p>
      <w:pPr>
        <w:pStyle w:val="FirstParagraph"/>
      </w:pPr>
      <w:r>
        <w:t xml:space="preserve">Due to lack of evidence, no hypothesis is proposed for Research Question 3. If L2 learners</w:t>
      </w:r>
      <w:r>
        <w:t xml:space="preserve"> </w:t>
      </w:r>
      <w:r>
        <w:rPr>
          <w:i/>
          <w:iCs/>
        </w:rPr>
        <w:t xml:space="preserve">do</w:t>
      </w:r>
      <w:r>
        <w:t xml:space="preserve"> </w:t>
      </w:r>
      <w:r>
        <w:t xml:space="preserve">show anticipatory behavior, however, it is expected to occur with a delay</w:t>
      </w:r>
      <w:r>
        <w:t xml:space="preserve"> </w:t>
      </w:r>
      <w:r>
        <w:t xml:space="preserve">(</w:t>
      </w:r>
      <w:hyperlink w:anchor="ref-corps2023two">
        <w:r>
          <w:rPr>
            <w:rStyle w:val="Hyperlink"/>
          </w:rPr>
          <w:t xml:space="preserve">Corps et al., 2023</w:t>
        </w:r>
      </w:hyperlink>
      <w:r>
        <w:t xml:space="preserve">)</w:t>
      </w:r>
      <w:r>
        <w:t xml:space="preserve">, such that they will show greater predictive capabilities as sentence length increases.</w:t>
      </w:r>
    </w:p>
    <w:bookmarkEnd w:id="27"/>
    <w:bookmarkEnd w:id="28"/>
    <w:bookmarkStart w:id="36" w:name="method"/>
    <w:p>
      <w:pPr>
        <w:pStyle w:val="Heading1"/>
      </w:pPr>
      <w:r>
        <w:t xml:space="preserve">Method</w:t>
      </w:r>
    </w:p>
    <w:bookmarkStart w:id="29" w:name="participants"/>
    <w:p>
      <w:pPr>
        <w:pStyle w:val="Heading2"/>
      </w:pPr>
      <w:r>
        <w:t xml:space="preserve">Participants</w:t>
      </w:r>
    </w:p>
    <w:p>
      <w:pPr>
        <w:pStyle w:val="FirstParagraph"/>
      </w:pPr>
      <w:r>
        <w:t xml:space="preserve">Seventy-five participants were recruited for the present study. Twenty-five participants (age: 18-35) were adult L1 Spanish speakers born, raised, and currently living in the Madrid, Spain area. These participants grew up as monolingual Spanish speakers and reported no proficiency in another language. They have spent less than three months in any non-Spanish speaking country.</w:t>
      </w:r>
    </w:p>
    <w:p>
      <w:pPr>
        <w:pStyle w:val="BodyText"/>
      </w:pPr>
      <w:r>
        <w:t xml:space="preserve">The remaining 50 participants (age: 18-25) were L1 English L2 Spanish learners currently taking classes in Spanish at a university in the northeast United States. Participants were born, raised, and currently living in the United States. They grew up monolingual English speakers, having begun the endeavor of acquiring Spanish at a mean age of 12 years old (SD = 4).</w:t>
      </w:r>
    </w:p>
    <w:bookmarkEnd w:id="29"/>
    <w:bookmarkStart w:id="34" w:name="materials"/>
    <w:p>
      <w:pPr>
        <w:pStyle w:val="Heading2"/>
      </w:pPr>
      <w:r>
        <w:t xml:space="preserve">Materials</w:t>
      </w:r>
    </w:p>
    <w:p>
      <w:pPr>
        <w:pStyle w:val="FirstParagraph"/>
      </w:pPr>
      <w:r>
        <w:t xml:space="preserve">L2 Spanish participants completed a measure of Spanish proficiency [the LexTALE-ESP;</w:t>
      </w:r>
      <w:r>
        <w:t xml:space="preserve"> </w:t>
      </w:r>
      <w:r>
        <w:t xml:space="preserve">Izura et al. (</w:t>
      </w:r>
      <w:hyperlink w:anchor="ref-izura2014lextale">
        <w:r>
          <w:rPr>
            <w:rStyle w:val="Hyperlink"/>
          </w:rPr>
          <w:t xml:space="preserve">2014</w:t>
        </w:r>
      </w:hyperlink>
      <w:r>
        <w:t xml:space="preserve">)</w:t>
      </w:r>
      <w:r>
        <w:t xml:space="preserve">] and a self-report language history background. The LexTALE-ESP is a measure of vocabulary size in Spanish that has been seen to correlate with other measures of proficiency</w:t>
      </w:r>
      <w:r>
        <w:t xml:space="preserve"> </w:t>
      </w:r>
      <w:r>
        <w:t xml:space="preserve">(</w:t>
      </w:r>
      <w:hyperlink w:anchor="ref-izura2014lextale">
        <w:r>
          <w:rPr>
            <w:rStyle w:val="Hyperlink"/>
          </w:rPr>
          <w:t xml:space="preserve">Izura et al., 2014</w:t>
        </w:r>
      </w:hyperlink>
      <w:r>
        <w:t xml:space="preserve">)</w:t>
      </w:r>
      <w:r>
        <w:t xml:space="preserve">. Participants were seen to have a range of Spanish proficiencies, from beginner to high-intermediate.</w:t>
      </w:r>
    </w:p>
    <w:p>
      <w:pPr>
        <w:pStyle w:val="BodyText"/>
      </w:pPr>
      <w:r>
        <w:t xml:space="preserve">The language history background collected information about participants’ age of acquisition, cumulative language use, and current language use. Participants were seen to have similar current language use, reflecting the university-context where they primarily use Spanish inside the Spanish classroom, but not outside.</w:t>
      </w:r>
    </w:p>
    <w:p>
      <w:pPr>
        <w:pStyle w:val="BodyText"/>
      </w:pPr>
      <w:r>
        <w:t xml:space="preserve">Using the visual-world eye-tracking paradigm, participants were tested to determine if they were able to accurately determine whether a sentence was a declarative or interrogative before the final syllable. There were 120 critical trials. 60 were declarative utterances and 60 were interrogative utterances. 20 utterances of each modality had 0 additional prepositional phrases, 20 had 1 additional prepositional phrase, and 20 had 2 additional prepositional phrases.</w:t>
      </w:r>
    </w:p>
    <w:p>
      <w:pPr>
        <w:pStyle w:val="BodyText"/>
      </w:pPr>
      <w:r>
        <w:t xml:space="preserve">All utterances consisted of an overt subject, a verb, an object, and 0 to 2 prepositional phrases adding an additional 3 words for each phrase (preposition + determiner + noun). Each prepositional phrase was made up of a total of 6 syllables. For example,</w:t>
      </w:r>
      <w:r>
        <w:t xml:space="preserve"> </w:t>
      </w:r>
      <w:r>
        <w:t xml:space="preserve">‘Mariano habla del tiempo’</w:t>
      </w:r>
      <w:r>
        <w:t xml:space="preserve"> </w:t>
      </w:r>
      <w:r>
        <w:t xml:space="preserve">is the preamble. Prepositional phrases are then added:</w:t>
      </w:r>
      <w:r>
        <w:t xml:space="preserve"> </w:t>
      </w:r>
      <w:r>
        <w:t xml:space="preserve">‘Mariano habla del tiempo [1] en la biblioteca [2] después de la cena’</w:t>
      </w:r>
      <w:r>
        <w:t xml:space="preserve">. The final word of the utterance always had penultimate stress so that the final pitch movement was not truncated with the nuclear pitch accent.</w:t>
      </w:r>
    </w:p>
    <w:p>
      <w:pPr>
        <w:pStyle w:val="BodyText"/>
      </w:pPr>
      <w:r>
        <w:t xml:space="preserve">The utterances were all produced by a 25-year-old female L1 Spanish monolingual speaker from Madrid. In total, she produced 60 pairs of identical utterances for a total of 120 utterances: half of the utterances were produced as declaratives, and the other half were produced as interrogatives. Acoustic analysis revealed that the first pitch peak of declarative utterances were always lower than the first pitch peak of the interrogative utterances. The declarative utterances were always produced with a medial pitch accent (e.g., on</w:t>
      </w:r>
      <w:r>
        <w:t xml:space="preserve"> </w:t>
      </w:r>
      <w:r>
        <w:t xml:space="preserve">‘habla’</w:t>
      </w:r>
      <w:r>
        <w:t xml:space="preserve"> </w:t>
      </w:r>
      <w:r>
        <w:t xml:space="preserve">in</w:t>
      </w:r>
      <w:r>
        <w:t xml:space="preserve"> </w:t>
      </w:r>
      <w:r>
        <w:t xml:space="preserve">‘Mariano habla del tiempo’</w:t>
      </w:r>
      <w:r>
        <w:t xml:space="preserve">), whereas this pitch accent was absent in interrogative utterances. As expected, declarative utterances ended with a low boundary tone, whereas interrogative utterances ended with a high boundary tone.</w:t>
      </w:r>
    </w:p>
    <w:p>
      <w:pPr>
        <w:pStyle w:val="BodyText"/>
      </w:pPr>
      <w:r>
        <w:t xml:space="preserve">Importantly, only L2 Spanish learners were exposed to the sentences with additional prepositional phrases. L1 Spanish speakers were exposed to only the preamble with 0 prepositional phrases. This was done under the assumption that L1 Spanish speakers will find the task monotonous. As such, they were exposed to only 40 target utterances in total.</w:t>
      </w:r>
    </w:p>
    <w:p>
      <w:pPr>
        <w:pStyle w:val="BodyText"/>
      </w:pPr>
      <w:r>
        <w:t xml:space="preserve">The visual display accompanying the auditory stimuli had two areas of interest depicting identical images of two people. One of the people had a speech bubble with either</w:t>
      </w:r>
      <w:r>
        <w:t xml:space="preserve"> </w:t>
      </w:r>
      <w:r>
        <w:t xml:space="preserve">‘.’</w:t>
      </w:r>
      <w:r>
        <w:t xml:space="preserve"> </w:t>
      </w:r>
      <w:r>
        <w:t xml:space="preserve">or</w:t>
      </w:r>
      <w:r>
        <w:t xml:space="preserve"> </w:t>
      </w:r>
      <w:r>
        <w:t xml:space="preserve">‘?’</w:t>
      </w:r>
      <w:r>
        <w:t xml:space="preserve">. An example trial is depicted in</w:t>
      </w:r>
      <w:r>
        <w:t xml:space="preserve"> </w:t>
      </w:r>
      <w:hyperlink w:anchor="fig-example-trial">
        <w:r>
          <w:rPr>
            <w:rStyle w:val="Hyperlink"/>
          </w:rPr>
          <w:t xml:space="preserve">Figure 1</w:t>
        </w:r>
      </w:hyperlink>
      <w:r>
        <w:t xml:space="preserve">.</w:t>
      </w:r>
    </w:p>
    <w:bookmarkStart w:id="33" w:name="fig-example-trial"/>
    <w:p>
      <w:pPr>
        <w:pStyle w:val="FigureTitle"/>
      </w:pPr>
      <w:r>
        <w:t xml:space="preserve">Figure 1</w:t>
      </w:r>
    </w:p>
    <w:p>
      <w:pPr>
        <w:pStyle w:val="Caption"/>
      </w:pPr>
      <w:r>
        <w:t xml:space="preserve">Example of one trial.</w:t>
      </w:r>
    </w:p>
    <w:p>
      <w:pPr>
        <w:pStyle w:val="FigureWithoutNote"/>
      </w:pPr>
      <w:r>
        <w:drawing>
          <wp:inline>
            <wp:extent cx="3810000" cy="2540000"/>
            <wp:effectExtent b="0" l="0" r="0" t="0"/>
            <wp:docPr descr="" title="" id="31" name="Picture"/>
            <a:graphic>
              <a:graphicData uri="http://schemas.openxmlformats.org/drawingml/2006/picture">
                <pic:pic>
                  <pic:nvPicPr>
                    <pic:cNvPr descr="figs/example_trial.bmp" id="32" name="Picture"/>
                    <pic:cNvPicPr>
                      <a:picLocks noChangeArrowheads="1" noChangeAspect="1"/>
                    </pic:cNvPicPr>
                  </pic:nvPicPr>
                  <pic:blipFill>
                    <a:blip r:embed="rId30"/>
                    <a:stretch>
                      <a:fillRect/>
                    </a:stretch>
                  </pic:blipFill>
                  <pic:spPr bwMode="auto">
                    <a:xfrm>
                      <a:off x="0" y="0"/>
                      <a:ext cx="3810000" cy="2540000"/>
                    </a:xfrm>
                    <a:prstGeom prst="rect">
                      <a:avLst/>
                    </a:prstGeom>
                    <a:noFill/>
                    <a:ln w="9525">
                      <a:noFill/>
                      <a:headEnd/>
                      <a:tailEnd/>
                    </a:ln>
                  </pic:spPr>
                </pic:pic>
              </a:graphicData>
            </a:graphic>
          </wp:inline>
        </w:drawing>
      </w:r>
    </w:p>
    <w:bookmarkEnd w:id="33"/>
    <w:bookmarkEnd w:id="34"/>
    <w:bookmarkStart w:id="35" w:name="procedure"/>
    <w:p>
      <w:pPr>
        <w:pStyle w:val="Heading2"/>
      </w:pPr>
      <w:r>
        <w:t xml:space="preserve">Procedure</w:t>
      </w:r>
    </w:p>
    <w:p>
      <w:pPr>
        <w:pStyle w:val="FirstParagraph"/>
      </w:pPr>
      <w:r>
        <w:t xml:space="preserve">Prior to the eye-tracking task, all participants completed the LexTALE-ESP and the language background questionnaire. Once completed, the participant’s dominant eye was determined by applying the Miles test</w:t>
      </w:r>
      <w:r>
        <w:t xml:space="preserve"> </w:t>
      </w:r>
      <w:r>
        <w:t xml:space="preserve">(</w:t>
      </w:r>
      <w:hyperlink w:anchor="ref-miles1929ocular">
        <w:r>
          <w:rPr>
            <w:rStyle w:val="Hyperlink"/>
          </w:rPr>
          <w:t xml:space="preserve">Miles, 1929</w:t>
        </w:r>
      </w:hyperlink>
      <w:r>
        <w:t xml:space="preserve">)</w:t>
      </w:r>
      <w:r>
        <w:t xml:space="preserve">. Only eye movements from the dominant eye were registered. Participants were seated in front of an Eyelink Pro 1000 eye-tracking system (approximately 80 cm). Participants wore headphones to hear audio stimuli. Participants were told that they would hear a number of sentences and must determine if it was a</w:t>
      </w:r>
      <w:r>
        <w:t xml:space="preserve"> </w:t>
      </w:r>
      <w:r>
        <w:t xml:space="preserve">‘statement’</w:t>
      </w:r>
      <w:r>
        <w:t xml:space="preserve">, which corresponded to the image with a</w:t>
      </w:r>
      <w:r>
        <w:t xml:space="preserve"> </w:t>
      </w:r>
      <w:r>
        <w:t xml:space="preserve">‘.’</w:t>
      </w:r>
      <w:r>
        <w:t xml:space="preserve">, or a</w:t>
      </w:r>
      <w:r>
        <w:t xml:space="preserve"> </w:t>
      </w:r>
      <w:r>
        <w:t xml:space="preserve">‘yes-no question’</w:t>
      </w:r>
      <w:r>
        <w:t xml:space="preserve">, which corresponded to the image with a</w:t>
      </w:r>
      <w:r>
        <w:t xml:space="preserve"> </w:t>
      </w:r>
      <w:r>
        <w:t xml:space="preserve">‘?’</w:t>
      </w:r>
      <w:r>
        <w:t xml:space="preserve">. The placement of the visual stimuli were counterbalanced. Participants were asked to press either the left or right shift key that corresponded with the image on the left or right side of the screen that matched the utterance’s sentence type, and they could respond at any point during the utterance.</w:t>
      </w:r>
    </w:p>
    <w:p>
      <w:pPr>
        <w:pStyle w:val="BodyText"/>
      </w:pPr>
      <w:r>
        <w:t xml:space="preserve">At trial start, participants were exposed to a fixation cross for 500ms, after which the two images appeared for 200ms. At 700ms into the trial, the audio stimuli began to play. Once the audio finished, participants could respond using the shift keys. Once they responded, a grey box appeared on the screen in one of the four corners. After they looked at the box for 500ms, the next trial began.</w:t>
      </w:r>
    </w:p>
    <w:p>
      <w:pPr>
        <w:pStyle w:val="BodyText"/>
      </w:pPr>
      <w:r>
        <w:t xml:space="preserve">Participants completed 4 practice trials before the experiment to familiarize themselves with the images and task. L1 Spanish participants were then exposed to a total of 60 (20 experimental and 40 filler) trials; L2 Spanish participants were exposed to a total of 90 (30 experimental and 60 filler) trials. Experimental and filler trials appear in randomized order. Test conditions for the L2 Spanish learners were counterbalanced across participants in a Latin square design and they were randomly assigned to 1 of 3 versions of the experiment. The task took approximately 15 minutes to complete.</w:t>
      </w:r>
    </w:p>
    <w:bookmarkEnd w:id="35"/>
    <w:bookmarkEnd w:id="36"/>
    <w:bookmarkStart w:id="74" w:name="references"/>
    <w:p>
      <w:pPr>
        <w:pStyle w:val="Heading1"/>
      </w:pPr>
      <w:r>
        <w:t xml:space="preserve">References</w:t>
      </w:r>
    </w:p>
    <w:bookmarkStart w:id="73" w:name="refs"/>
    <w:bookmarkStart w:id="37" w:name="ref-altmann1999incremental"/>
    <w:p>
      <w:pPr>
        <w:pStyle w:val="Bibliography"/>
      </w:pPr>
      <w:r>
        <w:t xml:space="preserve">Altmann, G. T., &amp; Kamide, Y. (1999). Incremental interpretation at verbs: Restricting the domain of subsequent reference.</w:t>
      </w:r>
      <w:r>
        <w:t xml:space="preserve"> </w:t>
      </w:r>
      <w:r>
        <w:rPr>
          <w:i/>
          <w:iCs/>
        </w:rPr>
        <w:t xml:space="preserve">Cognition</w:t>
      </w:r>
      <w:r>
        <w:t xml:space="preserve">,</w:t>
      </w:r>
      <w:r>
        <w:t xml:space="preserve"> </w:t>
      </w:r>
      <w:r>
        <w:rPr>
          <w:i/>
          <w:iCs/>
        </w:rPr>
        <w:t xml:space="preserve">73</w:t>
      </w:r>
      <w:r>
        <w:t xml:space="preserve">(3), 247–264.</w:t>
      </w:r>
    </w:p>
    <w:bookmarkEnd w:id="37"/>
    <w:bookmarkStart w:id="38" w:name="ref-arvaniti2020autosegmental"/>
    <w:p>
      <w:pPr>
        <w:pStyle w:val="Bibliography"/>
      </w:pPr>
      <w:r>
        <w:t xml:space="preserve">Arvaniti, A., &amp; Fletcher, J. (2020). The autosegmental-metrical theory of intonational phonology. In C. Gussenhoven &amp; A. Chen (Eds.),</w:t>
      </w:r>
      <w:r>
        <w:t xml:space="preserve"> </w:t>
      </w:r>
      <w:r>
        <w:rPr>
          <w:i/>
          <w:iCs/>
        </w:rPr>
        <w:t xml:space="preserve">The oxford handbook of language prosody</w:t>
      </w:r>
      <w:r>
        <w:t xml:space="preserve">. Oxford University Press.</w:t>
      </w:r>
    </w:p>
    <w:bookmarkEnd w:id="38"/>
    <w:bookmarkStart w:id="39" w:name="ref-bar2007proactive"/>
    <w:p>
      <w:pPr>
        <w:pStyle w:val="Bibliography"/>
      </w:pPr>
      <w:r>
        <w:t xml:space="preserve">Bar, M. (2007). The proactive brain: Using analogies and associations to generate predictions.</w:t>
      </w:r>
      <w:r>
        <w:t xml:space="preserve"> </w:t>
      </w:r>
      <w:r>
        <w:rPr>
          <w:i/>
          <w:iCs/>
        </w:rPr>
        <w:t xml:space="preserve">Trends in Cognitive Sciences</w:t>
      </w:r>
      <w:r>
        <w:t xml:space="preserve">,</w:t>
      </w:r>
      <w:r>
        <w:t xml:space="preserve"> </w:t>
      </w:r>
      <w:r>
        <w:rPr>
          <w:i/>
          <w:iCs/>
        </w:rPr>
        <w:t xml:space="preserve">11</w:t>
      </w:r>
      <w:r>
        <w:t xml:space="preserve">(7), 280–289.</w:t>
      </w:r>
    </w:p>
    <w:bookmarkEnd w:id="39"/>
    <w:bookmarkStart w:id="40" w:name="ref-best2019diversity"/>
    <w:p>
      <w:pPr>
        <w:pStyle w:val="Bibliography"/>
      </w:pPr>
      <w:r>
        <w:t xml:space="preserve">Best, C. T. (2019). The diversity of tone languages and the roles of pitch variation in non-tone languages: Considerations for tone perception research.</w:t>
      </w:r>
      <w:r>
        <w:t xml:space="preserve"> </w:t>
      </w:r>
      <w:r>
        <w:rPr>
          <w:i/>
          <w:iCs/>
        </w:rPr>
        <w:t xml:space="preserve">Frontiers in Psychology</w:t>
      </w:r>
      <w:r>
        <w:t xml:space="preserve">,</w:t>
      </w:r>
      <w:r>
        <w:t xml:space="preserve"> </w:t>
      </w:r>
      <w:r>
        <w:rPr>
          <w:i/>
          <w:iCs/>
        </w:rPr>
        <w:t xml:space="preserve">10</w:t>
      </w:r>
      <w:r>
        <w:t xml:space="preserve">, 364.</w:t>
      </w:r>
    </w:p>
    <w:bookmarkEnd w:id="40"/>
    <w:bookmarkStart w:id="42" w:name="ref-corps2023two"/>
    <w:p>
      <w:pPr>
        <w:pStyle w:val="Bibliography"/>
      </w:pPr>
      <w:r>
        <w:t xml:space="preserve">Corps, R. E., Liao, M., &amp; Pickering, M. J. (2023). Evidence for two stages of prediction in non‐native speakers: A visual-world eye-tracking study.</w:t>
      </w:r>
      <w:r>
        <w:t xml:space="preserve"> </w:t>
      </w:r>
      <w:r>
        <w:rPr>
          <w:i/>
          <w:iCs/>
        </w:rPr>
        <w:t xml:space="preserve">Bilingualism: Language and Cognition</w:t>
      </w:r>
      <w:r>
        <w:t xml:space="preserve">,</w:t>
      </w:r>
      <w:r>
        <w:t xml:space="preserve"> </w:t>
      </w:r>
      <w:r>
        <w:rPr>
          <w:i/>
          <w:iCs/>
        </w:rPr>
        <w:t xml:space="preserve">26</w:t>
      </w:r>
      <w:r>
        <w:t xml:space="preserve">(1), 231–243.</w:t>
      </w:r>
      <w:r>
        <w:t xml:space="preserve"> </w:t>
      </w:r>
      <w:hyperlink r:id="rId41">
        <w:r>
          <w:rPr>
            <w:rStyle w:val="Hyperlink"/>
          </w:rPr>
          <w:t xml:space="preserve">https://doi.org/10.1017/S1366728922000499</w:t>
        </w:r>
      </w:hyperlink>
    </w:p>
    <w:bookmarkEnd w:id="42"/>
    <w:bookmarkStart w:id="43" w:name="ref-crocker2010computational"/>
    <w:p>
      <w:pPr>
        <w:pStyle w:val="Bibliography"/>
      </w:pPr>
      <w:r>
        <w:t xml:space="preserve">Crocker, M. W. (2010). Computational psycholinguistics.</w:t>
      </w:r>
      <w:r>
        <w:t xml:space="preserve"> </w:t>
      </w:r>
      <w:r>
        <w:rPr>
          <w:i/>
          <w:iCs/>
        </w:rPr>
        <w:t xml:space="preserve">The Handbook of Computational Linguistics and Natural Language Processing</w:t>
      </w:r>
      <w:r>
        <w:t xml:space="preserve">, 482–513.</w:t>
      </w:r>
    </w:p>
    <w:bookmarkEnd w:id="43"/>
    <w:bookmarkStart w:id="44" w:name="ref-cruttenden1997intonation"/>
    <w:p>
      <w:pPr>
        <w:pStyle w:val="Bibliography"/>
      </w:pPr>
      <w:r>
        <w:t xml:space="preserve">Cruttenden, A. (1997).</w:t>
      </w:r>
      <w:r>
        <w:t xml:space="preserve"> </w:t>
      </w:r>
      <w:r>
        <w:rPr>
          <w:i/>
          <w:iCs/>
        </w:rPr>
        <w:t xml:space="preserve">Intonation</w:t>
      </w:r>
      <w:r>
        <w:t xml:space="preserve">. Cambridge University Press.</w:t>
      </w:r>
    </w:p>
    <w:bookmarkEnd w:id="44"/>
    <w:bookmarkStart w:id="45" w:name="ref-cutler1997prosody"/>
    <w:p>
      <w:pPr>
        <w:pStyle w:val="Bibliography"/>
      </w:pPr>
      <w:r>
        <w:t xml:space="preserve">Cutler, A., Dahan, D., &amp; Van Donselaar, W. (1997). Prosody in the comprehension of spoken language: A literature review.</w:t>
      </w:r>
      <w:r>
        <w:t xml:space="preserve"> </w:t>
      </w:r>
      <w:r>
        <w:rPr>
          <w:i/>
          <w:iCs/>
        </w:rPr>
        <w:t xml:space="preserve">Language and Speech</w:t>
      </w:r>
      <w:r>
        <w:t xml:space="preserve">,</w:t>
      </w:r>
      <w:r>
        <w:t xml:space="preserve"> </w:t>
      </w:r>
      <w:r>
        <w:rPr>
          <w:i/>
          <w:iCs/>
        </w:rPr>
        <w:t xml:space="preserve">40</w:t>
      </w:r>
      <w:r>
        <w:t xml:space="preserve">(2), 141–201.</w:t>
      </w:r>
    </w:p>
    <w:bookmarkEnd w:id="45"/>
    <w:bookmarkStart w:id="46" w:name="ref-dahan2015prosody"/>
    <w:p>
      <w:pPr>
        <w:pStyle w:val="Bibliography"/>
      </w:pPr>
      <w:r>
        <w:t xml:space="preserve">Dahan, D. (2015). Prosody and language comprehension.</w:t>
      </w:r>
      <w:r>
        <w:t xml:space="preserve"> </w:t>
      </w:r>
      <w:r>
        <w:rPr>
          <w:i/>
          <w:iCs/>
        </w:rPr>
        <w:t xml:space="preserve">Wiley Interdisciplinary Reviews: Cognitive Science</w:t>
      </w:r>
      <w:r>
        <w:t xml:space="preserve">,</w:t>
      </w:r>
      <w:r>
        <w:t xml:space="preserve"> </w:t>
      </w:r>
      <w:r>
        <w:rPr>
          <w:i/>
          <w:iCs/>
        </w:rPr>
        <w:t xml:space="preserve">6</w:t>
      </w:r>
      <w:r>
        <w:t xml:space="preserve">(5), 441–452.</w:t>
      </w:r>
    </w:p>
    <w:bookmarkEnd w:id="46"/>
    <w:bookmarkStart w:id="47" w:name="ref-coucilofeurope2001cefr"/>
    <w:p>
      <w:pPr>
        <w:pStyle w:val="Bibliography"/>
      </w:pPr>
      <w:r>
        <w:t xml:space="preserve">Europe, C. of. (2001).</w:t>
      </w:r>
      <w:r>
        <w:t xml:space="preserve"> </w:t>
      </w:r>
      <w:r>
        <w:rPr>
          <w:i/>
          <w:iCs/>
        </w:rPr>
        <w:t xml:space="preserve">Common european framework of reference for languages: Learning, teaching, assessment</w:t>
      </w:r>
      <w:r>
        <w:t xml:space="preserve">. Cambridge University Press.</w:t>
      </w:r>
    </w:p>
    <w:bookmarkEnd w:id="47"/>
    <w:bookmarkStart w:id="48" w:name="ref-face2005f0"/>
    <w:p>
      <w:pPr>
        <w:pStyle w:val="Bibliography"/>
      </w:pPr>
      <w:r>
        <w:t xml:space="preserve">Face, T. L. (2005). F0 peak height and the perception of sentence type in castilian spanish.</w:t>
      </w:r>
      <w:r>
        <w:t xml:space="preserve"> </w:t>
      </w:r>
      <w:r>
        <w:rPr>
          <w:i/>
          <w:iCs/>
        </w:rPr>
        <w:t xml:space="preserve">Revista Internacional de Ling</w:t>
      </w:r>
      <w:r>
        <w:rPr>
          <w:i/>
          <w:iCs/>
        </w:rPr>
        <w:t xml:space="preserve">ü</w:t>
      </w:r>
      <w:r>
        <w:rPr>
          <w:i/>
          <w:iCs/>
        </w:rPr>
        <w:t xml:space="preserve">ı́</w:t>
      </w:r>
      <w:r>
        <w:rPr>
          <w:i/>
          <w:iCs/>
        </w:rPr>
        <w:t xml:space="preserve">stica Iberoamericana</w:t>
      </w:r>
      <w:r>
        <w:t xml:space="preserve">,</w:t>
      </w:r>
      <w:r>
        <w:t xml:space="preserve"> </w:t>
      </w:r>
      <w:r>
        <w:rPr>
          <w:i/>
          <w:iCs/>
        </w:rPr>
        <w:t xml:space="preserve">3</w:t>
      </w:r>
      <w:r>
        <w:t xml:space="preserve">(2 (6), 49–65.</w:t>
      </w:r>
    </w:p>
    <w:bookmarkEnd w:id="48"/>
    <w:bookmarkStart w:id="49" w:name="ref-face2007role"/>
    <w:p>
      <w:pPr>
        <w:pStyle w:val="Bibliography"/>
      </w:pPr>
      <w:r>
        <w:t xml:space="preserve">Face, T. L. (2007). The role of intonational cues in the perception of declaratives and absolute interrogatives in castilian spanish.</w:t>
      </w:r>
      <w:r>
        <w:t xml:space="preserve"> </w:t>
      </w:r>
      <w:r>
        <w:rPr>
          <w:i/>
          <w:iCs/>
        </w:rPr>
        <w:t xml:space="preserve">Journal of Experimental Phonetics</w:t>
      </w:r>
      <w:r>
        <w:t xml:space="preserve">,</w:t>
      </w:r>
      <w:r>
        <w:t xml:space="preserve"> </w:t>
      </w:r>
      <w:r>
        <w:rPr>
          <w:i/>
          <w:iCs/>
        </w:rPr>
        <w:t xml:space="preserve">16</w:t>
      </w:r>
      <w:r>
        <w:t xml:space="preserve">, 185–225.</w:t>
      </w:r>
    </w:p>
    <w:bookmarkEnd w:id="49"/>
    <w:bookmarkStart w:id="50" w:name="ref-foltz2021using"/>
    <w:p>
      <w:pPr>
        <w:pStyle w:val="Bibliography"/>
      </w:pPr>
      <w:r>
        <w:t xml:space="preserve">Foltz, A. (2021). Using prosody to predict upcoming referents in the L1 and the L2: The role of recent exposure.</w:t>
      </w:r>
      <w:r>
        <w:t xml:space="preserve"> </w:t>
      </w:r>
      <w:r>
        <w:rPr>
          <w:i/>
          <w:iCs/>
        </w:rPr>
        <w:t xml:space="preserve">Studies in Second Language Acquisition</w:t>
      </w:r>
      <w:r>
        <w:t xml:space="preserve">,</w:t>
      </w:r>
      <w:r>
        <w:t xml:space="preserve"> </w:t>
      </w:r>
      <w:r>
        <w:rPr>
          <w:i/>
          <w:iCs/>
        </w:rPr>
        <w:t xml:space="preserve">43</w:t>
      </w:r>
      <w:r>
        <w:t xml:space="preserve">(4), 753–780.</w:t>
      </w:r>
    </w:p>
    <w:bookmarkEnd w:id="50"/>
    <w:bookmarkStart w:id="51" w:name="ref-grodner2010some"/>
    <w:p>
      <w:pPr>
        <w:pStyle w:val="Bibliography"/>
      </w:pPr>
      <w:r>
        <w:t xml:space="preserve">Grodner, D. J., Klein, N. M., Carbary, K. M., &amp; Tanenhaus, M. K. (2010).</w:t>
      </w:r>
      <w:r>
        <w:t xml:space="preserve"> </w:t>
      </w:r>
      <w:r>
        <w:t xml:space="preserve">“Some,”</w:t>
      </w:r>
      <w:r>
        <w:t xml:space="preserve"> </w:t>
      </w:r>
      <w:r>
        <w:t xml:space="preserve">and possibly all, scalar inferences are not delayed: Evidence for immediate pragmatic enrichment.</w:t>
      </w:r>
      <w:r>
        <w:t xml:space="preserve"> </w:t>
      </w:r>
      <w:r>
        <w:rPr>
          <w:i/>
          <w:iCs/>
        </w:rPr>
        <w:t xml:space="preserve">Cognition</w:t>
      </w:r>
      <w:r>
        <w:t xml:space="preserve">,</w:t>
      </w:r>
      <w:r>
        <w:t xml:space="preserve"> </w:t>
      </w:r>
      <w:r>
        <w:rPr>
          <w:i/>
          <w:iCs/>
        </w:rPr>
        <w:t xml:space="preserve">116</w:t>
      </w:r>
      <w:r>
        <w:t xml:space="preserve">(1), 42–55.</w:t>
      </w:r>
    </w:p>
    <w:bookmarkEnd w:id="51"/>
    <w:bookmarkStart w:id="52" w:name="ref-gruter2021prediction"/>
    <w:p>
      <w:pPr>
        <w:pStyle w:val="Bibliography"/>
      </w:pPr>
      <w:r>
        <w:t xml:space="preserve">Grüter, T., &amp; Kaan, E. (2021).</w:t>
      </w:r>
      <w:r>
        <w:t xml:space="preserve"> </w:t>
      </w:r>
      <w:r>
        <w:rPr>
          <w:i/>
          <w:iCs/>
        </w:rPr>
        <w:t xml:space="preserve">Prediction in second language processing and learning</w:t>
      </w:r>
      <w:r>
        <w:t xml:space="preserve">.</w:t>
      </w:r>
    </w:p>
    <w:bookmarkEnd w:id="52"/>
    <w:bookmarkStart w:id="53" w:name="ref-gussenhoven2004phonology"/>
    <w:p>
      <w:pPr>
        <w:pStyle w:val="Bibliography"/>
      </w:pPr>
      <w:r>
        <w:t xml:space="preserve">Gussenhoven, C. (2004).</w:t>
      </w:r>
      <w:r>
        <w:t xml:space="preserve"> </w:t>
      </w:r>
      <w:r>
        <w:rPr>
          <w:i/>
          <w:iCs/>
        </w:rPr>
        <w:t xml:space="preserve">The phonology of tone and intonation</w:t>
      </w:r>
      <w:r>
        <w:t xml:space="preserve">.</w:t>
      </w:r>
    </w:p>
    <w:bookmarkEnd w:id="53"/>
    <w:bookmarkStart w:id="54" w:name="ref-hirst1998survey"/>
    <w:p>
      <w:pPr>
        <w:pStyle w:val="Bibliography"/>
      </w:pPr>
      <w:r>
        <w:t xml:space="preserve">Hirst, D., &amp; Di Cristo, A. (1998). A survey of intonation systems.</w:t>
      </w:r>
      <w:r>
        <w:t xml:space="preserve"> </w:t>
      </w:r>
      <w:r>
        <w:rPr>
          <w:i/>
          <w:iCs/>
        </w:rPr>
        <w:t xml:space="preserve">Intonation Systems: A Survey of Twenty Languages</w:t>
      </w:r>
      <w:r>
        <w:t xml:space="preserve">,</w:t>
      </w:r>
      <w:r>
        <w:t xml:space="preserve"> </w:t>
      </w:r>
      <w:r>
        <w:rPr>
          <w:i/>
          <w:iCs/>
        </w:rPr>
        <w:t xml:space="preserve">144</w:t>
      </w:r>
      <w:r>
        <w:t xml:space="preserve">, 152–166.</w:t>
      </w:r>
    </w:p>
    <w:bookmarkEnd w:id="54"/>
    <w:bookmarkStart w:id="55" w:name="ref-hualde2008intonation"/>
    <w:p>
      <w:pPr>
        <w:pStyle w:val="Bibliography"/>
      </w:pPr>
      <w:r>
        <w:t xml:space="preserve">Hualde, J. I. (2008). Intonation in spanish and the other ibero-romance languages: Overview and status quaestionis.</w:t>
      </w:r>
      <w:r>
        <w:t xml:space="preserve"> </w:t>
      </w:r>
      <w:r>
        <w:rPr>
          <w:i/>
          <w:iCs/>
        </w:rPr>
        <w:t xml:space="preserve">Romance Phonology and Variation: Selected Papers from the 30th Linguistic Symposium on Romance Languages, Gainesville, Florida, February 2000</w:t>
      </w:r>
      <w:r>
        <w:t xml:space="preserve">, 101–115.</w:t>
      </w:r>
    </w:p>
    <w:bookmarkEnd w:id="55"/>
    <w:bookmarkStart w:id="56" w:name="ref-izura2014lextale"/>
    <w:p>
      <w:pPr>
        <w:pStyle w:val="Bibliography"/>
      </w:pPr>
      <w:r>
        <w:t xml:space="preserve">Izura, C., Cuetos, F., &amp; Brysbaert, M. (2014). Lextale-esp: A test to rapidly and efficiently assess the spanish vocabulary size.</w:t>
      </w:r>
      <w:r>
        <w:t xml:space="preserve"> </w:t>
      </w:r>
      <w:r>
        <w:rPr>
          <w:i/>
          <w:iCs/>
        </w:rPr>
        <w:t xml:space="preserve">Psicol</w:t>
      </w:r>
      <w:r>
        <w:rPr>
          <w:i/>
          <w:iCs/>
        </w:rPr>
        <w:t xml:space="preserve">ó</w:t>
      </w:r>
      <w:r>
        <w:rPr>
          <w:i/>
          <w:iCs/>
        </w:rPr>
        <w:t xml:space="preserve">gica</w:t>
      </w:r>
      <w:r>
        <w:t xml:space="preserve">,</w:t>
      </w:r>
      <w:r>
        <w:t xml:space="preserve"> </w:t>
      </w:r>
      <w:r>
        <w:rPr>
          <w:i/>
          <w:iCs/>
        </w:rPr>
        <w:t xml:space="preserve">35</w:t>
      </w:r>
      <w:r>
        <w:t xml:space="preserve">(1), 49–66.</w:t>
      </w:r>
    </w:p>
    <w:bookmarkEnd w:id="56"/>
    <w:bookmarkStart w:id="57" w:name="ref-kamide2003time"/>
    <w:p>
      <w:pPr>
        <w:pStyle w:val="Bibliography"/>
      </w:pPr>
      <w:r>
        <w:t xml:space="preserve">Kamide, Y., Altmann, G. T., &amp; Haywood, S. L. (2003). The time-course of prediction in incremental sentence processing: Evidence from anticipatory eye movements.</w:t>
      </w:r>
      <w:r>
        <w:t xml:space="preserve"> </w:t>
      </w:r>
      <w:r>
        <w:rPr>
          <w:i/>
          <w:iCs/>
        </w:rPr>
        <w:t xml:space="preserve">Journal of Memory and Language</w:t>
      </w:r>
      <w:r>
        <w:t xml:space="preserve">,</w:t>
      </w:r>
      <w:r>
        <w:t xml:space="preserve"> </w:t>
      </w:r>
      <w:r>
        <w:rPr>
          <w:i/>
          <w:iCs/>
        </w:rPr>
        <w:t xml:space="preserve">49</w:t>
      </w:r>
      <w:r>
        <w:t xml:space="preserve">(1), 133–156.</w:t>
      </w:r>
    </w:p>
    <w:bookmarkEnd w:id="57"/>
    <w:bookmarkStart w:id="58" w:name="ref-klassen2015second"/>
    <w:p>
      <w:pPr>
        <w:pStyle w:val="Bibliography"/>
      </w:pPr>
      <w:r>
        <w:t xml:space="preserve">Klassen, J. (2015).</w:t>
      </w:r>
      <w:r>
        <w:t xml:space="preserve"> </w:t>
      </w:r>
      <w:r>
        <w:rPr>
          <w:i/>
          <w:iCs/>
        </w:rPr>
        <w:t xml:space="preserve">Second language acquisition of focus prosody in english and spanish</w:t>
      </w:r>
      <w:r>
        <w:t xml:space="preserve">. McGill University (Canada).</w:t>
      </w:r>
    </w:p>
    <w:bookmarkEnd w:id="58"/>
    <w:bookmarkStart w:id="59" w:name="ref-ladd2008intonational"/>
    <w:p>
      <w:pPr>
        <w:pStyle w:val="Bibliography"/>
      </w:pPr>
      <w:r>
        <w:t xml:space="preserve">Ladd, D. R. (2008).</w:t>
      </w:r>
      <w:r>
        <w:t xml:space="preserve"> </w:t>
      </w:r>
      <w:r>
        <w:rPr>
          <w:i/>
          <w:iCs/>
        </w:rPr>
        <w:t xml:space="preserve">Intonational phonology</w:t>
      </w:r>
      <w:r>
        <w:t xml:space="preserve">. Cambridge University Press.</w:t>
      </w:r>
    </w:p>
    <w:bookmarkEnd w:id="59"/>
    <w:bookmarkStart w:id="60" w:name="ref-lee2003hierarchical"/>
    <w:p>
      <w:pPr>
        <w:pStyle w:val="Bibliography"/>
      </w:pPr>
      <w:r>
        <w:t xml:space="preserve">Lee, T. S., &amp; Mumford, D. (2003). Hierarchical bayesian inference in the visual cortex.</w:t>
      </w:r>
      <w:r>
        <w:t xml:space="preserve"> </w:t>
      </w:r>
      <w:r>
        <w:rPr>
          <w:i/>
          <w:iCs/>
        </w:rPr>
        <w:t xml:space="preserve">JOSA a</w:t>
      </w:r>
      <w:r>
        <w:t xml:space="preserve">,</w:t>
      </w:r>
      <w:r>
        <w:t xml:space="preserve"> </w:t>
      </w:r>
      <w:r>
        <w:rPr>
          <w:i/>
          <w:iCs/>
        </w:rPr>
        <w:t xml:space="preserve">20</w:t>
      </w:r>
      <w:r>
        <w:t xml:space="preserve">(7), 1434–1448.</w:t>
      </w:r>
    </w:p>
    <w:bookmarkEnd w:id="60"/>
    <w:bookmarkStart w:id="61" w:name="ref-levy2008expectation"/>
    <w:p>
      <w:pPr>
        <w:pStyle w:val="Bibliography"/>
      </w:pPr>
      <w:r>
        <w:t xml:space="preserve">Levy, R. (2008). Expectation-based syntactic comprehension.</w:t>
      </w:r>
      <w:r>
        <w:t xml:space="preserve"> </w:t>
      </w:r>
      <w:r>
        <w:rPr>
          <w:i/>
          <w:iCs/>
        </w:rPr>
        <w:t xml:space="preserve">Cognition</w:t>
      </w:r>
      <w:r>
        <w:t xml:space="preserve">,</w:t>
      </w:r>
      <w:r>
        <w:t xml:space="preserve"> </w:t>
      </w:r>
      <w:r>
        <w:rPr>
          <w:i/>
          <w:iCs/>
        </w:rPr>
        <w:t xml:space="preserve">106</w:t>
      </w:r>
      <w:r>
        <w:t xml:space="preserve">(3), 1126–1177.</w:t>
      </w:r>
    </w:p>
    <w:bookmarkEnd w:id="61"/>
    <w:bookmarkStart w:id="62" w:name="ref-miles1929ocular"/>
    <w:p>
      <w:pPr>
        <w:pStyle w:val="Bibliography"/>
      </w:pPr>
      <w:r>
        <w:t xml:space="preserve">Miles, W. R. (1929). Ocular dominance demonstrated by unconscious sighting.</w:t>
      </w:r>
      <w:r>
        <w:t xml:space="preserve"> </w:t>
      </w:r>
      <w:r>
        <w:rPr>
          <w:i/>
          <w:iCs/>
        </w:rPr>
        <w:t xml:space="preserve">Journal of Experimental Psychology</w:t>
      </w:r>
      <w:r>
        <w:t xml:space="preserve">,</w:t>
      </w:r>
      <w:r>
        <w:t xml:space="preserve"> </w:t>
      </w:r>
      <w:r>
        <w:rPr>
          <w:i/>
          <w:iCs/>
        </w:rPr>
        <w:t xml:space="preserve">12</w:t>
      </w:r>
      <w:r>
        <w:t xml:space="preserve">(2), 113.</w:t>
      </w:r>
    </w:p>
    <w:bookmarkEnd w:id="62"/>
    <w:bookmarkStart w:id="63" w:name="ref-prieto2004search"/>
    <w:p>
      <w:pPr>
        <w:pStyle w:val="Bibliography"/>
      </w:pPr>
      <w:r>
        <w:t xml:space="preserve">Prieto, P. (2004). The search for phonological targets in the tonal space: H1 scaling and alignment in five sentence-types in peninsular spanish.</w:t>
      </w:r>
      <w:r>
        <w:t xml:space="preserve"> </w:t>
      </w:r>
      <w:r>
        <w:rPr>
          <w:i/>
          <w:iCs/>
        </w:rPr>
        <w:t xml:space="preserve">Laboratory Approaches to Spanish Phonology</w:t>
      </w:r>
      <w:r>
        <w:t xml:space="preserve">, 29–59.</w:t>
      </w:r>
    </w:p>
    <w:bookmarkEnd w:id="63"/>
    <w:bookmarkStart w:id="64" w:name="ref-prieto2015intonational"/>
    <w:p>
      <w:pPr>
        <w:pStyle w:val="Bibliography"/>
      </w:pPr>
      <w:r>
        <w:t xml:space="preserve">Prieto, P. (2015). Intonational meaning.</w:t>
      </w:r>
      <w:r>
        <w:t xml:space="preserve"> </w:t>
      </w:r>
      <w:r>
        <w:rPr>
          <w:i/>
          <w:iCs/>
        </w:rPr>
        <w:t xml:space="preserve">Wiley Interdisciplinary Reviews: Cognitive Science</w:t>
      </w:r>
      <w:r>
        <w:t xml:space="preserve">,</w:t>
      </w:r>
      <w:r>
        <w:t xml:space="preserve"> </w:t>
      </w:r>
      <w:r>
        <w:rPr>
          <w:i/>
          <w:iCs/>
        </w:rPr>
        <w:t xml:space="preserve">6</w:t>
      </w:r>
      <w:r>
        <w:t xml:space="preserve">(4), 371–381.</w:t>
      </w:r>
    </w:p>
    <w:bookmarkEnd w:id="64"/>
    <w:bookmarkStart w:id="65" w:name="ref-quilis1993filologia"/>
    <w:p>
      <w:pPr>
        <w:pStyle w:val="Bibliography"/>
      </w:pPr>
      <w:r>
        <w:t xml:space="preserve">QUILIS, A. A. (1993). Filolog</w:t>
      </w:r>
      <w:r>
        <w:t xml:space="preserve">ı́</w:t>
      </w:r>
      <w:r>
        <w:t xml:space="preserve">a y ling</w:t>
      </w:r>
      <w:r>
        <w:t xml:space="preserve">ü</w:t>
      </w:r>
      <w:r>
        <w:t xml:space="preserve">ı́</w:t>
      </w:r>
      <w:r>
        <w:t xml:space="preserve">stica.</w:t>
      </w:r>
      <w:r>
        <w:t xml:space="preserve"> </w:t>
      </w:r>
      <w:r>
        <w:rPr>
          <w:i/>
          <w:iCs/>
        </w:rPr>
        <w:t xml:space="preserve">Consejo Superior de Investigaciones Cient</w:t>
      </w:r>
      <w:r>
        <w:rPr>
          <w:i/>
          <w:iCs/>
        </w:rPr>
        <w:t xml:space="preserve">ı́</w:t>
      </w:r>
      <w:r>
        <w:rPr>
          <w:i/>
          <w:iCs/>
        </w:rPr>
        <w:t xml:space="preserve">ficas. Madrid: Universidad Nacional De Educaci</w:t>
      </w:r>
      <w:r>
        <w:rPr>
          <w:i/>
          <w:iCs/>
        </w:rPr>
        <w:t xml:space="preserve">ó</w:t>
      </w:r>
      <w:r>
        <w:rPr>
          <w:i/>
          <w:iCs/>
        </w:rPr>
        <w:t xml:space="preserve">n a Distancia</w:t>
      </w:r>
      <w:r>
        <w:t xml:space="preserve">.</w:t>
      </w:r>
    </w:p>
    <w:bookmarkEnd w:id="65"/>
    <w:bookmarkStart w:id="66" w:name="ref-roettger2019evidential"/>
    <w:p>
      <w:pPr>
        <w:pStyle w:val="Bibliography"/>
      </w:pPr>
      <w:r>
        <w:t xml:space="preserve">Roettger, T. B., &amp; Franke, M. (2019). Evidential strength of intonational cues and rational adaptation to (un-) reliable intonation.</w:t>
      </w:r>
      <w:r>
        <w:t xml:space="preserve"> </w:t>
      </w:r>
      <w:r>
        <w:rPr>
          <w:i/>
          <w:iCs/>
        </w:rPr>
        <w:t xml:space="preserve">Cognitive Science</w:t>
      </w:r>
      <w:r>
        <w:t xml:space="preserve">,</w:t>
      </w:r>
      <w:r>
        <w:t xml:space="preserve"> </w:t>
      </w:r>
      <w:r>
        <w:rPr>
          <w:i/>
          <w:iCs/>
        </w:rPr>
        <w:t xml:space="preserve">43</w:t>
      </w:r>
      <w:r>
        <w:t xml:space="preserve">(7), e12745.</w:t>
      </w:r>
    </w:p>
    <w:bookmarkEnd w:id="66"/>
    <w:bookmarkStart w:id="67" w:name="ref-roettger2021positional"/>
    <w:p>
      <w:pPr>
        <w:pStyle w:val="Bibliography"/>
      </w:pPr>
      <w:r>
        <w:t xml:space="preserve">Roettger, T. B., Franke, M., &amp; Cole, J. (2021). Positional biases in predictive processing of intonation.</w:t>
      </w:r>
      <w:r>
        <w:t xml:space="preserve"> </w:t>
      </w:r>
      <w:r>
        <w:rPr>
          <w:i/>
          <w:iCs/>
        </w:rPr>
        <w:t xml:space="preserve">Language, Cognition and Neuroscience</w:t>
      </w:r>
      <w:r>
        <w:t xml:space="preserve">,</w:t>
      </w:r>
      <w:r>
        <w:t xml:space="preserve"> </w:t>
      </w:r>
      <w:r>
        <w:rPr>
          <w:i/>
          <w:iCs/>
        </w:rPr>
        <w:t xml:space="preserve">36</w:t>
      </w:r>
      <w:r>
        <w:t xml:space="preserve">(3), 342–370.</w:t>
      </w:r>
    </w:p>
    <w:bookmarkEnd w:id="67"/>
    <w:bookmarkStart w:id="68" w:name="ref-tomas1944manual"/>
    <w:p>
      <w:pPr>
        <w:pStyle w:val="Bibliography"/>
      </w:pPr>
      <w:r>
        <w:t xml:space="preserve">Tomás Navarro, T. (1944). Manual de entonaci</w:t>
      </w:r>
      <w:r>
        <w:t xml:space="preserve">ó</w:t>
      </w:r>
      <w:r>
        <w:t xml:space="preserve">n espa</w:t>
      </w:r>
      <w:r>
        <w:t xml:space="preserve">ñ</w:t>
      </w:r>
      <w:r>
        <w:t xml:space="preserve">ola.</w:t>
      </w:r>
      <w:r>
        <w:t xml:space="preserve"> </w:t>
      </w:r>
      <w:r>
        <w:rPr>
          <w:i/>
          <w:iCs/>
        </w:rPr>
        <w:t xml:space="preserve">Colecci</w:t>
      </w:r>
      <w:r>
        <w:rPr>
          <w:i/>
          <w:iCs/>
        </w:rPr>
        <w:t xml:space="preserve">ó</w:t>
      </w:r>
      <w:r>
        <w:rPr>
          <w:i/>
          <w:iCs/>
        </w:rPr>
        <w:t xml:space="preserve">n M</w:t>
      </w:r>
      <w:r>
        <w:rPr>
          <w:i/>
          <w:iCs/>
        </w:rPr>
        <w:t xml:space="preserve">á</w:t>
      </w:r>
      <w:r>
        <w:rPr>
          <w:i/>
          <w:iCs/>
        </w:rPr>
        <w:t xml:space="preserve">laga</w:t>
      </w:r>
      <w:r>
        <w:t xml:space="preserve">.</w:t>
      </w:r>
    </w:p>
    <w:bookmarkEnd w:id="68"/>
    <w:bookmarkStart w:id="69" w:name="ref-tomas1974manual"/>
    <w:p>
      <w:pPr>
        <w:pStyle w:val="Bibliography"/>
      </w:pPr>
      <w:r>
        <w:t xml:space="preserve">Tomás, T. N. (1974).</w:t>
      </w:r>
      <w:r>
        <w:t xml:space="preserve"> </w:t>
      </w:r>
      <w:r>
        <w:rPr>
          <w:i/>
          <w:iCs/>
        </w:rPr>
        <w:t xml:space="preserve">Manual de entonaci</w:t>
      </w:r>
      <w:r>
        <w:rPr>
          <w:i/>
          <w:iCs/>
        </w:rPr>
        <w:t xml:space="preserve">ó</w:t>
      </w:r>
      <w:r>
        <w:rPr>
          <w:i/>
          <w:iCs/>
        </w:rPr>
        <w:t xml:space="preserve">n espa</w:t>
      </w:r>
      <w:r>
        <w:rPr>
          <w:i/>
          <w:iCs/>
        </w:rPr>
        <w:t xml:space="preserve">ñ</w:t>
      </w:r>
      <w:r>
        <w:rPr>
          <w:i/>
          <w:iCs/>
        </w:rPr>
        <w:t xml:space="preserve">ola</w:t>
      </w:r>
      <w:r>
        <w:t xml:space="preserve"> </w:t>
      </w:r>
      <w:r>
        <w:t xml:space="preserve">(Vol. 175). Guadarrama.</w:t>
      </w:r>
    </w:p>
    <w:bookmarkEnd w:id="69"/>
    <w:bookmarkStart w:id="70" w:name="ref-van2012prediction"/>
    <w:p>
      <w:pPr>
        <w:pStyle w:val="Bibliography"/>
      </w:pPr>
      <w:r>
        <w:t xml:space="preserve">Van Petten, C., &amp; Luka, B. J. (2012). Prediction during language comprehension: Benefits, costs, and ERP components.</w:t>
      </w:r>
      <w:r>
        <w:t xml:space="preserve"> </w:t>
      </w:r>
      <w:r>
        <w:rPr>
          <w:i/>
          <w:iCs/>
        </w:rPr>
        <w:t xml:space="preserve">International Journal of Psychophysiology</w:t>
      </w:r>
      <w:r>
        <w:t xml:space="preserve">,</w:t>
      </w:r>
      <w:r>
        <w:t xml:space="preserve"> </w:t>
      </w:r>
      <w:r>
        <w:rPr>
          <w:i/>
          <w:iCs/>
        </w:rPr>
        <w:t xml:space="preserve">83</w:t>
      </w:r>
      <w:r>
        <w:t xml:space="preserve">(2), 176–190.</w:t>
      </w:r>
    </w:p>
    <w:bookmarkEnd w:id="70"/>
    <w:bookmarkStart w:id="71" w:name="ref-verdugo2005aproximacion"/>
    <w:p>
      <w:pPr>
        <w:pStyle w:val="Bibliography"/>
      </w:pPr>
      <w:r>
        <w:t xml:space="preserve">Verdugo, M. D. R. (2005). Aproximaci</w:t>
      </w:r>
      <w:r>
        <w:t xml:space="preserve">ó</w:t>
      </w:r>
      <w:r>
        <w:t xml:space="preserve">n a la prosodia del habla de madrid.</w:t>
      </w:r>
      <w:r>
        <w:t xml:space="preserve"> </w:t>
      </w:r>
      <w:r>
        <w:rPr>
          <w:i/>
          <w:iCs/>
        </w:rPr>
        <w:t xml:space="preserve">Estudios de Fon</w:t>
      </w:r>
      <w:r>
        <w:rPr>
          <w:i/>
          <w:iCs/>
        </w:rPr>
        <w:t xml:space="preserve">é</w:t>
      </w:r>
      <w:r>
        <w:rPr>
          <w:i/>
          <w:iCs/>
        </w:rPr>
        <w:t xml:space="preserve">tica Experimental</w:t>
      </w:r>
      <w:r>
        <w:t xml:space="preserve">, 310–326.</w:t>
      </w:r>
    </w:p>
    <w:bookmarkEnd w:id="71"/>
    <w:bookmarkStart w:id="72" w:name="ref-zhou2019detecting"/>
    <w:p>
      <w:pPr>
        <w:pStyle w:val="Bibliography"/>
      </w:pPr>
      <w:r>
        <w:t xml:space="preserve">Zhou, W., Nolan, F., Li, A., Gong, J., Xue, X., &amp; Ji, X. (2019). Detecting sarcastic and complimentary exclamations in english with intonation patterns and acoustic features: A case study.</w:t>
      </w:r>
      <w:r>
        <w:t xml:space="preserve"> </w:t>
      </w:r>
      <w:r>
        <w:rPr>
          <w:i/>
          <w:iCs/>
        </w:rPr>
        <w:t xml:space="preserve">2019 IEEE International Symposium on Signal Processing and Information Technology (ISSPIT)</w:t>
      </w:r>
      <w:r>
        <w:t xml:space="preserve">, 1–6.</w:t>
      </w:r>
    </w:p>
    <w:bookmarkEnd w:id="72"/>
    <w:bookmarkEnd w:id="73"/>
    <w:bookmarkEnd w:id="74"/>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0" Target="media/rId30.bmp" /><Relationship Type="http://schemas.openxmlformats.org/officeDocument/2006/relationships/hyperlink" Id="rId41" Target="https://doi.org/10.1017/S1366728922000499" TargetMode="External" /><Relationship Type="http://schemas.openxmlformats.org/officeDocument/2006/relationships/hyperlink" Id="rId21" Target="mailto:rme70@rutgers.edu" TargetMode="External" /></Relationships>
</file>

<file path=word/_rels/footnotes.xml.rels><?xml version="1.0" encoding="UTF-8"?><Relationships xmlns="http://schemas.openxmlformats.org/package/2006/relationships"><Relationship Type="http://schemas.openxmlformats.org/officeDocument/2006/relationships/hyperlink" Id="rId41" Target="https://doi.org/10.1017/S1366728922000499" TargetMode="External" /><Relationship Type="http://schemas.openxmlformats.org/officeDocument/2006/relationships/hyperlink" Id="rId21" Target="mailto:rme70@rutgers.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EARLY INTONATIONAL CUES TO SENTENCE MODALITY</dc:description>
  <cp:keywords>psycholinguistics, intonation, prediction, eye-tracking</cp:keywords>
  <dcterms:created xsi:type="dcterms:W3CDTF">2025-11-20T04:37:26Z</dcterms:created>
  <dcterms:modified xsi:type="dcterms:W3CDTF">2025-11-20T04:37:26Z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Accurately parsing intonation is crucial for identifying sentence modality (i.e., declarative versus interrogative utterances) in Spanish. For example, Mariano habla del tiempo may variably be a statement (‘Mariano talks about the weather’) or a neutral information-seeking yes-no question (‘Does Mariano talk about the weather?’) depending on the intonation. Traditional analysis of Spanish intonation points to solely the final pitch movement as determining sentence modality (Tomás Navarro, 1944), but a recent gating experiment has demonstrated that L1 Spanish speakers can identify sentence modality by the first word (Face, 2007). Humans are believed to integrate linguistic information incrementally to make predictions about future content (Van Petten &amp; Luka, 2012), and it follows that Spanish speakers would use early intonational cues to predict sentence modality instead of waiting for the final pitch movement, but there has yet to have been on-line measures to determine if sentence modality is predicted during real-time processing based on intonatioanl cues. This study uses eye-tracking to investigate L1 Spanish speakers’ and L1 English L2 Spanish learners’ sensitivity to early intonational information for identifying sentence modality. Participants completed a two-alternative forced choice task in which they identified if an orally-delivered utterance was a question or not. Results of this study provide insight into understanding if either or both populations are sensitive to non-vital intonational information to predict sentence type. The findings of this study shed light on the incremental processing of intonational information as real-time sentence comprehension unfolds and provides information about which cues are recruited to make predictions.</vt:lpwstr>
  </property>
  <property fmtid="{D5CDD505-2E9C-101B-9397-08002B2CF9AE}" pid="5" name="apaauthor">
    <vt:lpwstr/>
  </property>
  <property fmtid="{D5CDD505-2E9C-101B-9397-08002B2CF9AE}" pid="6" name="apatitle">
    <vt:lpwstr>Using Early Intonational Cues to Disambiguate Sentence Modality in L1 and L2 Spanish: An Eye-tracking Study</vt:lpwstr>
  </property>
  <property fmtid="{D5CDD505-2E9C-101B-9397-08002B2CF9AE}" pid="7" name="apatitledisplay">
    <vt:lpwstr>Using Early Intonational Cues to Disambiguate Sentence Modality in L1 and L2 Spanish: An Eye-tracking Study</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fig-cap-location">
    <vt:lpwstr>top</vt:lpwstr>
  </property>
  <property fmtid="{D5CDD505-2E9C-101B-9397-08002B2CF9AE}" pid="18" name="floatsintext">
    <vt:lpwstr>True</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no-ampersand-parenthetical">
    <vt:lpwstr>False</vt:lpwstr>
  </property>
  <property fmtid="{D5CDD505-2E9C-101B-9397-08002B2CF9AE}" pid="27" name="number-depth">
    <vt:lpwstr>3</vt:lpwstr>
  </property>
  <property fmtid="{D5CDD505-2E9C-101B-9397-08002B2CF9AE}" pid="28" name="numbersections">
    <vt:lpwstr>False</vt:lpwstr>
  </property>
  <property fmtid="{D5CDD505-2E9C-101B-9397-08002B2CF9AE}" pid="29" name="oneaffiliation">
    <vt:lpwstr>True</vt:lpwstr>
  </property>
  <property fmtid="{D5CDD505-2E9C-101B-9397-08002B2CF9AE}" pid="30" name="oneauthor">
    <vt:lpwstr>True</vt:lpwstr>
  </property>
  <property fmtid="{D5CDD505-2E9C-101B-9397-08002B2CF9AE}" pid="31" name="references">
    <vt:lpwstr/>
  </property>
  <property fmtid="{D5CDD505-2E9C-101B-9397-08002B2CF9AE}" pid="32" name="revealjs-plugins">
    <vt:lpwstr/>
  </property>
  <property fmtid="{D5CDD505-2E9C-101B-9397-08002B2CF9AE}" pid="33" name="shorttitle">
    <vt:lpwstr>EARLY INTONATIONAL CUES TO SENTENCE MODALITY</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2307</vt:lpwstr>
  </property>
  <property fmtid="{D5CDD505-2E9C-101B-9397-08002B2CF9AE}" pid="61" name="zerocitations">
    <vt:lpwstr>False</vt:lpwstr>
  </property>
</Properties>
</file>