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de Engenharia para Sistemas Multiagentes: Clareza Estrutural, Herança de Habilidades e Governança Comunicacional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avanço exponencial dos modelos de linguagem de grande porte e das tecnologias de inteligência artificial agentiva exige uma transição coordenada de arquiteturas ad-hoc para sistemas sistemáticos de nível de produção.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implementação eficaz de ecossistemas multiagentes depende de princípios fundamentais que espelham o desenvolvimento de sistemas distribuídos e de software tradicionais, adaptados para lidar com a natureza não determinística dos modelos generativos.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garantir a viabilidade operacional e a segurança em ambientes regulados, este relatório detalha diretrizes arquiteturais focadas em clareza estrutural, redução de redundância, herança explícita, universalidade e manutenibilidade.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Governança Estrutural e o Modelo de Responsabilidade Compartilhada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Sistemas agentivos contemporâneos são categorizados em três níveis de complexidade incremental: agentes isolados para tarefas específicas, inteligência artificial agentiva baseada em colaboração coordenada e comunidades agentivas caracterizadas pela coordenação governada entre múltiplos agentes e participantes humanos.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À medida que a autonomia operacional se expande, a ausência de limites claros entre os componentes de software e as decisões em tempo de execução gera falhas de conformidade e o desvio de fronteiras operacionais (</w:t>
      </w:r>
      <w:r w:rsidDel="00000000" w:rsidR="00000000" w:rsidRPr="00000000">
        <w:rPr>
          <w:rFonts w:ascii="Google Sans" w:cs="Google Sans" w:eastAsia="Google Sans" w:hAnsi="Google Sans"/>
          <w:i w:val="1"/>
          <w:iCs w:val="1"/>
          <w:color w:val="1f1f1f"/>
          <w:rtl w:val="0"/>
        </w:rPr>
        <w:t xml:space="preserve">boundary drift</w:t>
      </w:r>
      <w:r w:rsidDel="00000000" w:rsidR="00000000" w:rsidRPr="00000000">
        <w:rPr>
          <w:rFonts w:ascii="Google Sans" w:cs="Google Sans" w:eastAsia="Google Sans" w:hAnsi="Google Sans"/>
          <w:color w:val="1f1f1f"/>
          <w:rtl w:val="0"/>
        </w:rPr>
        <w:t xml:space="preserve">), no qual agentes improvisam de forma imprevisível diante de lacunas estruturais.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mitigar a imprevisibilidade, adota-se o Modelo de Responsabilidade Compartilhada, adaptado das arquiteturas de nuvem.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modelo separa rigidamente a infraestrutura de controle, de responsabilidade do desenvolvedor, das decisões contextuais, sob responsabilidade do agente.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1: Modelo de Responsabilidade Compartilhada em Sistemas Agentivos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Camada de Atuação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Responsabilidade Estrutural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Elementos Governáveis e Atribuições Técnicas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Desenvolvedor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Estrutura e Limites do Sistema (</w:t>
            </w:r>
            <w:r w:rsidDel="00000000" w:rsidR="00000000" w:rsidRPr="00000000">
              <w:rPr>
                <w:rFonts w:ascii="Google Sans" w:cs="Google Sans" w:eastAsia="Google Sans" w:hAnsi="Google Sans"/>
                <w:i w:val="1"/>
                <w:iCs w:val="1"/>
                <w:color w:val="1f1f1f"/>
                <w:shd w:fill="auto" w:val="clear"/>
                <w:rtl w:val="0"/>
              </w:rPr>
              <w:t xml:space="preserve">Security OF the System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Projeto da arquitetura, interfaces e superfície das ferramentas, esquemas de exceção estruturada, controle do orçamento de recursos/iterações e regras para recusa de solicitações.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Decisões em Tempo de Execução (</w:t>
            </w:r>
            <w:r w:rsidDel="00000000" w:rsidR="00000000" w:rsidRPr="00000000">
              <w:rPr>
                <w:rFonts w:ascii="Google Sans" w:cs="Google Sans" w:eastAsia="Google Sans" w:hAnsi="Google Sans"/>
                <w:i w:val="1"/>
                <w:iCs w:val="1"/>
                <w:color w:val="1f1f1f"/>
                <w:shd w:fill="auto" w:val="clear"/>
                <w:rtl w:val="0"/>
              </w:rPr>
              <w:t xml:space="preserve">Security IN the System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Escolha do momento de novas tentativas (</w:t>
            </w:r>
            <w:r w:rsidDel="00000000" w:rsidR="00000000" w:rsidRPr="00000000">
              <w:rPr>
                <w:rFonts w:ascii="Google Sans" w:cs="Google Sans" w:eastAsia="Google Sans" w:hAnsi="Google Sans"/>
                <w:i w:val="1"/>
                <w:iCs w:val="1"/>
                <w:color w:val="1f1f1f"/>
                <w:shd w:fill="auto" w:val="clear"/>
                <w:rtl w:val="0"/>
              </w:rPr>
              <w:t xml:space="preserve">retries</w:t>
            </w:r>
            <w:r w:rsidDel="00000000" w:rsidR="00000000" w:rsidRPr="00000000">
              <w:rPr>
                <w:rFonts w:ascii="Google Sans" w:cs="Google Sans" w:eastAsia="Google Sans" w:hAnsi="Google Sans"/>
                <w:color w:val="1f1f1f"/>
                <w:shd w:fill="auto" w:val="clear"/>
                <w:rtl w:val="0"/>
              </w:rPr>
              <w:t xml:space="preserve">), emissão de exceções tipadas, relatório de resultados parciais e conformidade com limites de orçamento e sequências forçadas.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Operador Humano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Entrada Exclusiva e Autorização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Fornecimento de aprovações críticas, concessão de credenciais temporárias, fornecimento de entradas indisponíveis ao sistema e atuação como ponto de transição deliberada.</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Qualquer falha sistemática não tratada na camada do desenvolvedor resulta em improvisações instáveis do agente em tempo de execução.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Assim, a transferência de controle para o operador humano deve ser projetada como um estado esperado de sucesso operacional, e não como uma falha do sistema, assegurando auditoria completa e mitigação de riscos.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Clareza Estrutural e Decomposição de Agentes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Divisão por Responsabilidade: Agentes de Execução vs. Agentes de Serviço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clareza estrutural exige que componentes com responsabilidades excessivas ou escopos mistos sejam decompostos de forma estrita. Quando um agente acumula funções diversas, a precisão das decisões diminui devido à sobrecarga de contexto. O sistema deve ser fracionado em duas categorias principais de agentes especializados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Agentes de Execução (</w:t>
      </w:r>
      <w:r w:rsidDel="00000000" w:rsidR="00000000" w:rsidRPr="00000000">
        <w:rPr>
          <w:rFonts w:ascii="Google Sans" w:cs="Google Sans" w:eastAsia="Google Sans" w:hAnsi="Google Sans"/>
          <w:b w:val="1"/>
          <w:bCs w:val="1"/>
          <w:i w:val="1"/>
          <w:iCs w:val="1"/>
          <w:color w:val="1f1f1f"/>
          <w:rtl w:val="0"/>
        </w:rPr>
        <w:t xml:space="preserve">Worker Agents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Componentes projetados para executar tarefas de domínio específico e escopo restrito, tais como fluxos de geração aumentada por recuperação (RAG), extração de dados ou cálculos específicos.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Estes agentes podem ser projetados como apátridas (</w:t>
      </w:r>
      <w:r w:rsidDel="00000000" w:rsidR="00000000" w:rsidRPr="00000000">
        <w:rPr>
          <w:rFonts w:ascii="Google Sans" w:cs="Google Sans" w:eastAsia="Google Sans" w:hAnsi="Google Sans"/>
          <w:i w:val="1"/>
          <w:iCs w:val="1"/>
          <w:color w:val="1f1f1f"/>
          <w:rtl w:val="0"/>
        </w:rPr>
        <w:t xml:space="preserve">stateless</w:t>
      </w:r>
      <w:r w:rsidDel="00000000" w:rsidR="00000000" w:rsidRPr="00000000">
        <w:rPr>
          <w:rFonts w:ascii="Google Sans" w:cs="Google Sans" w:eastAsia="Google Sans" w:hAnsi="Google Sans"/>
          <w:color w:val="1f1f1f"/>
          <w:rtl w:val="0"/>
        </w:rPr>
        <w:t xml:space="preserve">), processando cada requisição de maneira isolada sem reter histórico, ou com estado (</w:t>
      </w:r>
      <w:r w:rsidDel="00000000" w:rsidR="00000000" w:rsidRPr="00000000">
        <w:rPr>
          <w:rFonts w:ascii="Google Sans" w:cs="Google Sans" w:eastAsia="Google Sans" w:hAnsi="Google Sans"/>
          <w:i w:val="1"/>
          <w:iCs w:val="1"/>
          <w:color w:val="1f1f1f"/>
          <w:rtl w:val="0"/>
        </w:rPr>
        <w:t xml:space="preserve">stateful</w:t>
      </w:r>
      <w:r w:rsidDel="00000000" w:rsidR="00000000" w:rsidRPr="00000000">
        <w:rPr>
          <w:rFonts w:ascii="Google Sans" w:cs="Google Sans" w:eastAsia="Google Sans" w:hAnsi="Google Sans"/>
          <w:color w:val="1f1f1f"/>
          <w:rtl w:val="0"/>
        </w:rPr>
        <w:t xml:space="preserve">), monitorando o progresso ao longo de múltiplas etapas de um fluxo de trabalho.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Agentes de Serviço (</w:t>
      </w:r>
      <w:r w:rsidDel="00000000" w:rsidR="00000000" w:rsidRPr="00000000">
        <w:rPr>
          <w:rFonts w:ascii="Google Sans" w:cs="Google Sans" w:eastAsia="Google Sans" w:hAnsi="Google Sans"/>
          <w:b w:val="1"/>
          <w:bCs w:val="1"/>
          <w:i w:val="1"/>
          <w:iCs w:val="1"/>
          <w:color w:val="1f1f1f"/>
          <w:rtl w:val="0"/>
        </w:rPr>
        <w:t xml:space="preserve">Service Agents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Provedores de capacidades operacionais compartilhadas e utilitários reutilizáveis dentro do ecossistema.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Suas funções incluem garantia de qualidade (QA), monitoramento de conformidade regulatória, diagnósticos de erros e auto-recuperação de falhas (</w:t>
      </w:r>
      <w:r w:rsidDel="00000000" w:rsidR="00000000" w:rsidRPr="00000000">
        <w:rPr>
          <w:rFonts w:ascii="Google Sans" w:cs="Google Sans" w:eastAsia="Google Sans" w:hAnsi="Google Sans"/>
          <w:i w:val="1"/>
          <w:iCs w:val="1"/>
          <w:color w:val="1f1f1f"/>
          <w:rtl w:val="0"/>
        </w:rPr>
        <w:t xml:space="preserve">healing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Enquanto os agentes de auto-recuperação restabelecem estados de fluxo interrompidos, agentes de agendamento de atualizações (</w:t>
      </w:r>
      <w:r w:rsidDel="00000000" w:rsidR="00000000" w:rsidRPr="00000000">
        <w:rPr>
          <w:rFonts w:ascii="Google Sans" w:cs="Google Sans" w:eastAsia="Google Sans" w:hAnsi="Google Sans"/>
          <w:i w:val="1"/>
          <w:iCs w:val="1"/>
          <w:color w:val="1f1f1f"/>
          <w:rtl w:val="0"/>
        </w:rPr>
        <w:t xml:space="preserve">upgrade schedulers</w:t>
      </w:r>
      <w:r w:rsidDel="00000000" w:rsidR="00000000" w:rsidRPr="00000000">
        <w:rPr>
          <w:rFonts w:ascii="Google Sans" w:cs="Google Sans" w:eastAsia="Google Sans" w:hAnsi="Google Sans"/>
          <w:color w:val="1f1f1f"/>
          <w:rtl w:val="0"/>
        </w:rPr>
        <w:t xml:space="preserve">) gerenciam de forma transparente as transições de versão dos componentes sem indisponibilizar a execução contínua.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Padrão Coordenador-Implementor-Verificador (CIV)</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fluxos de trabalho complexos, como o ciclo de vida de desenvolvimento de software (SDLC) ou análise de dados, a arquitetura deve seguir o padrão Coordenador-Implementor-Verificador (CIV), isolando planejamento, execução e validação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Coordenador (</w:t>
      </w:r>
      <w:r w:rsidDel="00000000" w:rsidR="00000000" w:rsidRPr="00000000">
        <w:rPr>
          <w:rFonts w:ascii="Google Sans" w:cs="Google Sans" w:eastAsia="Google Sans" w:hAnsi="Google Sans"/>
          <w:b w:val="1"/>
          <w:bCs w:val="1"/>
          <w:i w:val="1"/>
          <w:iCs w:val="1"/>
          <w:color w:val="1f1f1f"/>
          <w:rtl w:val="0"/>
        </w:rPr>
        <w:t xml:space="preserve">Coordinator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Responsável exclusivo pelo planejamento, decomposição e roteamento.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Converte as requisições recebidas em uma especificação estruturada, mapeando dependências, arquivos afetados e árvores de chamadas.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Para evitar redundância e duplo trabalho, cada sub-tarefa emitida pelo coordenador deve conter obrigatoriamente um objetivo, um formato de saída estruturado, guias de ferramentas recomendadas e limites claros de fronteira.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Implementador (</w:t>
      </w:r>
      <w:r w:rsidDel="00000000" w:rsidR="00000000" w:rsidRPr="00000000">
        <w:rPr>
          <w:rFonts w:ascii="Google Sans" w:cs="Google Sans" w:eastAsia="Google Sans" w:hAnsi="Google Sans"/>
          <w:b w:val="1"/>
          <w:bCs w:val="1"/>
          <w:i w:val="1"/>
          <w:iCs w:val="1"/>
          <w:color w:val="1f1f1f"/>
          <w:rtl w:val="0"/>
        </w:rPr>
        <w:t xml:space="preserve">Implementor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Atua no ambiente de execução isolado recebendo as tarefas delimitadas do coordenador.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isolamento do ambiente de execução impede que modificações concorrentes causem interferências em módulos paralelos, preservando o princípio de responsabilidade única ao separar execução de decisões de roteamento.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Verificador (</w:t>
      </w:r>
      <w:r w:rsidDel="00000000" w:rsidR="00000000" w:rsidRPr="00000000">
        <w:rPr>
          <w:rFonts w:ascii="Google Sans" w:cs="Google Sans" w:eastAsia="Google Sans" w:hAnsi="Google Sans"/>
          <w:b w:val="1"/>
          <w:bCs w:val="1"/>
          <w:i w:val="1"/>
          <w:iCs w:val="1"/>
          <w:color w:val="1f1f1f"/>
          <w:rtl w:val="0"/>
        </w:rPr>
        <w:t xml:space="preserve">Verifier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Responsável pela validação independente dos resultados em relação às especificações iniciais.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integridade do verificador reside na sua independência em avaliar a entrega final com base nos critérios estabelecidos pelo coordenador, em vez de se basear no histórico de raciocínio lógico percorrido pelo implementador.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Feedbacks estruturados de falha são devolvidos ao contexto de nova tentativa do coordenador.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Desacoplamento de Estado e Comportamento: O Padrão ECS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manutenibilidade do ecossistema é otimizada ao adotar o padrão Entidade-Componente-Sistema (ECS) derivado de sistemas de alta concorrência.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Este padrão separa completamente os dados operacionais das regras de transição de estado:</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w:t>
      </w:r>
      <w:r w:rsidDel="00000000" w:rsidR="00000000" w:rsidRPr="00000000">
        <w:rPr>
          <w:rFonts w:ascii="Google Sans" w:cs="Google Sans" w:eastAsia="Google Sans" w:hAnsi="Google Sans"/>
          <w:b w:val="1"/>
          <w:bCs w:val="1"/>
          <w:i w:val="1"/>
          <w:iCs w:val="1"/>
          <w:color w:val="1f1f1f"/>
          <w:rtl w:val="0"/>
        </w:rPr>
        <w:t xml:space="preserve">Entities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Identificadores lógicos exclusivos que representam agentes ou elementos do ambiente de simulação, sem conter dados internos ou lógica de comportamento.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Componentes (</w:t>
      </w:r>
      <w:r w:rsidDel="00000000" w:rsidR="00000000" w:rsidRPr="00000000">
        <w:rPr>
          <w:rFonts w:ascii="Google Sans" w:cs="Google Sans" w:eastAsia="Google Sans" w:hAnsi="Google Sans"/>
          <w:b w:val="1"/>
          <w:bCs w:val="1"/>
          <w:i w:val="1"/>
          <w:iCs w:val="1"/>
          <w:color w:val="1f1f1f"/>
          <w:rtl w:val="0"/>
        </w:rPr>
        <w:t xml:space="preserve">Components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Estruturas puras de dados armazenadas de forma contígua em memória para otimização de acesso.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Cada componente encapsula uma única característica ou estado específico de uma entidade (por exemplo, permissões, buffers de memória de curto prazo ou estado de tarefas).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Sistemas (</w:t>
      </w:r>
      <w:r w:rsidDel="00000000" w:rsidR="00000000" w:rsidRPr="00000000">
        <w:rPr>
          <w:rFonts w:ascii="Google Sans" w:cs="Google Sans" w:eastAsia="Google Sans" w:hAnsi="Google Sans"/>
          <w:b w:val="1"/>
          <w:bCs w:val="1"/>
          <w:i w:val="1"/>
          <w:iCs w:val="1"/>
          <w:color w:val="1f1f1f"/>
          <w:rtl w:val="0"/>
        </w:rPr>
        <w:t xml:space="preserve">Systems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Módulos que contêm exclusivamente lógica de execução e regras de comportamento.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Os sistemas operam de forma contínua sobre todas as entidades que possuam uma combinação específica de componentes, garantindo que alterações estruturais nos dados de um agente não quebrem a lógica geral de processamento do ecossistema.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Redução de Redundância Comunicacional e Roteamento Semântico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Mitigação de Redundância por Mensageria Hierárquica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ausência de coordenação hierárquica em sistemas multiagentes tradicionais resulta em severa ineficiência comunicacional. Pesquisas empíricas revelam que agentes operando em topologias descentralizadas revisitam caminhos de inferência idênticos e duplicam esforços de recuperação de dados, gerando uma taxa média de redundância de conhecimento equivalente 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5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3355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ineficiência é mitigada ao estruturar a comunicação por meio de um grafo heterogêneo composto por três camadas hierárquicas coordenadas: planejamento de tarefas, execução de raciocínio e recuperação de memória.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passagem de mensagens hierárquica estabelece fluxos bidirecionais estruturados, nos quais os requisitos de tarefas guiam as requisições de memória, e o feedback gerado pelas execuções refina dinamicamente o planejamento global das tarefas.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escolha entre uma abordagem centralizada de agente único ou uma comunidade multiagente distribuída deve ponderar os custos de computação e a sensibilidade do contexto em tempo de execução.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2: Critérios de Decisão Arquitetural para Seleção de Topologia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Técnico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de Fluxo Único (Single-Agent)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Multiagente Coordenada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Paralelização de Tarefas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Inexistente. Processamento estritamente sequencial limitado ao fluxo primário.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Capacidade de execução paralela para tarefas intensivas de leitura e análise.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Consistência de Contexto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Garantida. O histórico unificado elimina o risco de decisões implícitas conflitantes.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Variável. Exige compressão inteligente para evitar divergência de decisões entre agentes.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Computacional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Baixo. Consumo previsível e otimizado dentro dos limites de uma única janela de contexto.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Elevado. Custos de tokens podem ser até </w:t>
            </w:r>
            <w:r w:rsidDel="00000000" w:rsidR="00000000" w:rsidRPr="00000000">
              <w:rPr>
                <w:rFonts w:ascii="Google Sans" w:cs="Google Sans" w:eastAsia="Google Sans" w:hAnsi="Google Sans"/>
                <w:color w:val="1f1f1f"/>
                <w:shd w:fill="auto" w:val="clear"/>
              </w:rPr>
              <w:drawing>
                <wp:inline distB="19050" distT="19050" distL="19050" distR="19050">
                  <wp:extent cx="307446" cy="20496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7446" cy="204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superiores devido a chamadas repetidas.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 Domínio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Recomendado para tarefas de escrita intensa (</w:t>
            </w:r>
            <w:r w:rsidDel="00000000" w:rsidR="00000000" w:rsidRPr="00000000">
              <w:rPr>
                <w:rFonts w:ascii="Google Sans" w:cs="Google Sans" w:eastAsia="Google Sans" w:hAnsi="Google Sans"/>
                <w:i w:val="1"/>
                <w:iCs w:val="1"/>
                <w:color w:val="1f1f1f"/>
                <w:shd w:fill="auto" w:val="clear"/>
                <w:rtl w:val="0"/>
              </w:rPr>
              <w:t xml:space="preserve">write-heavy</w:t>
            </w:r>
            <w:r w:rsidDel="00000000" w:rsidR="00000000" w:rsidRPr="00000000">
              <w:rPr>
                <w:rFonts w:ascii="Google Sans" w:cs="Google Sans" w:eastAsia="Google Sans" w:hAnsi="Google Sans"/>
                <w:color w:val="1f1f1f"/>
                <w:shd w:fill="auto" w:val="clear"/>
                <w:rtl w:val="0"/>
              </w:rPr>
              <w:t xml:space="preserve">), como desenvolvimento de código.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Recomendado para processamento de dados amplo (</w:t>
            </w:r>
            <w:r w:rsidDel="00000000" w:rsidR="00000000" w:rsidRPr="00000000">
              <w:rPr>
                <w:rFonts w:ascii="Google Sans" w:cs="Google Sans" w:eastAsia="Google Sans" w:hAnsi="Google Sans"/>
                <w:i w:val="1"/>
                <w:iCs w:val="1"/>
                <w:color w:val="1f1f1f"/>
                <w:shd w:fill="auto" w:val="clear"/>
                <w:rtl w:val="0"/>
              </w:rPr>
              <w:t xml:space="preserve">read-heavy</w:t>
            </w:r>
            <w:r w:rsidDel="00000000" w:rsidR="00000000" w:rsidRPr="00000000">
              <w:rPr>
                <w:rFonts w:ascii="Google Sans" w:cs="Google Sans" w:eastAsia="Google Sans" w:hAnsi="Google Sans"/>
                <w:color w:val="1f1f1f"/>
                <w:shd w:fill="auto" w:val="clear"/>
                <w:rtl w:val="0"/>
              </w:rPr>
              <w:t xml:space="preserve">), como pesquisa e auditoria.</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atenuar os custos e a perda de consistência em arquiteturas multiagentes, aplica-se a engenharia de contexto avançada através de três frentes: compressão inteligente por meio de modelos dedicados para sumarizar históricos de conversas em eventos cruciais; curadoria preditiva para antecipar informações requeridas em etapas futuras; e estrutura de memória hierárquica baseada em diferentes escalas temporais.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Resolução de Escopos Semelhantes: Roteamento Baseado em Leilão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Quando o ecossistema apresenta agentes semelhantes ou com competências sobrepostas, a arquitetura deve redefinir seus escopos por meio de mecanismos de roteamento semântico.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Enquanto o roteamento baseado em regras aplica condicionais estáticas codificadas para direcionar fluxos simples, o roteamento baseado em leilão (</w:t>
      </w:r>
      <w:r w:rsidDel="00000000" w:rsidR="00000000" w:rsidRPr="00000000">
        <w:rPr>
          <w:rFonts w:ascii="Google Sans" w:cs="Google Sans" w:eastAsia="Google Sans" w:hAnsi="Google Sans"/>
          <w:i w:val="1"/>
          <w:iCs w:val="1"/>
          <w:color w:val="1f1f1f"/>
          <w:rtl w:val="0"/>
        </w:rPr>
        <w:t xml:space="preserve">auction-based routing</w:t>
      </w:r>
      <w:r w:rsidDel="00000000" w:rsidR="00000000" w:rsidRPr="00000000">
        <w:rPr>
          <w:rFonts w:ascii="Google Sans" w:cs="Google Sans" w:eastAsia="Google Sans" w:hAnsi="Google Sans"/>
          <w:color w:val="1f1f1f"/>
          <w:rtl w:val="0"/>
        </w:rPr>
        <w:t xml:space="preserve">) gerencia escopos concorrentes de forma dinâmica.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Nesse formato, os agentes semelhantes analisam a entrada de dados comum e emitem propostas computacionais contendo estimativas de custo de tokens, tempo de execução, precisão histórica e disponibilidade de ferramentas.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orquestrador avalia as propostas e atribui a tarefa ao agente que apresentar o lance de maior eficiência, eliminando redundâncias e garantindo a especialização contínua das funções.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Herança Explícita e Engenharia de Prompt Extensível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Padrão Skill-Memories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engenharia de prompts em larga escala sofre frequentemente com a duplicação e dispersão de diretrizes de comportamento.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modificação ad-hoc de arquivos de instruções copiados entre repositórios gera divergências funcionais indesejadas e dificulta a atualização das regras gerais do sistema.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padrão de Memórias de Habilidades (</w:t>
      </w:r>
      <w:r w:rsidDel="00000000" w:rsidR="00000000" w:rsidRPr="00000000">
        <w:rPr>
          <w:rFonts w:ascii="Google Sans" w:cs="Google Sans" w:eastAsia="Google Sans" w:hAnsi="Google Sans"/>
          <w:i w:val="1"/>
          <w:iCs w:val="1"/>
          <w:color w:val="1f1f1f"/>
          <w:rtl w:val="0"/>
        </w:rPr>
        <w:t xml:space="preserve">Skill-Memories</w:t>
      </w:r>
      <w:r w:rsidDel="00000000" w:rsidR="00000000" w:rsidRPr="00000000">
        <w:rPr>
          <w:rFonts w:ascii="Google Sans" w:cs="Google Sans" w:eastAsia="Google Sans" w:hAnsi="Google Sans"/>
          <w:color w:val="1f1f1f"/>
          <w:rtl w:val="0"/>
        </w:rPr>
        <w:t xml:space="preserve">) resolve essa fragilidade ao aplicar o Princípio Aberto/Fechado (</w:t>
      </w:r>
      <w:r w:rsidDel="00000000" w:rsidR="00000000" w:rsidRPr="00000000">
        <w:rPr>
          <w:rFonts w:ascii="Google Sans" w:cs="Google Sans" w:eastAsia="Google Sans" w:hAnsi="Google Sans"/>
          <w:i w:val="1"/>
          <w:iCs w:val="1"/>
          <w:color w:val="1f1f1f"/>
          <w:rtl w:val="0"/>
        </w:rPr>
        <w:t xml:space="preserve">Open/Closed Principle</w:t>
      </w:r>
      <w:r w:rsidDel="00000000" w:rsidR="00000000" w:rsidRPr="00000000">
        <w:rPr>
          <w:rFonts w:ascii="Google Sans" w:cs="Google Sans" w:eastAsia="Google Sans" w:hAnsi="Google Sans"/>
          <w:color w:val="1f1f1f"/>
          <w:rtl w:val="0"/>
        </w:rPr>
        <w:t xml:space="preserve">) para a programação baseada em linguagem natural, estruturando o comportamento dos agentes em uma hierarquia de herança explícita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Classe Base (SKILL.md):</w:t>
      </w:r>
      <w:r w:rsidDel="00000000" w:rsidR="00000000" w:rsidRPr="00000000">
        <w:rPr>
          <w:rFonts w:ascii="Google Sans" w:cs="Google Sans" w:eastAsia="Google Sans" w:hAnsi="Google Sans"/>
          <w:color w:val="1f1f1f"/>
          <w:rtl w:val="0"/>
        </w:rPr>
        <w:t xml:space="preserve"> Arquivo de instrução principal estruturado de forma rigorosa, versionado e testado pelo autor original do componente, permanecendo imutável pelas aplicações derivadas.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Sobrescritas de Subclasse (skill-memories/*.md):</w:t>
      </w:r>
      <w:r w:rsidDel="00000000" w:rsidR="00000000" w:rsidRPr="00000000">
        <w:rPr>
          <w:rFonts w:ascii="Google Sans" w:cs="Google Sans" w:eastAsia="Google Sans" w:hAnsi="Google Sans"/>
          <w:color w:val="1f1f1f"/>
          <w:rtl w:val="0"/>
        </w:rPr>
        <w:t xml:space="preserve"> Arquivos armazenados no diretório local .claude/skill-memories/ que especificam convenções exclusivas do projeto, padrões de equipes locais ou regras de negócios de domínio específico.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Mesclagem em Tempo de Execução:</w:t>
      </w:r>
      <w:r w:rsidDel="00000000" w:rsidR="00000000" w:rsidRPr="00000000">
        <w:rPr>
          <w:rFonts w:ascii="Google Sans" w:cs="Google Sans" w:eastAsia="Google Sans" w:hAnsi="Google Sans"/>
          <w:color w:val="1f1f1f"/>
          <w:rtl w:val="0"/>
        </w:rPr>
        <w:t xml:space="preserve"> Durante a inicialização do agente, o motor de execução compila a classe base juntamente com as sobrescritas locais, aplicando precedência de regras sem gerar conflitos de merge ou ramificações de código de prompt.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restrição e especialização de comportamentos genéricos são organizadas por meio de três níveis de divulgação progressiva, impedindo a execução de tarefas arbitrárias e delimitando as capacidades funcionais do agente.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3: Níveis de Divulgação Progressiva no Padrão de Habilidades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Nível de Controle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Execução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Exemplo de Implementação de Prompt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Finalidade de Engenharia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Nível 1</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Regras Textuais Simples e Diretivas Declarativas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Enforçar o uso exclusivo de bibliotecas específicas e proibir estados manuais.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Padronização estritamente sintática e conformidade arquitetural básica.</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Nível 2</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Lógica Condicional e Desvios Comportamentais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Verificação de existência de componentes no sistema de design antes da criação de novas classes.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Prevenção de retrabalho e reuso adaptativo de recursos.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Nível 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Referência a Scripts e Ferramentas Externas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Execução mandatória de testes de regressão visual e validadores de design tokens.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Integração de validações determinísticas e automação de pipelines.</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camadas mais robustas de infraestrutura corporativa, os agentes declarativos herdam diretamente as capacidades de segurança, autenticação e conformidade regulatória nativas do ecossistema de hospedagem (como na infraestrutura do Microsoft 365), permitindo rápida implementação sem a necessidade de desenvolvimento de novos barramentos de governança para cada agente derivado.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Universalidade, Interoperabilidade e Alinhamento Documental</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Protocolo Agent2Agent (A2A) e Cartões de Descoberta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universalidade dos sistemas multiagentes requer o alinhamento de documentações soltas a especificações técnicas rigorosas e legíveis por máquina.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protocolo Agent2Agent (A2A) padroniza a interoperabilidade, exigindo que todo agente em conformidade publique um cartão descritivo em uma URL padronizada (/.well-known/agent-card.json).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migração de sistemas para a especificação v1.0+ do protocolo A2A impõe uma mudança estrutural importante: todos os campos de habilitação de capacidades funcionais foram realocados do nível superior do JSON para o objeto interno capabilities, otimizando a herança e o suporte a transações.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Estrutura Legada (Pré-v1.0):</w:t>
        <w:br w:type="textWrapping"/>
        <w:t xml:space="preserve">{ "supportsExtendedAgentCard": true, "capabilities": { "streaming": true } }</w:t>
        <w:br w:type="textWrapping"/>
        <w:br w:type="textWrapping"/>
        <w:t xml:space="preserve">Estrutura Atual (v1.0+):</w:t>
        <w:br w:type="textWrapping"/>
        <w:t xml:space="preserve">{ "capabilities": { "streaming": true, "extendedAgentCard": true } }</w:t>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conformidade com a migração v1.0+ exige etapas específicas para cada papel técnico do ecossistema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Implementadores de Agentes:</w:t>
      </w:r>
      <w:r w:rsidDel="00000000" w:rsidR="00000000" w:rsidRPr="00000000">
        <w:rPr>
          <w:rFonts w:ascii="Google Sans" w:cs="Google Sans" w:eastAsia="Google Sans" w:hAnsi="Google Sans"/>
          <w:color w:val="1f1f1f"/>
          <w:rtl w:val="0"/>
        </w:rPr>
        <w:t xml:space="preserve"> Devem remover a propriedade legada do nó raiz, incluir o campo extendedAgentCard no objeto capabilities e atualizar o validador interno para checar o nó estruturado.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Implementadores de Clientes:</w:t>
      </w:r>
      <w:r w:rsidDel="00000000" w:rsidR="00000000" w:rsidRPr="00000000">
        <w:rPr>
          <w:rFonts w:ascii="Google Sans" w:cs="Google Sans" w:eastAsia="Google Sans" w:hAnsi="Google Sans"/>
          <w:color w:val="1f1f1f"/>
          <w:rtl w:val="0"/>
        </w:rPr>
        <w:t xml:space="preserve"> Devem atualizar os verificadores de capacidades para inspecionar o novo caminho e implementar uma lógica temporária de fallback para manter compatibilidade com agentes legados durante a janela de transição.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Desenvolvedores de SDK:</w:t>
      </w:r>
      <w:r w:rsidDel="00000000" w:rsidR="00000000" w:rsidRPr="00000000">
        <w:rPr>
          <w:rFonts w:ascii="Google Sans" w:cs="Google Sans" w:eastAsia="Google Sans" w:hAnsi="Google Sans"/>
          <w:color w:val="1f1f1f"/>
          <w:rtl w:val="0"/>
        </w:rPr>
        <w:t xml:space="preserve"> Devem regenerar as tipagens de código a partir dos arquivos de buffers de protocolo atualizados e registrar as quebras de compatibilidade em notas de lançamento oficiais.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Diferente do foco de intercomunicação do Cartão de Agente (A2A), corporações adotam o modelo de Cartão de Modelo (</w:t>
      </w:r>
      <w:r w:rsidDel="00000000" w:rsidR="00000000" w:rsidRPr="00000000">
        <w:rPr>
          <w:rFonts w:ascii="Google Sans" w:cs="Google Sans" w:eastAsia="Google Sans" w:hAnsi="Google Sans"/>
          <w:i w:val="1"/>
          <w:iCs w:val="1"/>
          <w:color w:val="1f1f1f"/>
          <w:rtl w:val="0"/>
        </w:rPr>
        <w:t xml:space="preserve">Model Card</w:t>
      </w:r>
      <w:r w:rsidDel="00000000" w:rsidR="00000000" w:rsidRPr="00000000">
        <w:rPr>
          <w:rFonts w:ascii="Google Sans" w:cs="Google Sans" w:eastAsia="Google Sans" w:hAnsi="Google Sans"/>
          <w:color w:val="1f1f1f"/>
          <w:rtl w:val="0"/>
        </w:rPr>
        <w:t xml:space="preserve">) — estabelecido originalmente por Mitchell et al. em 2019 — para servir como uma etiqueta de conformidade técnica e ética das capacidades do modelo cognitivo básico.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4: Comparativo Técnico de Padrões de Cartões Documentais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Estrutural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Cartão de Agente (A2A Protocol)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Cartão de Modelo (Model Card Enterprise)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Principal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Descoberta dinâmica e orquestração de tarefas em ecossistemas de agentes.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Transparência operacional, mitigação de riscos e auditoria de conformidade regulatória.</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Consumidor Alvo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Orquestradores automáticos e agentes de roteamento em tempo de execução.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Diretores de Tecnologia (CTOs), Oficiais de Risco e Arquitetos de Soluções de IA.</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Campos Mandatórios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name, capabilities, url e referências de endpoints ativos.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Detalhes do Modelo, Casos de Uso Previstos, Métricas de Desempenho e Dados de Treinamento.</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Métricas Associadas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Ciclo de vida da tarefa (created, running, completed) e canais de status.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Benchmarks padronizados como MMLU (raciocínio geral), GSM8K (matemática) e HumanEval.</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Foco de Conformidade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Interoperabilidade de APIs, assinaturas de mensagens e protocolos de transporte.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Alinhamento com regulamentações como GDPR, SOC 2, ISO/IEC 27001 e residência de dados.</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Padronização de Schemas em Frameworks de Desenvolvimento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nível do código, a conformidade de ferramentas e declarações de agentes em bibliotecas populares deve seguir padrões estritos. Em implementações que utilizam o Agent Development Kit (ADK), as configurações requerem tipagens estruturadas para delimitar as fronteiras cognitivas do agente.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"customer_compliance_agent"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"Verifica conformidade regulatória de transações financeiras."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"model"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"gemini-flash-latest"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"input_schema"</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"transaction_id"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"amount"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"transaction_id"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"amount"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"output_schema"</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"flagged"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"rejected"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"violations"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"array"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"items"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uso das propriedades input_schema e output_schema garante que a comunicação inter-agente obedeça a contratos estritos baseados em JSON estruturado, impedindo que dados livres e sem formatação quebrem os fluxos operacionais subsequentes.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controle do histórico é governado pela propriedade include_contents, em que a opção default provê acesso à memória histórica e none impõe execução totalmente apátrida.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ferramentas que utilizam o ecossistema fast-agent, os agentes são definidos de forma declarativa e carregados com diretivas que controlam seu escopo de execução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Isolamento de Ferramentas:</w:t>
      </w:r>
      <w:r w:rsidDel="00000000" w:rsidR="00000000" w:rsidRPr="00000000">
        <w:rPr>
          <w:rFonts w:ascii="Google Sans" w:cs="Google Sans" w:eastAsia="Google Sans" w:hAnsi="Google Sans"/>
          <w:color w:val="1f1f1f"/>
          <w:rtl w:val="0"/>
        </w:rPr>
        <w:t xml:space="preserve"> Utilização de tool_only: true para restringir agentes criados como ferramentas auxiliares, impedindo que apareçam de forma inadequada em listas gerais de agentes interativos.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Configuração de Conectores de Barramento (mcp_connect):</w:t>
      </w:r>
      <w:r w:rsidDel="00000000" w:rsidR="00000000" w:rsidRPr="00000000">
        <w:rPr>
          <w:rFonts w:ascii="Google Sans" w:cs="Google Sans" w:eastAsia="Google Sans" w:hAnsi="Google Sans"/>
          <w:color w:val="1f1f1f"/>
          <w:rtl w:val="0"/>
        </w:rPr>
        <w:t xml:space="preserve"> Suporta a declaração de dependências dinâmicas por meio do Model Context Protocol (MCP).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Conexões locais padrão declaram campos target e name explicitamente.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Serviços hospedados utilizam a declaração de gerenciamento delegada ao provedor do modelo de linguagem (management: provider) passando tokens específicos de autorização.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Conectores estruturados da OpenAI dispensam parâmetros de rede físicos, operando unicamente através de identificadores estáticos de conexão (connector_id) e tokens OAuth segregados.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Manutenibilidade, Segurança e Práticas em Produção</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Desenvolvimento Baseado em Especificações (</w:t>
      </w:r>
      <w:r w:rsidDel="00000000" w:rsidR="00000000" w:rsidRPr="00000000">
        <w:rPr>
          <w:rFonts w:ascii="Google Sans" w:cs="Google Sans" w:eastAsia="Google Sans" w:hAnsi="Google Sans"/>
          <w:b w:val="1"/>
          <w:bCs w:val="1"/>
          <w:i w:val="1"/>
          <w:iCs w:val="1"/>
          <w:color w:val="1f1f1f"/>
          <w:sz w:val="28"/>
          <w:szCs w:val="28"/>
          <w:rtl w:val="0"/>
        </w:rPr>
        <w:t xml:space="preserve">Spec-Driven Development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manutenibilidade de sistemas multiagentes complexos é amplificada pelo desenvolvimento baseado em especificações formais, convertendo especificações escritas em linguagem natural em serviços operacionais estruturados com APIs REST nativas, geração de testes automatizados e logs de auditoria detalhados.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Esse paradigma garante a previsibilidade de fluxos críticos de verificação de regras de negócios em ambientes de produção.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5: Fluxo de Execução Estruturado para Validação de Conformidade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 Operacional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Técnico do Processo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Ações de Processamento e Regras de Negócios Aplicadas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Validação de Entrada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Confirmação de integridade e dados obrigatórios. Lança rejeição imediata se campos requeridos estiverem em branco.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Varredura de Segurança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Busca por itens proibidos, termos nocivos, materiais perigosos e violações de termos de serviço.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Filtragem de Conteúdo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Identificação de termos ofensivos, discurso de ódio e linguagem inadequada de forma contextual.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Detecção de Fraude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Varredura por alegações comerciais enganosas e declarações de endosso não verificadas.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Avaliação Sintática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Verificação de conformidade de formatação (uso abusivo de maiúsculas, pontuação excessiva ou tamanho inválido).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Aplicação de Regras de Domínio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Verificação de conformidade específica (exigência de dados de alérgenos para alimentos ou advertências médicas para cosméticos).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Consolidação de Violações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Agrupamento de todas as infrações detectadas ao longo das etapas computacionais.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Decisão de Status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Atribuição de status: aprovação imediata para conformidade plena, rejeição para violações claras ou escalonamento estruturado.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Geração de Relatório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Criação de justificativa inteligível para o cliente externo detalhando as violações e passos corretivos requeridos.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Roteamento Final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Atribuição de ação recomendada: publicação automatizada, remoção imediata ou direcionamento para revisão humana manual.</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Engenharia de Segurança Agentiva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ambientes corporativos altamente integrados, o acionamento arbitrário de chamadas de rede e execução de scripts exige barreiras estruturais de proteção adicionais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Acesso por Privilégio Mínimo:</w:t>
      </w:r>
      <w:r w:rsidDel="00000000" w:rsidR="00000000" w:rsidRPr="00000000">
        <w:rPr>
          <w:rFonts w:ascii="Google Sans" w:cs="Google Sans" w:eastAsia="Google Sans" w:hAnsi="Google Sans"/>
          <w:color w:val="1f1f1f"/>
          <w:rtl w:val="0"/>
        </w:rPr>
        <w:t xml:space="preserve"> As ferramentas expostas aos agentes devem possuir o menor escopo de privilégio possível.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Ferramentas destinadas a ler inventários de dados não devem possuir, em sua assinatura ou credenciais, permissões para modificação ou exclusão de registros.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Aprovação de Ação com Intervenção Humana:</w:t>
      </w:r>
      <w:r w:rsidDel="00000000" w:rsidR="00000000" w:rsidRPr="00000000">
        <w:rPr>
          <w:rFonts w:ascii="Google Sans" w:cs="Google Sans" w:eastAsia="Google Sans" w:hAnsi="Google Sans"/>
          <w:color w:val="1f1f1f"/>
          <w:rtl w:val="0"/>
        </w:rPr>
        <w:t xml:space="preserve"> Operações de alto impacto, como estornos financeiros, deleção de dados históricos ou envio de mensagens externas de marketing, requerem a obrigatoriedade de aprovação manual por um operador humano por meio de fluxos de confirmação explícitos e disjuntores operacionais (</w:t>
      </w:r>
      <w:r w:rsidDel="00000000" w:rsidR="00000000" w:rsidRPr="00000000">
        <w:rPr>
          <w:rFonts w:ascii="Google Sans" w:cs="Google Sans" w:eastAsia="Google Sans" w:hAnsi="Google Sans"/>
          <w:i w:val="1"/>
          <w:iCs w:val="1"/>
          <w:color w:val="1f1f1f"/>
          <w:rtl w:val="0"/>
        </w:rPr>
        <w:t xml:space="preserve">circuit breakers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Rastreabilidade de Proveniência:</w:t>
      </w:r>
      <w:r w:rsidDel="00000000" w:rsidR="00000000" w:rsidRPr="00000000">
        <w:rPr>
          <w:rFonts w:ascii="Google Sans" w:cs="Google Sans" w:eastAsia="Google Sans" w:hAnsi="Google Sans"/>
          <w:color w:val="1f1f1f"/>
          <w:rtl w:val="0"/>
        </w:rPr>
        <w:t xml:space="preserve"> Cada resposta gerada ou ação tomada pelo agente com base em dados externos recuperados deve registrar a proveniência detalhada da fonte de dados de origem, garantindo transparência no processo de auditoria.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Grafos de Políticas de Acesso:</w:t>
      </w:r>
      <w:r w:rsidDel="00000000" w:rsidR="00000000" w:rsidRPr="00000000">
        <w:rPr>
          <w:rFonts w:ascii="Google Sans" w:cs="Google Sans" w:eastAsia="Google Sans" w:hAnsi="Google Sans"/>
          <w:color w:val="1f1f1f"/>
          <w:rtl w:val="0"/>
        </w:rPr>
        <w:t xml:space="preserve"> O controle de acesso às ferramentas deve ser governado por grafos de políticas dinâmicas que validam se um agente específico possui permissão de acionamento sobre determinada entidade sob condições operacionais precisas, em substituição a listas de permissões estáticas.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Avaliação e Testes Contínuos:</w:t>
      </w:r>
      <w:r w:rsidDel="00000000" w:rsidR="00000000" w:rsidRPr="00000000">
        <w:rPr>
          <w:rFonts w:ascii="Google Sans" w:cs="Google Sans" w:eastAsia="Google Sans" w:hAnsi="Google Sans"/>
          <w:color w:val="1f1f1f"/>
          <w:rtl w:val="0"/>
        </w:rPr>
        <w:t xml:space="preserve"> O sistema multiagente deve ser avaliado continuamente contra bases de testes contendo casos típicos e anomalias de segurança para detectar regressões de comportamento em ciclos frequentes de desenvolvimento.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Recomendações Práticas para Engenharia de Sistemas Multiagentes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adequada de ecossistemas multiagentes complexos pode ser consolidada através de quatro diretrizes técnicas fundamentais de arquitetura:</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Particionamento Funcional Rígido (Mitigação de Agentes Bloated):</w:t>
      </w:r>
      <w:r w:rsidDel="00000000" w:rsidR="00000000" w:rsidRPr="00000000">
        <w:rPr>
          <w:rFonts w:ascii="Google Sans" w:cs="Google Sans" w:eastAsia="Google Sans" w:hAnsi="Google Sans"/>
          <w:color w:val="1f1f1f"/>
          <w:rtl w:val="0"/>
        </w:rPr>
        <w:t xml:space="preserve"> Sempre que um agente acumular múltiplos propósitos ou possuir uma lista excessivamente grande de ferramentas, sua estrutura deve ser dividida.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lógica deve ser separada utilizando o padrão CIV, isolando o planejamento estruturado em um Coordenador, a execução de tarefas específicas em um Implementador de escopo restrito e a homologação de qualidade em um Verificador independente.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Redução de Sobrecarga Comunicacional (Fusão de Escopos Redundantes):</w:t>
      </w:r>
      <w:r w:rsidDel="00000000" w:rsidR="00000000" w:rsidRPr="00000000">
        <w:rPr>
          <w:rFonts w:ascii="Google Sans" w:cs="Google Sans" w:eastAsia="Google Sans" w:hAnsi="Google Sans"/>
          <w:color w:val="1f1f1f"/>
          <w:rtl w:val="0"/>
        </w:rPr>
        <w:t xml:space="preserve"> Se o ecossistema apresentar agentes com responsabilidades de análise semelhantes, gerando desperdício e redundância de chamadas de inferência, os seus escopos devem ser fundidos ou reestruturados por meio de roteamento semântico baseado em leilão, delegando a execução com base em critérios objetivos de custo e performance de tempo de execução.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Formalização e Alinhamento de Metadados (Eliminação de Documentação Solta):</w:t>
      </w:r>
      <w:r w:rsidDel="00000000" w:rsidR="00000000" w:rsidRPr="00000000">
        <w:rPr>
          <w:rFonts w:ascii="Google Sans" w:cs="Google Sans" w:eastAsia="Google Sans" w:hAnsi="Google Sans"/>
          <w:color w:val="1f1f1f"/>
          <w:rtl w:val="0"/>
        </w:rPr>
        <w:t xml:space="preserve"> Todos os componentes, integrações e barramentos expostos no sistema devem ter suas interfaces documentadas e alinhadas aos templates de Cartões de Agentes do protocolo A2A v1.0+, movendo flags de propriedades para o nó estruturado de capacidades ou adotando o formato corporativo do padrão Model Card.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Restrição de Instruções por Herança (Prevenção de Skills Genéricas):</w:t>
      </w:r>
      <w:r w:rsidDel="00000000" w:rsidR="00000000" w:rsidRPr="00000000">
        <w:rPr>
          <w:rFonts w:ascii="Google Sans" w:cs="Google Sans" w:eastAsia="Google Sans" w:hAnsi="Google Sans"/>
          <w:color w:val="1f1f1f"/>
          <w:rtl w:val="0"/>
        </w:rPr>
        <w:t xml:space="preserve"> Substituir prompts genéricos e cópias manuais de regras pelo padrão de herança de prompt baseado no modelo Skill-Memories.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instrução de comportamento estrutural do agente deve residir em uma classe base imutável, permitindo apenas extensões específicas por meio de arquivos locais de memórias de projeto, estruturando o comportamento através de divulgação progressiva nos três níveis de controle operacional.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[2601.03624] Architecting Agentic Communities using Design Patterns - arXiv, accessed June 3, 2026, </w:t>
      </w:r>
      <w:hyperlink r:id="rId8">
        <w:r w:rsidDel="00000000" w:rsidR="00000000" w:rsidRPr="00000000">
          <w:rPr>
            <w:rFonts w:ascii="Google Sans" w:cs="Google Sans" w:eastAsia="Google Sans" w:hAnsi="Google Sans"/>
            <w:color w:val="0000ee"/>
            <w:sz w:val="24"/>
            <w:szCs w:val="24"/>
            <w:u w:val="single"/>
            <w:rtl w:val="0"/>
          </w:rPr>
          <w:t xml:space="preserve">https://arxiv.org/abs/2601.03624</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LLM Architecture: Building Coordinated Systems with Logic, accessed June 3, 2026, </w:t>
      </w:r>
      <w:hyperlink r:id="rId9">
        <w:r w:rsidDel="00000000" w:rsidR="00000000" w:rsidRPr="00000000">
          <w:rPr>
            <w:rFonts w:ascii="Google Sans" w:cs="Google Sans" w:eastAsia="Google Sans" w:hAnsi="Google Sans"/>
            <w:color w:val="0000ee"/>
            <w:sz w:val="24"/>
            <w:szCs w:val="24"/>
            <w:u w:val="single"/>
            <w:rtl w:val="0"/>
          </w:rPr>
          <w:t xml:space="preserve">https://logic.inc/resources/multi-agent-llm-architecture</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Agentic Communities using Design Patterns - arXiv, accessed June 3, 2026, </w:t>
      </w:r>
      <w:hyperlink r:id="rId10">
        <w:r w:rsidDel="00000000" w:rsidR="00000000" w:rsidRPr="00000000">
          <w:rPr>
            <w:rFonts w:ascii="Google Sans" w:cs="Google Sans" w:eastAsia="Google Sans" w:hAnsi="Google Sans"/>
            <w:color w:val="0000ee"/>
            <w:sz w:val="24"/>
            <w:szCs w:val="24"/>
            <w:u w:val="single"/>
            <w:rtl w:val="0"/>
          </w:rPr>
          <w:t xml:space="preserve">https://arxiv.org/html/2601.03624v3</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Shared Responsibility Model for Multi-Agent Systems | by Tomasz Salacinski - Medium, accessed June 3, 2026, </w:t>
      </w:r>
      <w:hyperlink r:id="rId11">
        <w:r w:rsidDel="00000000" w:rsidR="00000000" w:rsidRPr="00000000">
          <w:rPr>
            <w:rFonts w:ascii="Google Sans" w:cs="Google Sans" w:eastAsia="Google Sans" w:hAnsi="Google Sans"/>
            <w:color w:val="0000ee"/>
            <w:sz w:val="24"/>
            <w:szCs w:val="24"/>
            <w:u w:val="single"/>
            <w:rtl w:val="0"/>
          </w:rPr>
          <w:t xml:space="preserve">https://medium.com/@ishish222/the-shared-responsibility-model-for-multi-agent-systems-361ae015ceed</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Orchestration of Multi-Agent Systems: Architectures, Protocols, and Enterprise Adoption, accessed June 3, 2026, </w:t>
      </w:r>
      <w:hyperlink r:id="rId12">
        <w:r w:rsidDel="00000000" w:rsidR="00000000" w:rsidRPr="00000000">
          <w:rPr>
            <w:rFonts w:ascii="Google Sans" w:cs="Google Sans" w:eastAsia="Google Sans" w:hAnsi="Google Sans"/>
            <w:color w:val="0000ee"/>
            <w:sz w:val="24"/>
            <w:szCs w:val="24"/>
            <w:u w:val="single"/>
            <w:rtl w:val="0"/>
          </w:rPr>
          <w:t xml:space="preserve">https://arxiv.org/html/2601.13671v1</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SDLC Implementation: The Coordinator-Implementor ..., accessed June 3, 2026, </w:t>
      </w:r>
      <w:hyperlink r:id="rId13">
        <w:r w:rsidDel="00000000" w:rsidR="00000000" w:rsidRPr="00000000">
          <w:rPr>
            <w:rFonts w:ascii="Google Sans" w:cs="Google Sans" w:eastAsia="Google Sans" w:hAnsi="Google Sans"/>
            <w:color w:val="0000ee"/>
            <w:sz w:val="24"/>
            <w:szCs w:val="24"/>
            <w:u w:val="single"/>
            <w:rtl w:val="0"/>
          </w:rPr>
          <w:t xml:space="preserve">https://www.augmentcode.com/guides/agentic-sdlc-coordinator</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the Learning Curve: Reusing Existing Architectural Patterns to Design and Implement MAS - arXiv, accessed June 3, 2026, </w:t>
      </w:r>
      <w:hyperlink r:id="rId14">
        <w:r w:rsidDel="00000000" w:rsidR="00000000" w:rsidRPr="00000000">
          <w:rPr>
            <w:rFonts w:ascii="Google Sans" w:cs="Google Sans" w:eastAsia="Google Sans" w:hAnsi="Google Sans"/>
            <w:color w:val="0000ee"/>
            <w:sz w:val="24"/>
            <w:szCs w:val="24"/>
            <w:u w:val="single"/>
            <w:rtl w:val="0"/>
          </w:rPr>
          <w:t xml:space="preserve">https://arxiv.org/html/2606.00287v1</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"D"³⁢"MAS": Decompose, Deduce, and Distribute for Enhanced Knowledge Sharing in Multi-Agent Systems - arXiv, accessed June 3, 2026, </w:t>
      </w:r>
      <w:hyperlink r:id="rId15">
        <w:r w:rsidDel="00000000" w:rsidR="00000000" w:rsidRPr="00000000">
          <w:rPr>
            <w:rFonts w:ascii="Google Sans" w:cs="Google Sans" w:eastAsia="Google Sans" w:hAnsi="Google Sans"/>
            <w:color w:val="0000ee"/>
            <w:sz w:val="24"/>
            <w:szCs w:val="24"/>
            <w:u w:val="single"/>
            <w:rtl w:val="0"/>
          </w:rPr>
          <w:t xml:space="preserve">https://arxiv.org/html/2510.10585v3</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Single-Agent vs. Multi-Agent Systems - Zenn, accessed June 3, 2026, </w:t>
      </w:r>
      <w:hyperlink r:id="rId16">
        <w:r w:rsidDel="00000000" w:rsidR="00000000" w:rsidRPr="00000000">
          <w:rPr>
            <w:rFonts w:ascii="Google Sans" w:cs="Google Sans" w:eastAsia="Google Sans" w:hAnsi="Google Sans"/>
            <w:color w:val="0000ee"/>
            <w:sz w:val="24"/>
            <w:szCs w:val="24"/>
            <w:u w:val="single"/>
            <w:rtl w:val="0"/>
          </w:rPr>
          <w:t xml:space="preserve">https://zenn.dev/r_kaga/articles/ea7119d22d4d3c?locale=en</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Tutorial &amp; Examples - FME by Safe Software, accessed June 3, 2026, </w:t>
      </w:r>
      <w:hyperlink r:id="rId17">
        <w:r w:rsidDel="00000000" w:rsidR="00000000" w:rsidRPr="00000000">
          <w:rPr>
            <w:rFonts w:ascii="Google Sans" w:cs="Google Sans" w:eastAsia="Google Sans" w:hAnsi="Google Sans"/>
            <w:color w:val="0000ee"/>
            <w:sz w:val="24"/>
            <w:szCs w:val="24"/>
            <w:u w:val="single"/>
            <w:rtl w:val="0"/>
          </w:rPr>
          <w:t xml:space="preserve">https://fme.safe.com/guides/ai-agent-architecture/</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Skills Have an Inheritance Problem (Here's the Fix) - DEV ..., accessed June 3, 2026, </w:t>
      </w:r>
      <w:hyperlink r:id="rId18">
        <w:r w:rsidDel="00000000" w:rsidR="00000000" w:rsidRPr="00000000">
          <w:rPr>
            <w:rFonts w:ascii="Google Sans" w:cs="Google Sans" w:eastAsia="Google Sans" w:hAnsi="Google Sans"/>
            <w:color w:val="0000ee"/>
            <w:sz w:val="24"/>
            <w:szCs w:val="24"/>
            <w:u w:val="single"/>
            <w:rtl w:val="0"/>
          </w:rPr>
          <w:t xml:space="preserve">https://dev.to/aabyzov/ai-skills-have-an-inheritance-problem-heres-the-fix-2n9l</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Declarative agent architecture | Microsoft Learn, accessed June 3, 2026, </w:t>
      </w:r>
      <w:hyperlink r:id="rId19">
        <w:r w:rsidDel="00000000" w:rsidR="00000000" w:rsidRPr="00000000">
          <w:rPr>
            <w:rFonts w:ascii="Google Sans" w:cs="Google Sans" w:eastAsia="Google Sans" w:hAnsi="Google Sans"/>
            <w:color w:val="0000ee"/>
            <w:sz w:val="24"/>
            <w:szCs w:val="24"/>
            <w:u w:val="single"/>
            <w:rtl w:val="0"/>
          </w:rPr>
          <w:t xml:space="preserve">https://learn.microsoft.com/en-us/microsoft-365/copilot/extensibility/declarative-agent-architecture</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Scalable Multi Agent RAG system with A2A Protocol and LangChain - Oracle Blogs, accessed June 3, 2026, </w:t>
      </w:r>
      <w:hyperlink r:id="rId20">
        <w:r w:rsidDel="00000000" w:rsidR="00000000" w:rsidRPr="00000000">
          <w:rPr>
            <w:rFonts w:ascii="Google Sans" w:cs="Google Sans" w:eastAsia="Google Sans" w:hAnsi="Google Sans"/>
            <w:color w:val="0000ee"/>
            <w:sz w:val="24"/>
            <w:szCs w:val="24"/>
            <w:u w:val="single"/>
            <w:rtl w:val="0"/>
          </w:rPr>
          <w:t xml:space="preserve">https://blogs.oracle.com/developers/build-a-scalable-multi-agent-rag-system-with-a2a-protocol-and-langchain</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AI Agent Protocols - Google Developers Blog, accessed June 3, 2026, </w:t>
      </w:r>
      <w:hyperlink r:id="rId21">
        <w:r w:rsidDel="00000000" w:rsidR="00000000" w:rsidRPr="00000000">
          <w:rPr>
            <w:rFonts w:ascii="Google Sans" w:cs="Google Sans" w:eastAsia="Google Sans" w:hAnsi="Google Sans"/>
            <w:color w:val="0000ee"/>
            <w:sz w:val="24"/>
            <w:szCs w:val="24"/>
            <w:u w:val="single"/>
            <w:rtl w:val="0"/>
          </w:rPr>
          <w:t xml:space="preserve">https://developers.googleblog.com/developers-guide-to-ai-agent-protocols/</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Hype: A Strategic Guide to LLM Model Cards for the Enterprise - Medium, accessed June 3, 2026, </w:t>
      </w:r>
      <w:hyperlink r:id="rId22">
        <w:r w:rsidDel="00000000" w:rsidR="00000000" w:rsidRPr="00000000">
          <w:rPr>
            <w:rFonts w:ascii="Google Sans" w:cs="Google Sans" w:eastAsia="Google Sans" w:hAnsi="Google Sans"/>
            <w:color w:val="0000ee"/>
            <w:sz w:val="24"/>
            <w:szCs w:val="24"/>
            <w:u w:val="single"/>
            <w:rtl w:val="0"/>
          </w:rPr>
          <w:t xml:space="preserve">https://medium.com/@boopathisarvesan/beyond-the-hype-a-strategic-guide-to-llm-model-cards-for-the-enterprise-dc1feff63cc4</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agents - Agent Development Kit (ADK), accessed June 3, 2026, </w:t>
      </w:r>
      <w:hyperlink r:id="rId23">
        <w:r w:rsidDel="00000000" w:rsidR="00000000" w:rsidRPr="00000000">
          <w:rPr>
            <w:rFonts w:ascii="Google Sans" w:cs="Google Sans" w:eastAsia="Google Sans" w:hAnsi="Google Sans"/>
            <w:color w:val="0000ee"/>
            <w:sz w:val="24"/>
            <w:szCs w:val="24"/>
            <w:u w:val="single"/>
            <w:rtl w:val="0"/>
          </w:rPr>
          <w:t xml:space="preserve">https://adk.dev/agents/llm-agents/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Cards - fast-agent documentation, accessed June 3, 2026, </w:t>
      </w:r>
      <w:hyperlink r:id="rId24">
        <w:r w:rsidDel="00000000" w:rsidR="00000000" w:rsidRPr="00000000">
          <w:rPr>
            <w:rFonts w:ascii="Google Sans" w:cs="Google Sans" w:eastAsia="Google Sans" w:hAnsi="Google Sans"/>
            <w:color w:val="0000ee"/>
            <w:sz w:val="24"/>
            <w:szCs w:val="24"/>
            <w:u w:val="single"/>
            <w:rtl w:val="0"/>
          </w:rPr>
          <w:t xml:space="preserve">https://fast-agent.ai/agents/defining/agent_cards/</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Components &amp; Types - PuppyGraph, accessed June 3, 2026, </w:t>
      </w:r>
      <w:hyperlink r:id="rId25">
        <w:r w:rsidDel="00000000" w:rsidR="00000000" w:rsidRPr="00000000">
          <w:rPr>
            <w:rFonts w:ascii="Google Sans" w:cs="Google Sans" w:eastAsia="Google Sans" w:hAnsi="Google Sans"/>
            <w:color w:val="0000ee"/>
            <w:sz w:val="24"/>
            <w:szCs w:val="24"/>
            <w:u w:val="single"/>
            <w:rtl w:val="0"/>
          </w:rPr>
          <w:t xml:space="preserve">https://www.puppygraph.com/blog/ai-agent-architecture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s.oracle.com/developers/build-a-scalable-multi-agent-rag-system-with-a2a-protocol-and-langchain" TargetMode="External"/><Relationship Id="rId22" Type="http://schemas.openxmlformats.org/officeDocument/2006/relationships/hyperlink" Target="https://medium.com/@boopathisarvesan/beyond-the-hype-a-strategic-guide-to-llm-model-cards-for-the-enterprise-dc1feff63cc4" TargetMode="External"/><Relationship Id="rId21" Type="http://schemas.openxmlformats.org/officeDocument/2006/relationships/hyperlink" Target="https://developers.googleblog.com/developers-guide-to-ai-agent-protocols/" TargetMode="External"/><Relationship Id="rId24" Type="http://schemas.openxmlformats.org/officeDocument/2006/relationships/hyperlink" Target="https://fast-agent.ai/agents/defining/agent_cards/" TargetMode="External"/><Relationship Id="rId23" Type="http://schemas.openxmlformats.org/officeDocument/2006/relationships/hyperlink" Target="https://adk.dev/agents/llm-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gic.inc/resources/multi-agent-llm-architecture" TargetMode="External"/><Relationship Id="rId25" Type="http://schemas.openxmlformats.org/officeDocument/2006/relationships/hyperlink" Target="https://www.puppygraph.com/blog/ai-agent-architectur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rxiv.org/abs/2601.03624" TargetMode="External"/><Relationship Id="rId11" Type="http://schemas.openxmlformats.org/officeDocument/2006/relationships/hyperlink" Target="https://medium.com/@ishish222/the-shared-responsibility-model-for-multi-agent-systems-361ae015ceed" TargetMode="External"/><Relationship Id="rId10" Type="http://schemas.openxmlformats.org/officeDocument/2006/relationships/hyperlink" Target="https://arxiv.org/html/2601.03624v3" TargetMode="External"/><Relationship Id="rId13" Type="http://schemas.openxmlformats.org/officeDocument/2006/relationships/hyperlink" Target="https://www.augmentcode.com/guides/agentic-sdlc-coordinator" TargetMode="External"/><Relationship Id="rId12" Type="http://schemas.openxmlformats.org/officeDocument/2006/relationships/hyperlink" Target="https://arxiv.org/html/2601.13671v1" TargetMode="External"/><Relationship Id="rId15" Type="http://schemas.openxmlformats.org/officeDocument/2006/relationships/hyperlink" Target="https://arxiv.org/html/2510.10585v3" TargetMode="External"/><Relationship Id="rId14" Type="http://schemas.openxmlformats.org/officeDocument/2006/relationships/hyperlink" Target="https://arxiv.org/html/2606.00287v1" TargetMode="External"/><Relationship Id="rId17" Type="http://schemas.openxmlformats.org/officeDocument/2006/relationships/hyperlink" Target="https://fme.safe.com/guides/ai-agent-architecture/" TargetMode="External"/><Relationship Id="rId16" Type="http://schemas.openxmlformats.org/officeDocument/2006/relationships/hyperlink" Target="https://zenn.dev/r_kaga/articles/ea7119d22d4d3c?locale=en" TargetMode="External"/><Relationship Id="rId19" Type="http://schemas.openxmlformats.org/officeDocument/2006/relationships/hyperlink" Target="https://learn.microsoft.com/en-us/microsoft-365/copilot/extensibility/declarative-agent-architecture" TargetMode="External"/><Relationship Id="rId18" Type="http://schemas.openxmlformats.org/officeDocument/2006/relationships/hyperlink" Target="https://dev.to/aabyzov/ai-skills-have-an-inheritance-problem-heres-the-fix-2n9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