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F0B41" w14:textId="77777777" w:rsidR="00B208C9" w:rsidRDefault="00050B4F" w:rsidP="00B208C9">
      <w:pPr>
        <w:tabs>
          <w:tab w:val="left" w:pos="3402"/>
        </w:tabs>
        <w:jc w:val="right"/>
      </w:pPr>
      <w:r>
        <w:rPr>
          <w:noProof/>
        </w:rPr>
        <w:drawing>
          <wp:anchor distT="0" distB="0" distL="114300" distR="114300" simplePos="0" relativeHeight="251658240" behindDoc="0" locked="0" layoutInCell="1" allowOverlap="1" wp14:anchorId="31C03E82" wp14:editId="372ADC7D">
            <wp:simplePos x="0" y="0"/>
            <wp:positionH relativeFrom="column">
              <wp:posOffset>-53340</wp:posOffset>
            </wp:positionH>
            <wp:positionV relativeFrom="paragraph">
              <wp:posOffset>-110958</wp:posOffset>
            </wp:positionV>
            <wp:extent cx="1041400" cy="304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1041400" cy="304800"/>
                    </a:xfrm>
                    <a:prstGeom prst="rect">
                      <a:avLst/>
                    </a:prstGeom>
                  </pic:spPr>
                </pic:pic>
              </a:graphicData>
            </a:graphic>
            <wp14:sizeRelH relativeFrom="page">
              <wp14:pctWidth>0</wp14:pctWidth>
            </wp14:sizeRelH>
            <wp14:sizeRelV relativeFrom="page">
              <wp14:pctHeight>0</wp14:pctHeight>
            </wp14:sizeRelV>
          </wp:anchor>
        </w:drawing>
      </w:r>
      <w:r w:rsidR="00B208C9">
        <w:t xml:space="preserve">Robert Hennings </w:t>
      </w:r>
      <w:r w:rsidR="00B208C9">
        <w:tab/>
      </w:r>
      <w:r w:rsidR="00B208C9">
        <w:tab/>
      </w:r>
      <w:r w:rsidR="00B208C9">
        <w:tab/>
        <w:t>03.09.2020</w:t>
      </w:r>
    </w:p>
    <w:p w14:paraId="262FA07F" w14:textId="77777777" w:rsidR="00B208C9" w:rsidRDefault="00B208C9" w:rsidP="00B208C9">
      <w:r w:rsidRPr="00B208C9">
        <w:rPr>
          <w:rFonts w:ascii="Times New Roman" w:eastAsia="Times New Roman" w:hAnsi="Times New Roman" w:cs="Times New Roman"/>
          <w:lang w:eastAsia="de-DE"/>
        </w:rPr>
        <w:fldChar w:fldCharType="begin"/>
      </w:r>
      <w:r w:rsidRPr="00B208C9">
        <w:rPr>
          <w:rFonts w:ascii="Times New Roman" w:eastAsia="Times New Roman" w:hAnsi="Times New Roman" w:cs="Times New Roman"/>
          <w:lang w:eastAsia="de-DE"/>
        </w:rPr>
        <w:instrText xml:space="preserve"> INCLUDEPICTURE "/var/folders/5j/5rywkp2x7zs75k_ml53cn10w0000gn/T/com.microsoft.Word/WebArchiveCopyPasteTempFiles/9QAAAABJRU5ErkJggg==" \* MERGEFORMATINET </w:instrText>
      </w:r>
      <w:r w:rsidRPr="00B208C9">
        <w:rPr>
          <w:rFonts w:ascii="Times New Roman" w:eastAsia="Times New Roman" w:hAnsi="Times New Roman" w:cs="Times New Roman"/>
          <w:lang w:eastAsia="de-DE"/>
        </w:rPr>
        <w:fldChar w:fldCharType="end"/>
      </w:r>
    </w:p>
    <w:p w14:paraId="0C2CE07C" w14:textId="77777777" w:rsidR="00B208C9" w:rsidRDefault="00B208C9" w:rsidP="00B208C9">
      <w:pPr>
        <w:ind w:firstLine="708"/>
        <w:jc w:val="center"/>
        <w:rPr>
          <w:b/>
          <w:bCs/>
          <w:sz w:val="36"/>
          <w:szCs w:val="36"/>
        </w:rPr>
      </w:pPr>
      <w:r w:rsidRPr="00B208C9">
        <w:rPr>
          <w:b/>
          <w:bCs/>
          <w:sz w:val="36"/>
          <w:szCs w:val="36"/>
        </w:rPr>
        <w:t xml:space="preserve">Statische Hedging Strategien </w:t>
      </w:r>
    </w:p>
    <w:p w14:paraId="30ACBF4D" w14:textId="77777777" w:rsidR="00B208C9" w:rsidRPr="00B208C9" w:rsidRDefault="00B208C9" w:rsidP="00B208C9">
      <w:pPr>
        <w:rPr>
          <w:rFonts w:ascii="Times New Roman" w:eastAsia="Times New Roman" w:hAnsi="Times New Roman" w:cs="Times New Roman"/>
          <w:lang w:eastAsia="de-DE"/>
        </w:rPr>
      </w:pPr>
      <w:r w:rsidRPr="00B208C9">
        <w:rPr>
          <w:b/>
          <w:bCs/>
          <w:sz w:val="36"/>
          <w:szCs w:val="36"/>
        </w:rPr>
        <w:t xml:space="preserve"> </w:t>
      </w:r>
    </w:p>
    <w:p w14:paraId="6E33C709" w14:textId="77777777" w:rsidR="00B208C9" w:rsidRDefault="00050B4F" w:rsidP="00050B4F">
      <w:r>
        <w:t xml:space="preserve">Statische Hedging Strategien finden ihre Anwendung im Derivatehandel, der vornehmlich verschiedene Arten von Finanzprodukten verwendet (Optionen) um Termingeschäfte abzuschließen. Neben den statischen Hedging Strategien sind semi-statische und dynamische Hedging Strategien zu unterscheiden. </w:t>
      </w:r>
    </w:p>
    <w:p w14:paraId="53678AD8" w14:textId="1C11CF68" w:rsidR="008F0661" w:rsidRDefault="008E514D" w:rsidP="006205C5">
      <w:pPr>
        <w:jc w:val="center"/>
        <w:rPr>
          <w:noProof/>
        </w:rPr>
      </w:pPr>
      <w:r>
        <w:rPr>
          <w:noProof/>
        </w:rPr>
        <w:drawing>
          <wp:inline distT="0" distB="0" distL="0" distR="0" wp14:anchorId="724E88FE" wp14:editId="2AA12263">
            <wp:extent cx="5082139" cy="1814569"/>
            <wp:effectExtent l="0" t="0" r="0" b="190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125531" cy="1830062"/>
                    </a:xfrm>
                    <a:prstGeom prst="rect">
                      <a:avLst/>
                    </a:prstGeom>
                  </pic:spPr>
                </pic:pic>
              </a:graphicData>
            </a:graphic>
          </wp:inline>
        </w:drawing>
      </w:r>
    </w:p>
    <w:p w14:paraId="464673EF" w14:textId="674120B0" w:rsidR="00E10884" w:rsidRDefault="00792314" w:rsidP="00E10884">
      <w:pPr>
        <w:rPr>
          <w:noProof/>
        </w:rPr>
      </w:pPr>
      <w:r>
        <w:rPr>
          <w:noProof/>
        </w:rPr>
        <w:tab/>
      </w:r>
      <w:r>
        <w:rPr>
          <w:noProof/>
        </w:rPr>
        <w:tab/>
      </w:r>
      <w:r>
        <w:rPr>
          <w:noProof/>
        </w:rPr>
        <w:tab/>
      </w:r>
      <w:r>
        <w:rPr>
          <w:noProof/>
        </w:rPr>
        <w:tab/>
      </w:r>
      <w:r w:rsidRPr="00792314">
        <w:rPr>
          <w:noProof/>
          <w:sz w:val="18"/>
          <w:szCs w:val="18"/>
        </w:rPr>
        <w:t>Abbildung Nr.1) Übersicht über Hedging Variationen</w:t>
      </w:r>
    </w:p>
    <w:p w14:paraId="17DA6E25" w14:textId="790935C4" w:rsidR="00E10884" w:rsidRDefault="00E10884" w:rsidP="00E10884">
      <w:r>
        <w:t>Im vorliegenden Fall wird sich nur auf das statische Hedging im Rahmen des Delta-Hedging, sowie des Delta-Gamma-Hedging</w:t>
      </w:r>
      <w:r w:rsidR="006205C5">
        <w:t xml:space="preserve"> bezogen.</w:t>
      </w:r>
    </w:p>
    <w:p w14:paraId="716088A7" w14:textId="3A0D2926" w:rsidR="006205C5" w:rsidRDefault="006205C5" w:rsidP="00E10884">
      <w:pPr>
        <w:rPr>
          <w:b/>
          <w:bCs/>
          <w:u w:val="single"/>
        </w:rPr>
      </w:pPr>
      <w:r w:rsidRPr="006205C5">
        <w:rPr>
          <w:b/>
          <w:bCs/>
          <w:u w:val="single"/>
        </w:rPr>
        <w:t>Delta Hedging</w:t>
      </w:r>
    </w:p>
    <w:p w14:paraId="25F0579F" w14:textId="0467D0EA" w:rsidR="006205C5" w:rsidRDefault="006205C5" w:rsidP="00E10884">
      <w:r>
        <w:t xml:space="preserve">Ziel ist es ein Portfolio aufzusetzen, dass unabhängig von der Preisschwankung des </w:t>
      </w:r>
      <w:proofErr w:type="spellStart"/>
      <w:r>
        <w:t>Underlyings</w:t>
      </w:r>
      <w:proofErr w:type="spellEnd"/>
      <w:r>
        <w:t xml:space="preserve"> einen konstanten Wert hat bzw. bei Preisbewegungen sogar einen m</w:t>
      </w:r>
      <w:r w:rsidR="00792314">
        <w:t>i</w:t>
      </w:r>
      <w:r>
        <w:t xml:space="preserve">nimalen Profit erwirtschaften kann. Dafür muss zunächst das Delta der gehaltenen Position in der Option im Portfolio bestimmt werden. Daraus ergibt sich dann die Menge an </w:t>
      </w:r>
      <w:proofErr w:type="spellStart"/>
      <w:r>
        <w:t>Underlying</w:t>
      </w:r>
      <w:proofErr w:type="spellEnd"/>
      <w:r>
        <w:t xml:space="preserve"> die entweder </w:t>
      </w:r>
      <w:proofErr w:type="spellStart"/>
      <w:r>
        <w:t>long</w:t>
      </w:r>
      <w:proofErr w:type="spellEnd"/>
      <w:r>
        <w:t xml:space="preserve"> (positives Vorzeichen) oder </w:t>
      </w:r>
      <w:proofErr w:type="spellStart"/>
      <w:r>
        <w:t>short</w:t>
      </w:r>
      <w:proofErr w:type="spellEnd"/>
      <w:r>
        <w:t xml:space="preserve"> (negatives Vorzeichen) zusätzlich aufgebaut werden muss um in Kombination mit dem Delta der gehaltenen Option einen Portfoliodeltawert von null zu erhalten als Lösung eines einfachen linearen Gleichungssystems. Die dafür benötigten Input Parameter sind: </w:t>
      </w:r>
      <w:r w:rsidR="00792314">
        <w:t xml:space="preserve">Wert der Gesamtposition, risikofreier Zins, aktueller </w:t>
      </w:r>
      <w:proofErr w:type="spellStart"/>
      <w:r w:rsidR="00792314">
        <w:t>Underlyingpreis</w:t>
      </w:r>
      <w:proofErr w:type="spellEnd"/>
      <w:r w:rsidR="00792314">
        <w:t xml:space="preserve">, Strike Preis der Option(en), Laufzeit der Option, implizierte Volatilität. </w:t>
      </w:r>
    </w:p>
    <w:p w14:paraId="3318EBBA" w14:textId="4C14115F" w:rsidR="00792314" w:rsidRDefault="00792314" w:rsidP="00E10884">
      <w:r>
        <w:t>Es wird wie folgt vorgegangen:</w:t>
      </w:r>
    </w:p>
    <w:p w14:paraId="38EB52F0" w14:textId="387E2409" w:rsidR="00792314" w:rsidRPr="00792314" w:rsidRDefault="00792314" w:rsidP="00F147C7">
      <w:pPr>
        <w:pStyle w:val="Listenabsatz"/>
        <w:numPr>
          <w:ilvl w:val="0"/>
          <w:numId w:val="2"/>
        </w:numPr>
      </w:pPr>
      <w:r w:rsidRPr="00792314">
        <w:t>Mithilfe der BSM Formel wird der faire Preis der Option ermittelt</w:t>
      </w:r>
    </w:p>
    <w:p w14:paraId="200F4C2A" w14:textId="49980D01" w:rsidR="00792314" w:rsidRPr="00792314" w:rsidRDefault="00792314" w:rsidP="00792314">
      <w:pPr>
        <w:pStyle w:val="Listenabsatz"/>
        <w:numPr>
          <w:ilvl w:val="0"/>
          <w:numId w:val="2"/>
        </w:numPr>
      </w:pPr>
      <w:r w:rsidRPr="00792314">
        <w:t>Anzahl der enthaltenen Optionen aus dem Gesamtwert der Position errechnen</w:t>
      </w:r>
    </w:p>
    <w:p w14:paraId="69207D3F" w14:textId="6F81B25C" w:rsidR="00792314" w:rsidRPr="00792314" w:rsidRDefault="00792314" w:rsidP="00792314">
      <w:pPr>
        <w:pStyle w:val="Listenabsatz"/>
        <w:numPr>
          <w:ilvl w:val="0"/>
          <w:numId w:val="2"/>
        </w:numPr>
      </w:pPr>
      <w:r w:rsidRPr="00792314">
        <w:t>Delta einer Option, dann der gesamten Position errechnen</w:t>
      </w:r>
    </w:p>
    <w:p w14:paraId="4D2A8282" w14:textId="611A99FE" w:rsidR="00792314" w:rsidRDefault="00792314" w:rsidP="00792314">
      <w:pPr>
        <w:pStyle w:val="Listenabsatz"/>
        <w:numPr>
          <w:ilvl w:val="0"/>
          <w:numId w:val="2"/>
        </w:numPr>
      </w:pPr>
      <w:r w:rsidRPr="00792314">
        <w:t xml:space="preserve">Errechnen der Menge an </w:t>
      </w:r>
      <w:proofErr w:type="spellStart"/>
      <w:r w:rsidRPr="00792314">
        <w:t>Underlying</w:t>
      </w:r>
      <w:proofErr w:type="spellEnd"/>
      <w:r w:rsidRPr="00792314">
        <w:t xml:space="preserve"> (</w:t>
      </w:r>
      <w:proofErr w:type="spellStart"/>
      <w:r w:rsidRPr="00792314">
        <w:t>short</w:t>
      </w:r>
      <w:proofErr w:type="spellEnd"/>
      <w:r w:rsidRPr="00792314">
        <w:t>/</w:t>
      </w:r>
      <w:proofErr w:type="spellStart"/>
      <w:r w:rsidRPr="00792314">
        <w:t>long</w:t>
      </w:r>
      <w:proofErr w:type="spellEnd"/>
      <w:r w:rsidRPr="00792314">
        <w:t>) die benötigt wird</w:t>
      </w:r>
      <w:r>
        <w:t>,</w:t>
      </w:r>
      <w:r w:rsidRPr="00792314">
        <w:t xml:space="preserve"> um ein Portfoliodelta von null zu erhalten</w:t>
      </w:r>
    </w:p>
    <w:p w14:paraId="54928422" w14:textId="77777777" w:rsidR="00792314" w:rsidRDefault="00792314" w:rsidP="00792314"/>
    <w:p w14:paraId="5AB860D5" w14:textId="0724EA01" w:rsidR="00792314" w:rsidRDefault="00792314" w:rsidP="00792314">
      <w:r>
        <w:t xml:space="preserve">Sollte sich nun eine Preisbewegung im </w:t>
      </w:r>
      <w:proofErr w:type="spellStart"/>
      <w:r>
        <w:t>Underlying</w:t>
      </w:r>
      <w:proofErr w:type="spellEnd"/>
      <w:r>
        <w:t xml:space="preserve"> vollziehen, so kann der Effekt gut betrachtet werden, indem der P/L des Portfolios ermittelt wird. Je nach </w:t>
      </w:r>
      <w:proofErr w:type="spellStart"/>
      <w:r>
        <w:t>long</w:t>
      </w:r>
      <w:proofErr w:type="spellEnd"/>
      <w:r>
        <w:t>/</w:t>
      </w:r>
      <w:proofErr w:type="spellStart"/>
      <w:r>
        <w:t>short</w:t>
      </w:r>
      <w:proofErr w:type="spellEnd"/>
      <w:r>
        <w:t xml:space="preserve"> Position und Bewegung des </w:t>
      </w:r>
      <w:proofErr w:type="spellStart"/>
      <w:r>
        <w:t>Underlyingpreises</w:t>
      </w:r>
      <w:proofErr w:type="spellEnd"/>
      <w:r>
        <w:t xml:space="preserve"> (hoch/runter) stellt sich in der </w:t>
      </w:r>
      <w:proofErr w:type="spellStart"/>
      <w:r>
        <w:t>Underlyingposition</w:t>
      </w:r>
      <w:proofErr w:type="spellEnd"/>
      <w:r>
        <w:t xml:space="preserve"> ein positiver oder negativer Wert ein. Daraufhin muss erneut zum neuen </w:t>
      </w:r>
      <w:proofErr w:type="spellStart"/>
      <w:r>
        <w:t>Underlyingpreis</w:t>
      </w:r>
      <w:proofErr w:type="spellEnd"/>
      <w:r>
        <w:t xml:space="preserve"> der faire Optionspreis berechnet werden und auf die Gesamtposition übertragen werden. Dann können P/L aus der </w:t>
      </w:r>
      <w:proofErr w:type="spellStart"/>
      <w:r>
        <w:t>Underlyingposition</w:t>
      </w:r>
      <w:proofErr w:type="spellEnd"/>
      <w:r>
        <w:t xml:space="preserve"> und der P/L aus der Optionsposition verglichen werden und ein </w:t>
      </w:r>
      <w:proofErr w:type="gramStart"/>
      <w:r>
        <w:t>Gesamt</w:t>
      </w:r>
      <w:proofErr w:type="gramEnd"/>
      <w:r>
        <w:t xml:space="preserve"> P/L aufgestellt werden.</w:t>
      </w:r>
    </w:p>
    <w:p w14:paraId="2E31E68E" w14:textId="2C32CB2C" w:rsidR="00DF529D" w:rsidRDefault="00DF529D" w:rsidP="00792314"/>
    <w:p w14:paraId="33A93206" w14:textId="7CF0E9C1" w:rsidR="00F147C7" w:rsidRDefault="00F147C7" w:rsidP="00792314"/>
    <w:p w14:paraId="414483F1" w14:textId="7C86894B" w:rsidR="00F147C7" w:rsidRDefault="00F147C7" w:rsidP="00792314"/>
    <w:p w14:paraId="10389582" w14:textId="77777777" w:rsidR="00F147C7" w:rsidRDefault="00F147C7" w:rsidP="00792314"/>
    <w:p w14:paraId="00D5FC0A" w14:textId="58820CF9" w:rsidR="00F147C7" w:rsidRDefault="00DF529D" w:rsidP="00792314">
      <w:pPr>
        <w:rPr>
          <w:b/>
          <w:bCs/>
          <w:u w:val="single"/>
        </w:rPr>
      </w:pPr>
      <w:r w:rsidRPr="006205C5">
        <w:rPr>
          <w:b/>
          <w:bCs/>
          <w:u w:val="single"/>
        </w:rPr>
        <w:t>Delta</w:t>
      </w:r>
      <w:r>
        <w:rPr>
          <w:b/>
          <w:bCs/>
          <w:u w:val="single"/>
        </w:rPr>
        <w:t>-Gamma-</w:t>
      </w:r>
      <w:r w:rsidRPr="006205C5">
        <w:rPr>
          <w:b/>
          <w:bCs/>
          <w:u w:val="single"/>
        </w:rPr>
        <w:t>Hedging</w:t>
      </w:r>
    </w:p>
    <w:p w14:paraId="3C060A0C" w14:textId="5F30223E" w:rsidR="00DF529D" w:rsidRDefault="00F147C7" w:rsidP="00792314">
      <w:r>
        <w:t xml:space="preserve">Zusätzlich zur Elimination des Deltas kann ebenso das Gamma aus dem Portfolio eliminiert werden. Hierzu wird neben dem </w:t>
      </w:r>
      <w:proofErr w:type="spellStart"/>
      <w:r>
        <w:t>Underlying</w:t>
      </w:r>
      <w:proofErr w:type="spellEnd"/>
      <w:r>
        <w:t xml:space="preserve"> jedoch auch noch eine weitere Option gebraucht da das </w:t>
      </w:r>
      <w:proofErr w:type="spellStart"/>
      <w:r>
        <w:t>Underlying</w:t>
      </w:r>
      <w:proofErr w:type="spellEnd"/>
      <w:r>
        <w:t xml:space="preserve"> ein Gamma von null hat. Es wird zuerst das Portfolio Gamm neutral gemacht durch das investieren in eine weitere Option, danach wird das gesamte Portfolio </w:t>
      </w:r>
      <w:r w:rsidR="00A05E69">
        <w:t>D</w:t>
      </w:r>
      <w:r>
        <w:t>elta</w:t>
      </w:r>
      <w:r w:rsidR="00A05E69">
        <w:t>-</w:t>
      </w:r>
      <w:r>
        <w:t xml:space="preserve">neutral gemacht durch das investieren in das </w:t>
      </w:r>
      <w:proofErr w:type="spellStart"/>
      <w:r>
        <w:t>Underlying</w:t>
      </w:r>
      <w:proofErr w:type="spellEnd"/>
      <w:r>
        <w:t>.</w:t>
      </w:r>
    </w:p>
    <w:p w14:paraId="190EAE4B" w14:textId="265D2E0D" w:rsidR="00F147C7" w:rsidRDefault="00F147C7" w:rsidP="00792314">
      <w:r>
        <w:t>Es wird wie folgt vorgegangen:</w:t>
      </w:r>
    </w:p>
    <w:p w14:paraId="5FBC7B38" w14:textId="6E253706" w:rsidR="00F147C7" w:rsidRDefault="00A05E69" w:rsidP="00F147C7">
      <w:pPr>
        <w:pStyle w:val="Listenabsatz"/>
        <w:numPr>
          <w:ilvl w:val="0"/>
          <w:numId w:val="3"/>
        </w:numPr>
      </w:pPr>
      <w:r>
        <w:t>Gamma für die gehaltenen Option berechnen sowie für die zusätzlich verfügbare, dann auf die Gesamtposition übertragen</w:t>
      </w:r>
    </w:p>
    <w:p w14:paraId="1DC961B9" w14:textId="1D6F91F3" w:rsidR="00A05E69" w:rsidRDefault="00A05E69" w:rsidP="00F147C7">
      <w:pPr>
        <w:pStyle w:val="Listenabsatz"/>
        <w:numPr>
          <w:ilvl w:val="0"/>
          <w:numId w:val="3"/>
        </w:numPr>
      </w:pPr>
      <w:r>
        <w:t>Gesamtes Gamma für die Position berechnen, auflösen nach Menge der verfügbaren Option, um einen Gesamtgammawert von null zu erhalten</w:t>
      </w:r>
    </w:p>
    <w:p w14:paraId="284B0F9C" w14:textId="7CEE8825" w:rsidR="00A05E69" w:rsidRDefault="00A05E69" w:rsidP="00F147C7">
      <w:pPr>
        <w:pStyle w:val="Listenabsatz"/>
        <w:numPr>
          <w:ilvl w:val="0"/>
          <w:numId w:val="3"/>
        </w:numPr>
      </w:pPr>
      <w:r>
        <w:t xml:space="preserve">Delta für beide Optionen berechnen, dann für das Gesamtportfolio berechnen </w:t>
      </w:r>
    </w:p>
    <w:p w14:paraId="65E9E99A" w14:textId="5C3EEAF9" w:rsidR="00A05E69" w:rsidRDefault="00A05E69" w:rsidP="00F147C7">
      <w:pPr>
        <w:pStyle w:val="Listenabsatz"/>
        <w:numPr>
          <w:ilvl w:val="0"/>
          <w:numId w:val="3"/>
        </w:numPr>
      </w:pPr>
      <w:r>
        <w:t xml:space="preserve">Auflösen nach der Menge an </w:t>
      </w:r>
      <w:proofErr w:type="spellStart"/>
      <w:r>
        <w:t>Underlying</w:t>
      </w:r>
      <w:proofErr w:type="spellEnd"/>
      <w:r>
        <w:t xml:space="preserve"> um das Gesamtportfolio auch Delta-neutral zu machen</w:t>
      </w:r>
    </w:p>
    <w:p w14:paraId="74C9282C" w14:textId="4D76436D" w:rsidR="00A05E69" w:rsidRDefault="00A05E69" w:rsidP="00A05E69">
      <w:r>
        <w:t xml:space="preserve">Auch hier kann der Effekt wieder verdeutlicht werden, indem die errechneten Werte für Portfolio und Option bei einem Preissprung/ -verfall des </w:t>
      </w:r>
      <w:proofErr w:type="spellStart"/>
      <w:r>
        <w:t>Underlyings</w:t>
      </w:r>
      <w:proofErr w:type="spellEnd"/>
      <w:r>
        <w:t xml:space="preserve"> erneut betrachtet werden.</w:t>
      </w:r>
    </w:p>
    <w:p w14:paraId="4D057C3F" w14:textId="667C59F2" w:rsidR="006E7871" w:rsidRDefault="006E7871" w:rsidP="00A05E69"/>
    <w:p w14:paraId="4B9389AE" w14:textId="6FB796D1" w:rsidR="006E7871" w:rsidRPr="00794BC4" w:rsidRDefault="008E514D" w:rsidP="00A05E69">
      <w:pPr>
        <w:rPr>
          <w:b/>
          <w:bCs/>
          <w:sz w:val="32"/>
          <w:szCs w:val="32"/>
          <w:lang w:val="en-US"/>
        </w:rPr>
      </w:pPr>
      <w:r w:rsidRPr="00794BC4">
        <w:rPr>
          <w:b/>
          <w:bCs/>
          <w:sz w:val="32"/>
          <w:szCs w:val="32"/>
          <w:lang w:val="en-US"/>
        </w:rPr>
        <w:t>Literatur</w:t>
      </w:r>
      <w:r w:rsidR="006E7871" w:rsidRPr="00794BC4">
        <w:rPr>
          <w:b/>
          <w:bCs/>
          <w:sz w:val="32"/>
          <w:szCs w:val="32"/>
          <w:lang w:val="en-US"/>
        </w:rPr>
        <w:t>:</w:t>
      </w:r>
    </w:p>
    <w:p w14:paraId="0785EF07" w14:textId="7BD7C463" w:rsidR="008E514D" w:rsidRDefault="008E514D" w:rsidP="008E514D">
      <w:pPr>
        <w:rPr>
          <w:lang w:val="en-US"/>
        </w:rPr>
      </w:pPr>
      <w:r w:rsidRPr="008E514D">
        <w:rPr>
          <w:lang w:val="en-US"/>
        </w:rPr>
        <w:t>Hull, John C. (2014): Options, Futures, and Other Derivatives</w:t>
      </w:r>
      <w:r w:rsidR="00FB5DB2">
        <w:rPr>
          <w:lang w:val="en-US"/>
        </w:rPr>
        <w:t>, 9. Edition, S.402-409, S.411-415, S.418f.</w:t>
      </w:r>
    </w:p>
    <w:p w14:paraId="1F96024D" w14:textId="1DF51D02" w:rsidR="008B3842" w:rsidRPr="00E26A1D" w:rsidRDefault="008B3842" w:rsidP="008E514D">
      <w:pPr>
        <w:rPr>
          <w:b/>
          <w:bCs/>
          <w:sz w:val="32"/>
          <w:szCs w:val="32"/>
        </w:rPr>
      </w:pPr>
      <w:r w:rsidRPr="00E26A1D">
        <w:rPr>
          <w:b/>
          <w:bCs/>
          <w:sz w:val="32"/>
          <w:szCs w:val="32"/>
        </w:rPr>
        <w:t>Verwendete Formeln</w:t>
      </w:r>
      <w:r w:rsidR="00E26A1D">
        <w:rPr>
          <w:b/>
          <w:bCs/>
          <w:sz w:val="32"/>
          <w:szCs w:val="32"/>
        </w:rPr>
        <w:t>:</w:t>
      </w:r>
    </w:p>
    <w:p w14:paraId="14CD533D" w14:textId="2ABB82E5" w:rsidR="008B3842" w:rsidRPr="00794BC4" w:rsidRDefault="008B3842" w:rsidP="008E514D">
      <w:pPr>
        <w:rPr>
          <w:u w:val="single"/>
        </w:rPr>
      </w:pPr>
      <w:r w:rsidRPr="00794BC4">
        <w:rPr>
          <w:u w:val="single"/>
        </w:rPr>
        <w:t xml:space="preserve">Black-Scholes-Merton Formel zur </w:t>
      </w:r>
      <w:proofErr w:type="spellStart"/>
      <w:r w:rsidRPr="00794BC4">
        <w:rPr>
          <w:u w:val="single"/>
        </w:rPr>
        <w:t>Bepreisung</w:t>
      </w:r>
      <w:proofErr w:type="spellEnd"/>
      <w:r w:rsidRPr="00794BC4">
        <w:rPr>
          <w:u w:val="single"/>
        </w:rPr>
        <w:t xml:space="preserve"> von Derivaten:</w:t>
      </w:r>
    </w:p>
    <w:p w14:paraId="495A8424" w14:textId="37B4ABC8" w:rsidR="008B3842" w:rsidRDefault="008B3842" w:rsidP="008E514D">
      <w:pPr>
        <w:rPr>
          <w:lang w:val="en-US"/>
        </w:rPr>
      </w:pPr>
      <w:r w:rsidRPr="008B3842">
        <w:rPr>
          <w:noProof/>
        </w:rPr>
        <w:drawing>
          <wp:inline distT="0" distB="0" distL="0" distR="0" wp14:anchorId="05C9BE97" wp14:editId="0A075A66">
            <wp:extent cx="1771194" cy="1098338"/>
            <wp:effectExtent l="0" t="0" r="0" b="0"/>
            <wp:docPr id="5" name="Grafik 1">
              <a:extLst xmlns:a="http://schemas.openxmlformats.org/drawingml/2006/main">
                <a:ext uri="{FF2B5EF4-FFF2-40B4-BE49-F238E27FC236}">
                  <a16:creationId xmlns:a16="http://schemas.microsoft.com/office/drawing/2014/main" id="{986D84A8-FCD7-BF4E-86C5-1A7A1B7B5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986D84A8-FCD7-BF4E-86C5-1A7A1B7B5C95}"/>
                        </a:ext>
                      </a:extLst>
                    </pic:cNvPr>
                    <pic:cNvPicPr>
                      <a:picLocks noChangeAspect="1"/>
                    </pic:cNvPicPr>
                  </pic:nvPicPr>
                  <pic:blipFill>
                    <a:blip r:embed="rId9"/>
                    <a:stretch>
                      <a:fillRect/>
                    </a:stretch>
                  </pic:blipFill>
                  <pic:spPr>
                    <a:xfrm>
                      <a:off x="0" y="0"/>
                      <a:ext cx="1803794" cy="1118554"/>
                    </a:xfrm>
                    <a:prstGeom prst="rect">
                      <a:avLst/>
                    </a:prstGeom>
                  </pic:spPr>
                </pic:pic>
              </a:graphicData>
            </a:graphic>
          </wp:inline>
        </w:drawing>
      </w:r>
    </w:p>
    <w:p w14:paraId="6017F787" w14:textId="377C91C0" w:rsidR="008B3842" w:rsidRPr="00794BC4" w:rsidRDefault="008B3842" w:rsidP="008E514D">
      <w:pPr>
        <w:rPr>
          <w:u w:val="single"/>
          <w:lang w:val="en-US"/>
        </w:rPr>
      </w:pPr>
      <w:r w:rsidRPr="00794BC4">
        <w:rPr>
          <w:u w:val="single"/>
          <w:lang w:val="en-US"/>
        </w:rPr>
        <w:t xml:space="preserve">Greeks </w:t>
      </w:r>
      <w:proofErr w:type="spellStart"/>
      <w:r w:rsidRPr="00794BC4">
        <w:rPr>
          <w:u w:val="single"/>
          <w:lang w:val="en-US"/>
        </w:rPr>
        <w:t>für</w:t>
      </w:r>
      <w:proofErr w:type="spellEnd"/>
      <w:r w:rsidRPr="00794BC4">
        <w:rPr>
          <w:u w:val="single"/>
          <w:lang w:val="en-US"/>
        </w:rPr>
        <w:t xml:space="preserve"> Call </w:t>
      </w:r>
      <w:proofErr w:type="spellStart"/>
      <w:r w:rsidRPr="00794BC4">
        <w:rPr>
          <w:u w:val="single"/>
          <w:lang w:val="en-US"/>
        </w:rPr>
        <w:t>und</w:t>
      </w:r>
      <w:proofErr w:type="spellEnd"/>
      <w:r w:rsidRPr="00794BC4">
        <w:rPr>
          <w:u w:val="single"/>
          <w:lang w:val="en-US"/>
        </w:rPr>
        <w:t xml:space="preserve"> Put Option:</w:t>
      </w:r>
    </w:p>
    <w:p w14:paraId="48722F2C" w14:textId="190BEFBE" w:rsidR="008B3842" w:rsidRDefault="00607A95" w:rsidP="008E514D">
      <w:pPr>
        <w:rPr>
          <w:lang w:val="en-US"/>
        </w:rPr>
      </w:pPr>
      <w:r w:rsidRPr="00607A95">
        <w:rPr>
          <w:noProof/>
        </w:rPr>
        <w:drawing>
          <wp:anchor distT="0" distB="0" distL="114300" distR="114300" simplePos="0" relativeHeight="251661312" behindDoc="0" locked="0" layoutInCell="1" allowOverlap="1" wp14:anchorId="6074564B" wp14:editId="739C443A">
            <wp:simplePos x="0" y="0"/>
            <wp:positionH relativeFrom="column">
              <wp:posOffset>2049780</wp:posOffset>
            </wp:positionH>
            <wp:positionV relativeFrom="paragraph">
              <wp:posOffset>97222</wp:posOffset>
            </wp:positionV>
            <wp:extent cx="1864360" cy="1167765"/>
            <wp:effectExtent l="0" t="0" r="2540" b="635"/>
            <wp:wrapThrough wrapText="bothSides">
              <wp:wrapPolygon edited="0">
                <wp:start x="0" y="0"/>
                <wp:lineTo x="0" y="21377"/>
                <wp:lineTo x="21482" y="21377"/>
                <wp:lineTo x="21482" y="0"/>
                <wp:lineTo x="0" y="0"/>
              </wp:wrapPolygon>
            </wp:wrapThrough>
            <wp:docPr id="3" name="Grafik 2">
              <a:extLst xmlns:a="http://schemas.openxmlformats.org/drawingml/2006/main">
                <a:ext uri="{FF2B5EF4-FFF2-40B4-BE49-F238E27FC236}">
                  <a16:creationId xmlns:a16="http://schemas.microsoft.com/office/drawing/2014/main" id="{29ED41F2-ED8E-1A45-A112-90F83896F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29ED41F2-ED8E-1A45-A112-90F83896FC5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4360" cy="1167765"/>
                    </a:xfrm>
                    <a:prstGeom prst="rect">
                      <a:avLst/>
                    </a:prstGeom>
                  </pic:spPr>
                </pic:pic>
              </a:graphicData>
            </a:graphic>
            <wp14:sizeRelH relativeFrom="page">
              <wp14:pctWidth>0</wp14:pctWidth>
            </wp14:sizeRelH>
            <wp14:sizeRelV relativeFrom="page">
              <wp14:pctHeight>0</wp14:pctHeight>
            </wp14:sizeRelV>
          </wp:anchor>
        </w:drawing>
      </w:r>
      <w:r w:rsidR="008B3842" w:rsidRPr="008B3842">
        <w:rPr>
          <w:noProof/>
        </w:rPr>
        <w:drawing>
          <wp:anchor distT="0" distB="0" distL="114300" distR="114300" simplePos="0" relativeHeight="251660288" behindDoc="0" locked="0" layoutInCell="1" allowOverlap="1" wp14:anchorId="43D9F424" wp14:editId="3DAAD63B">
            <wp:simplePos x="0" y="0"/>
            <wp:positionH relativeFrom="column">
              <wp:posOffset>-4212</wp:posOffset>
            </wp:positionH>
            <wp:positionV relativeFrom="paragraph">
              <wp:posOffset>49563</wp:posOffset>
            </wp:positionV>
            <wp:extent cx="2055477" cy="1371459"/>
            <wp:effectExtent l="0" t="0" r="2540" b="635"/>
            <wp:wrapNone/>
            <wp:docPr id="8" name="Grafik 7">
              <a:extLst xmlns:a="http://schemas.openxmlformats.org/drawingml/2006/main">
                <a:ext uri="{FF2B5EF4-FFF2-40B4-BE49-F238E27FC236}">
                  <a16:creationId xmlns:a16="http://schemas.microsoft.com/office/drawing/2014/main" id="{94853DF2-C985-3644-96FD-269C320F1A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94853DF2-C985-3644-96FD-269C320F1A7D}"/>
                        </a:ext>
                      </a:extLst>
                    </pic:cNvPr>
                    <pic:cNvPicPr>
                      <a:picLocks noChangeAspect="1"/>
                    </pic:cNvPicPr>
                  </pic:nvPicPr>
                  <pic:blipFill>
                    <a:blip r:embed="rId11"/>
                    <a:stretch>
                      <a:fillRect/>
                    </a:stretch>
                  </pic:blipFill>
                  <pic:spPr>
                    <a:xfrm>
                      <a:off x="0" y="0"/>
                      <a:ext cx="2055477" cy="1371459"/>
                    </a:xfrm>
                    <a:prstGeom prst="rect">
                      <a:avLst/>
                    </a:prstGeom>
                  </pic:spPr>
                </pic:pic>
              </a:graphicData>
            </a:graphic>
            <wp14:sizeRelH relativeFrom="margin">
              <wp14:pctWidth>0</wp14:pctWidth>
            </wp14:sizeRelH>
            <wp14:sizeRelV relativeFrom="margin">
              <wp14:pctHeight>0</wp14:pctHeight>
            </wp14:sizeRelV>
          </wp:anchor>
        </w:drawing>
      </w:r>
    </w:p>
    <w:p w14:paraId="68067560" w14:textId="5B459FAF" w:rsidR="00FB5DB2" w:rsidRPr="008E514D" w:rsidRDefault="00FB5DB2" w:rsidP="008E514D">
      <w:pPr>
        <w:rPr>
          <w:lang w:val="en-US"/>
        </w:rPr>
      </w:pPr>
    </w:p>
    <w:p w14:paraId="55100AA0" w14:textId="0BC22A30" w:rsidR="008E514D" w:rsidRDefault="008E514D" w:rsidP="00607A95">
      <w:pPr>
        <w:tabs>
          <w:tab w:val="center" w:pos="4533"/>
        </w:tabs>
        <w:rPr>
          <w:lang w:val="en-US"/>
        </w:rPr>
      </w:pPr>
      <w:r w:rsidRPr="008E514D">
        <w:rPr>
          <w:lang w:val="en-US"/>
        </w:rPr>
        <w:t xml:space="preserve"> </w:t>
      </w:r>
      <w:r w:rsidR="00607A95">
        <w:rPr>
          <w:lang w:val="en-US"/>
        </w:rPr>
        <w:tab/>
      </w:r>
    </w:p>
    <w:p w14:paraId="4839A86A" w14:textId="4971192B" w:rsidR="008B3842" w:rsidRPr="008B3842" w:rsidRDefault="008B3842" w:rsidP="008B3842">
      <w:pPr>
        <w:rPr>
          <w:lang w:val="en-US"/>
        </w:rPr>
      </w:pPr>
    </w:p>
    <w:p w14:paraId="12DF6CC0" w14:textId="205BCB55" w:rsidR="008B3842" w:rsidRPr="008B3842" w:rsidRDefault="008B3842" w:rsidP="008B3842">
      <w:pPr>
        <w:rPr>
          <w:lang w:val="en-US"/>
        </w:rPr>
      </w:pPr>
    </w:p>
    <w:p w14:paraId="7C943D96" w14:textId="5E0BAF28" w:rsidR="008B3842" w:rsidRPr="008B3842" w:rsidRDefault="008B3842" w:rsidP="008B3842">
      <w:pPr>
        <w:rPr>
          <w:lang w:val="en-US"/>
        </w:rPr>
      </w:pPr>
    </w:p>
    <w:p w14:paraId="014B818E" w14:textId="48B5C6E7" w:rsidR="008B3842" w:rsidRPr="008B3842" w:rsidRDefault="008B3842" w:rsidP="008B3842">
      <w:pPr>
        <w:rPr>
          <w:lang w:val="en-US"/>
        </w:rPr>
      </w:pPr>
    </w:p>
    <w:p w14:paraId="009C6D1B" w14:textId="0C1253F1" w:rsidR="008B3842" w:rsidRPr="008B3842" w:rsidRDefault="008B3842" w:rsidP="008B3842">
      <w:pPr>
        <w:rPr>
          <w:lang w:val="en-US"/>
        </w:rPr>
      </w:pPr>
    </w:p>
    <w:p w14:paraId="362B01B2" w14:textId="2AECD109" w:rsidR="008B3842" w:rsidRPr="008B3842" w:rsidRDefault="008B3842" w:rsidP="008B3842">
      <w:pPr>
        <w:rPr>
          <w:lang w:val="en-US"/>
        </w:rPr>
      </w:pPr>
    </w:p>
    <w:p w14:paraId="5A1C0D73" w14:textId="013CE40D" w:rsidR="008B3842" w:rsidRDefault="008B3842" w:rsidP="008B3842">
      <w:pPr>
        <w:rPr>
          <w:lang w:val="en-US"/>
        </w:rPr>
      </w:pPr>
    </w:p>
    <w:p w14:paraId="18057016" w14:textId="3AC6A1F5" w:rsidR="008B3842" w:rsidRPr="008B3842" w:rsidRDefault="008B3842" w:rsidP="008B3842">
      <w:pPr>
        <w:tabs>
          <w:tab w:val="left" w:pos="1516"/>
        </w:tabs>
        <w:rPr>
          <w:lang w:val="en-US"/>
        </w:rPr>
      </w:pPr>
      <w:r>
        <w:rPr>
          <w:lang w:val="en-US"/>
        </w:rPr>
        <w:tab/>
      </w:r>
    </w:p>
    <w:sectPr w:rsidR="008B3842" w:rsidRPr="008B3842" w:rsidSect="00F56863">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EF4C3" w14:textId="77777777" w:rsidR="001D4621" w:rsidRDefault="001D4621" w:rsidP="00E26A1D">
      <w:r>
        <w:separator/>
      </w:r>
    </w:p>
  </w:endnote>
  <w:endnote w:type="continuationSeparator" w:id="0">
    <w:p w14:paraId="55453AEC" w14:textId="77777777" w:rsidR="001D4621" w:rsidRDefault="001D4621" w:rsidP="00E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37625546"/>
      <w:docPartObj>
        <w:docPartGallery w:val="Page Numbers (Bottom of Page)"/>
        <w:docPartUnique/>
      </w:docPartObj>
    </w:sdtPr>
    <w:sdtEndPr>
      <w:rPr>
        <w:rStyle w:val="Seitenzahl"/>
      </w:rPr>
    </w:sdtEndPr>
    <w:sdtContent>
      <w:p w14:paraId="56E09AE7" w14:textId="769B57F2" w:rsidR="00E26A1D" w:rsidRDefault="00E26A1D" w:rsidP="008B0C37">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C085639" w14:textId="77777777" w:rsidR="00E26A1D" w:rsidRDefault="00E26A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31722256"/>
      <w:docPartObj>
        <w:docPartGallery w:val="Page Numbers (Bottom of Page)"/>
        <w:docPartUnique/>
      </w:docPartObj>
    </w:sdtPr>
    <w:sdtEndPr>
      <w:rPr>
        <w:rStyle w:val="Seitenzahl"/>
      </w:rPr>
    </w:sdtEndPr>
    <w:sdtContent>
      <w:p w14:paraId="2D123E6D" w14:textId="3E196EAF" w:rsidR="00E26A1D" w:rsidRDefault="00E26A1D" w:rsidP="008B0C37">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A6A5A2E" w14:textId="77777777" w:rsidR="00E26A1D" w:rsidRDefault="00E26A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F0C66" w14:textId="77777777" w:rsidR="001D4621" w:rsidRDefault="001D4621" w:rsidP="00E26A1D">
      <w:r>
        <w:separator/>
      </w:r>
    </w:p>
  </w:footnote>
  <w:footnote w:type="continuationSeparator" w:id="0">
    <w:p w14:paraId="42AEC498" w14:textId="77777777" w:rsidR="001D4621" w:rsidRDefault="001D4621" w:rsidP="00E26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262E"/>
    <w:multiLevelType w:val="hybridMultilevel"/>
    <w:tmpl w:val="7174097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E11823"/>
    <w:multiLevelType w:val="hybridMultilevel"/>
    <w:tmpl w:val="3FBEC6AC"/>
    <w:lvl w:ilvl="0" w:tplc="7BDE6670">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361AFF"/>
    <w:multiLevelType w:val="hybridMultilevel"/>
    <w:tmpl w:val="BD60A4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C9"/>
    <w:rsid w:val="00032155"/>
    <w:rsid w:val="000445A1"/>
    <w:rsid w:val="00050B4F"/>
    <w:rsid w:val="0008654F"/>
    <w:rsid w:val="001D4621"/>
    <w:rsid w:val="005630D4"/>
    <w:rsid w:val="00607A95"/>
    <w:rsid w:val="006205C5"/>
    <w:rsid w:val="006E7871"/>
    <w:rsid w:val="00792314"/>
    <w:rsid w:val="00794BC4"/>
    <w:rsid w:val="008B3842"/>
    <w:rsid w:val="008E514D"/>
    <w:rsid w:val="008F0661"/>
    <w:rsid w:val="00A05E69"/>
    <w:rsid w:val="00AE0F77"/>
    <w:rsid w:val="00B208C9"/>
    <w:rsid w:val="00DF529D"/>
    <w:rsid w:val="00E10884"/>
    <w:rsid w:val="00E26A1D"/>
    <w:rsid w:val="00EA1714"/>
    <w:rsid w:val="00F147C7"/>
    <w:rsid w:val="00F56863"/>
    <w:rsid w:val="00FB5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1197"/>
  <w15:chartTrackingRefBased/>
  <w15:docId w15:val="{72E5BB17-8639-1340-8CCD-C22AFBD2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E514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314"/>
    <w:pPr>
      <w:ind w:left="720"/>
      <w:contextualSpacing/>
    </w:pPr>
  </w:style>
  <w:style w:type="character" w:customStyle="1" w:styleId="berschrift1Zchn">
    <w:name w:val="Überschrift 1 Zchn"/>
    <w:basedOn w:val="Absatz-Standardschriftart"/>
    <w:link w:val="berschrift1"/>
    <w:uiPriority w:val="9"/>
    <w:rsid w:val="008E514D"/>
    <w:rPr>
      <w:rFonts w:ascii="Times New Roman" w:eastAsia="Times New Roman" w:hAnsi="Times New Roman" w:cs="Times New Roman"/>
      <w:b/>
      <w:bCs/>
      <w:kern w:val="36"/>
      <w:sz w:val="48"/>
      <w:szCs w:val="48"/>
      <w:lang w:eastAsia="de-DE"/>
    </w:rPr>
  </w:style>
  <w:style w:type="character" w:customStyle="1" w:styleId="a-size-extra-large">
    <w:name w:val="a-size-extra-large"/>
    <w:basedOn w:val="Absatz-Standardschriftart"/>
    <w:rsid w:val="008E514D"/>
  </w:style>
  <w:style w:type="paragraph" w:styleId="Fuzeile">
    <w:name w:val="footer"/>
    <w:basedOn w:val="Standard"/>
    <w:link w:val="FuzeileZchn"/>
    <w:uiPriority w:val="99"/>
    <w:unhideWhenUsed/>
    <w:rsid w:val="00E26A1D"/>
    <w:pPr>
      <w:tabs>
        <w:tab w:val="center" w:pos="4536"/>
        <w:tab w:val="right" w:pos="9072"/>
      </w:tabs>
    </w:pPr>
  </w:style>
  <w:style w:type="character" w:customStyle="1" w:styleId="FuzeileZchn">
    <w:name w:val="Fußzeile Zchn"/>
    <w:basedOn w:val="Absatz-Standardschriftart"/>
    <w:link w:val="Fuzeile"/>
    <w:uiPriority w:val="99"/>
    <w:rsid w:val="00E26A1D"/>
  </w:style>
  <w:style w:type="character" w:styleId="Seitenzahl">
    <w:name w:val="page number"/>
    <w:basedOn w:val="Absatz-Standardschriftart"/>
    <w:uiPriority w:val="99"/>
    <w:semiHidden/>
    <w:unhideWhenUsed/>
    <w:rsid w:val="00E2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46101">
      <w:bodyDiv w:val="1"/>
      <w:marLeft w:val="0"/>
      <w:marRight w:val="0"/>
      <w:marTop w:val="0"/>
      <w:marBottom w:val="0"/>
      <w:divBdr>
        <w:top w:val="none" w:sz="0" w:space="0" w:color="auto"/>
        <w:left w:val="none" w:sz="0" w:space="0" w:color="auto"/>
        <w:bottom w:val="none" w:sz="0" w:space="0" w:color="auto"/>
        <w:right w:val="none" w:sz="0" w:space="0" w:color="auto"/>
      </w:divBdr>
    </w:div>
    <w:div w:id="114033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robhenn60@gmail.com</dc:creator>
  <cp:keywords/>
  <dc:description/>
  <cp:lastModifiedBy>robhenn60@gmail.com</cp:lastModifiedBy>
  <cp:revision>10</cp:revision>
  <dcterms:created xsi:type="dcterms:W3CDTF">2020-08-24T08:15:00Z</dcterms:created>
  <dcterms:modified xsi:type="dcterms:W3CDTF">2020-08-30T09:23:00Z</dcterms:modified>
</cp:coreProperties>
</file>