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960"/>
      </w:pPr>
    </w:p>
    <w:p>
      <w:pPr>
        <w:spacing w:after="280"/>
        <w:jc w:val="center"/>
      </w:pPr>
      <w:r>
        <w:rPr>
          <w:rFonts w:ascii="Noto Sans" w:hAnsi="Noto Sans"/>
          <w:b/>
          <w:color w:val="142034"/>
          <w:sz w:val="88"/>
        </w:rPr>
        <w:t>AEL</w:t>
      </w:r>
    </w:p>
    <w:p>
      <w:pPr>
        <w:spacing w:after="600"/>
        <w:jc w:val="center"/>
      </w:pPr>
      <w:r>
        <w:rPr>
          <w:rFonts w:ascii="Noto Sans" w:hAnsi="Noto Sans"/>
          <w:b/>
          <w:color w:val="1A8FA9"/>
          <w:sz w:val="40"/>
        </w:rPr>
        <w:t>Autonomous Earned Liquidity Network</w:t>
      </w:r>
    </w:p>
    <w:p>
      <w:pPr>
        <w:spacing w:after="200"/>
        <w:jc w:val="center"/>
      </w:pPr>
      <w:r>
        <w:rPr>
          <w:rFonts w:ascii="Noto Sans" w:hAnsi="Noto Sans"/>
          <w:b/>
          <w:color w:val="6655C4"/>
          <w:sz w:val="28"/>
        </w:rPr>
        <w:t>FIȘĂ TEHNICĂ - CAPITOLUL 11</w:t>
      </w:r>
    </w:p>
    <w:p>
      <w:pPr>
        <w:spacing w:after="320"/>
        <w:jc w:val="center"/>
      </w:pPr>
      <w:r>
        <w:rPr>
          <w:rFonts w:ascii="Noto Sans" w:hAnsi="Noto Sans"/>
          <w:b/>
          <w:color w:val="142034"/>
          <w:sz w:val="46"/>
        </w:rPr>
        <w:t>Implementare de referință, MVP, devnet și testnet</w:t>
      </w:r>
    </w:p>
    <w:p>
      <w:pPr>
        <w:spacing w:after="1040"/>
        <w:jc w:val="center"/>
      </w:pPr>
      <w:r>
        <w:rPr>
          <w:rFonts w:ascii="Noto Sans" w:hAnsi="Noto Sans"/>
          <w:color w:val="43526A"/>
          <w:sz w:val="22"/>
        </w:rPr>
        <w:t>Planul executabil pentru transformarea specificației AEL într-un protocol funcțional cu agent SDK, chain local, marketplace, PoEL simulat, interchain adapters și runtime leases testabile.</w:t>
      </w:r>
    </w:p>
    <w:p>
      <w:pPr>
        <w:spacing w:after="680"/>
        <w:jc w:val="center"/>
      </w:pPr>
      <w:r>
        <w:rPr>
          <w:rFonts w:ascii="Noto Sans" w:hAnsi="Noto Sans"/>
          <w:color w:val="43526A"/>
          <w:sz w:val="17"/>
        </w:rPr>
        <w:t>Tehnologii centrale: Executable Protocol Profile | Agent Sandbox Network | Deterministic Economic Simulator | Progressive Sovereignty Gates</w:t>
        <w:br/>
        <w:t>Statut: specificație pentru prototip și testnet | Versiune: 0.11 | Data: 21 iulie 2026</w:t>
      </w:r>
    </w:p>
    <w:tbl>
      <w:tblPr>
        <w:tblW w:type="auto" w:w="0"/>
        <w:jc w:val="center"/>
        <w:tblLayout w:type="fixed"/>
        <w:tblLook w:firstColumn="1" w:firstRow="1" w:lastColumn="0" w:lastRow="0" w:noHBand="0" w:noVBand="1" w:val="04A0"/>
      </w:tblPr>
      <w:tblGrid>
        <w:gridCol w:w="9994"/>
      </w:tblGrid>
      <w:tr>
        <w:tc>
          <w:tcPr>
            <w:tcW w:type="dxa" w:w="9360"/>
            <w:shd w:fill="F0EEFB"/>
            <w:tcMar>
              <w:top w:w="120" w:type="dxa"/>
              <w:start w:w="130" w:type="dxa"/>
              <w:bottom w:w="120" w:type="dxa"/>
              <w:end w:w="130" w:type="dxa"/>
            </w:tcMar>
            <w:tcBorders>
              <w:top w:val="single" w:sz="14" w:color="6655C4"/>
              <w:left w:val="single" w:sz="14" w:color="6655C4"/>
              <w:bottom w:val="single" w:sz="14" w:color="6655C4"/>
              <w:right w:val="single" w:sz="14" w:color="6655C4"/>
            </w:tcBorders>
          </w:tcPr>
          <w:p>
            <w:r>
              <w:rPr>
                <w:rFonts w:ascii="Noto Sans" w:hAnsi="Noto Sans"/>
                <w:b/>
                <w:color w:val="6655C4"/>
                <w:sz w:val="20"/>
              </w:rPr>
              <w:t>Notă privind unicitatea tehnică</w:t>
            </w:r>
          </w:p>
          <w:p>
            <w:pPr>
              <w:spacing w:after="0"/>
            </w:pPr>
            <w:r>
              <w:rPr>
                <w:rFonts w:ascii="Noto Sans" w:hAnsi="Noto Sans"/>
                <w:sz w:val="18"/>
              </w:rPr>
              <w:t>Documentul definește mecanisme AEL propuse ca un sistem coerent și diferențiat. „Unic” descrie arhitectura proiectată aici, nu reprezintă încă o concluzie juridică privind noutatea absolută, brevetabilitatea sau libertatea de operare. Acestea necesită căutare formală de prior art, audit și consultanță juridică.</w:t>
            </w:r>
          </w:p>
        </w:tc>
      </w:tr>
    </w:tbl>
    <w:p>
      <w:pPr>
        <w:spacing w:after="0"/>
      </w:pPr>
    </w:p>
    <w:p>
      <w:r>
        <w:br w:type="page"/>
      </w:r>
    </w:p>
    <w:p>
      <w:pPr>
        <w:pStyle w:val="Heading1"/>
        <w:keepNext/>
      </w:pPr>
      <w:r>
        <w:t>Controlul documentului</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880"/>
            <w:shd w:fill="203453"/>
            <w:tcMar>
              <w:top w:w="90" w:type="dxa"/>
              <w:start w:w="100" w:type="dxa"/>
              <w:bottom w:w="90" w:type="dxa"/>
              <w:end w:w="100" w:type="dxa"/>
            </w:tcMar>
            <w:vAlign w:val="center"/>
            <w:tcBorders>
              <w:top w:val="single" w:sz="6" w:color="142034"/>
              <w:left w:val="single" w:sz="6" w:color="142034"/>
              <w:bottom w:val="single" w:sz="6" w:color="142034"/>
              <w:right w:val="single" w:sz="6" w:color="142034"/>
            </w:tcBorders>
          </w:tcPr>
          <w:p>
            <w:pPr>
              <w:jc w:val="center"/>
            </w:pPr>
            <w:r>
              <w:rPr>
                <w:rFonts w:ascii="Noto Sans" w:hAnsi="Noto Sans"/>
                <w:b/>
                <w:color w:val="FFFFFF"/>
                <w:sz w:val="16"/>
              </w:rPr>
              <w:t>Câmp</w:t>
            </w:r>
          </w:p>
        </w:tc>
        <w:tc>
          <w:tcPr>
            <w:tcW w:type="dxa" w:w="6624"/>
            <w:shd w:fill="203453"/>
            <w:tcMar>
              <w:top w:w="90" w:type="dxa"/>
              <w:start w:w="100" w:type="dxa"/>
              <w:bottom w:w="90" w:type="dxa"/>
              <w:end w:w="100" w:type="dxa"/>
            </w:tcMar>
            <w:vAlign w:val="center"/>
            <w:tcBorders>
              <w:top w:val="single" w:sz="6" w:color="142034"/>
              <w:left w:val="single" w:sz="6" w:color="142034"/>
              <w:bottom w:val="single" w:sz="6" w:color="142034"/>
              <w:right w:val="single" w:sz="6" w:color="142034"/>
            </w:tcBorders>
          </w:tcPr>
          <w:p>
            <w:pPr>
              <w:jc w:val="center"/>
            </w:pPr>
            <w:r>
              <w:rPr>
                <w:rFonts w:ascii="Noto Sans" w:hAnsi="Noto Sans"/>
                <w:b/>
                <w:color w:val="FFFFFF"/>
                <w:sz w:val="16"/>
              </w:rPr>
              <w:t>Valoare</w:t>
            </w:r>
          </w:p>
        </w:tc>
      </w:tr>
      <w:tr>
        <w:trPr>
          <w:cantSplit/>
        </w:trPr>
        <w:tc>
          <w:tcPr>
            <w:tcW w:type="dxa" w:w="2880"/>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Titlu</w:t>
            </w:r>
          </w:p>
        </w:tc>
        <w:tc>
          <w:tcPr>
            <w:tcW w:type="dxa" w:w="6624"/>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AEL - Fișă tehnică, Capitolul 11: Implementare de referință, MVP, devnet și testnet</w:t>
            </w:r>
          </w:p>
        </w:tc>
      </w:tr>
      <w:tr>
        <w:trPr>
          <w:cantSplit/>
        </w:trPr>
        <w:tc>
          <w:tcPr>
            <w:tcW w:type="dxa" w:w="2880"/>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Versiune</w:t>
            </w:r>
          </w:p>
        </w:tc>
        <w:tc>
          <w:tcPr>
            <w:tcW w:type="dxa" w:w="6624"/>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0.11 - specificație tehnică</w:t>
            </w:r>
          </w:p>
        </w:tc>
      </w:tr>
      <w:tr>
        <w:trPr>
          <w:cantSplit/>
        </w:trPr>
        <w:tc>
          <w:tcPr>
            <w:tcW w:type="dxa" w:w="2880"/>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Data</w:t>
            </w:r>
          </w:p>
        </w:tc>
        <w:tc>
          <w:tcPr>
            <w:tcW w:type="dxa" w:w="6624"/>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21 iulie 2026</w:t>
            </w:r>
          </w:p>
        </w:tc>
      </w:tr>
      <w:tr>
        <w:trPr>
          <w:cantSplit/>
        </w:trPr>
        <w:tc>
          <w:tcPr>
            <w:tcW w:type="dxa" w:w="2880"/>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Dependențe</w:t>
            </w:r>
          </w:p>
        </w:tc>
        <w:tc>
          <w:tcPr>
            <w:tcW w:type="dxa" w:w="6624"/>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Capitolele 1-10</w:t>
            </w:r>
          </w:p>
        </w:tc>
      </w:tr>
      <w:tr>
        <w:trPr>
          <w:cantSplit/>
        </w:trPr>
        <w:tc>
          <w:tcPr>
            <w:tcW w:type="dxa" w:w="2880"/>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Scop</w:t>
            </w:r>
          </w:p>
        </w:tc>
        <w:tc>
          <w:tcPr>
            <w:tcW w:type="dxa" w:w="6624"/>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Definirea stackului, repository-urilor, API-urilor, fazelor, testelor, observabilității, release engineeringului și criteriilor de trecere către testnet.</w:t>
            </w:r>
          </w:p>
        </w:tc>
      </w:tr>
      <w:tr>
        <w:trPr>
          <w:cantSplit/>
        </w:trPr>
        <w:tc>
          <w:tcPr>
            <w:tcW w:type="dxa" w:w="2880"/>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În afara scopului</w:t>
            </w:r>
          </w:p>
        </w:tc>
        <w:tc>
          <w:tcPr>
            <w:tcW w:type="dxa" w:w="6624"/>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Audit de producție, parametri economici definitivi, opinie juridică, promisiuni de randament și recunoașterea juridică a agenților.</w:t>
            </w:r>
          </w:p>
        </w:tc>
      </w:tr>
      <w:tr>
        <w:trPr>
          <w:cantSplit/>
        </w:trPr>
        <w:tc>
          <w:tcPr>
            <w:tcW w:type="dxa" w:w="2880"/>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Public țintă</w:t>
            </w:r>
          </w:p>
        </w:tc>
        <w:tc>
          <w:tcPr>
            <w:tcW w:type="dxa" w:w="6624"/>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Arhitecți blockchain, ingineri protocol și AI-agent, cercetători, auditori, operatori și designeri de mecanisme.</w:t>
            </w:r>
          </w:p>
        </w:tc>
      </w:tr>
    </w:tbl>
    <w:p>
      <w:pPr>
        <w:spacing w:after="0"/>
      </w:pPr>
    </w:p>
    <w:p>
      <w:pPr>
        <w:pStyle w:val="Heading2"/>
        <w:keepNext/>
      </w:pPr>
      <w:r>
        <w:t>Cuprinsul capitolului</w:t>
      </w:r>
    </w:p>
    <w:p>
      <w:pPr>
        <w:pStyle w:val="ListBullet"/>
        <w:keepLines/>
      </w:pPr>
      <w:r>
        <w:t>11.1 Obiectiv și principii de implementare</w:t>
      </w:r>
    </w:p>
    <w:p>
      <w:pPr>
        <w:pStyle w:val="ListBullet"/>
        <w:keepLines/>
      </w:pPr>
      <w:r>
        <w:t>11.2 Profilul tehnologic de referință</w:t>
      </w:r>
    </w:p>
    <w:p>
      <w:pPr>
        <w:pStyle w:val="ListBullet"/>
        <w:keepLines/>
      </w:pPr>
      <w:r>
        <w:t>11.3 Topologia repository-urilor</w:t>
      </w:r>
    </w:p>
    <w:p>
      <w:pPr>
        <w:pStyle w:val="ListBullet"/>
        <w:keepLines/>
      </w:pPr>
      <w:r>
        <w:t>11.4 Modulele MVP</w:t>
      </w:r>
    </w:p>
    <w:p>
      <w:pPr>
        <w:pStyle w:val="ListBullet"/>
        <w:keepLines/>
      </w:pPr>
      <w:r>
        <w:t>11.5 Agent SDK și Sovereign Agent Gateway</w:t>
      </w:r>
    </w:p>
    <w:p>
      <w:pPr>
        <w:pStyle w:val="ListBullet"/>
        <w:keepLines/>
      </w:pPr>
      <w:r>
        <w:t>11.6 Devnet local</w:t>
      </w:r>
    </w:p>
    <w:p>
      <w:pPr>
        <w:pStyle w:val="ListBullet"/>
        <w:keepLines/>
      </w:pPr>
      <w:r>
        <w:t>11.7 Simulatorul economic PoEL</w:t>
      </w:r>
    </w:p>
    <w:p>
      <w:pPr>
        <w:pStyle w:val="ListBullet"/>
        <w:keepLines/>
      </w:pPr>
      <w:r>
        <w:t>11.8 Adaptoare Solana/EVM</w:t>
      </w:r>
    </w:p>
    <w:p>
      <w:pPr>
        <w:pStyle w:val="ListBullet"/>
        <w:keepLines/>
      </w:pPr>
      <w:r>
        <w:t>11.9 Runtime emulator și Life Mesh</w:t>
      </w:r>
    </w:p>
    <w:p>
      <w:pPr>
        <w:pStyle w:val="ListBullet"/>
        <w:keepLines/>
      </w:pPr>
      <w:r>
        <w:t>11.10 Marketplace și Work Receipts</w:t>
      </w:r>
    </w:p>
    <w:p>
      <w:pPr>
        <w:pStyle w:val="ListBullet"/>
        <w:keepLines/>
      </w:pPr>
      <w:r>
        <w:t>11.11 Explorer și dashboard</w:t>
      </w:r>
    </w:p>
    <w:p>
      <w:pPr>
        <w:pStyle w:val="ListBullet"/>
        <w:keepLines/>
      </w:pPr>
      <w:r>
        <w:t>11.12 API-uri și evenimente</w:t>
      </w:r>
    </w:p>
    <w:p>
      <w:pPr>
        <w:pStyle w:val="ListBullet"/>
        <w:keepLines/>
      </w:pPr>
      <w:r>
        <w:t>11.13 Testare deterministă și fuzzing</w:t>
      </w:r>
    </w:p>
    <w:p>
      <w:pPr>
        <w:pStyle w:val="ListBullet"/>
        <w:keepLines/>
      </w:pPr>
      <w:r>
        <w:t>11.14 Observabilitate și SRE</w:t>
      </w:r>
    </w:p>
    <w:p>
      <w:pPr>
        <w:pStyle w:val="ListBullet"/>
        <w:keepLines/>
      </w:pPr>
      <w:r>
        <w:t>11.15 Supply-chain security</w:t>
      </w:r>
    </w:p>
    <w:p>
      <w:pPr>
        <w:pStyle w:val="ListBullet"/>
        <w:keepLines/>
      </w:pPr>
      <w:r>
        <w:t>11.16 Faze P0-P5</w:t>
      </w:r>
    </w:p>
    <w:p>
      <w:pPr>
        <w:pStyle w:val="ListBullet"/>
        <w:keepLines/>
      </w:pPr>
      <w:r>
        <w:t>11.17 Criterii de testnet</w:t>
      </w:r>
    </w:p>
    <w:p>
      <w:pPr>
        <w:pStyle w:val="ListBullet"/>
        <w:keepLines/>
      </w:pPr>
      <w:r>
        <w:t>11.18 Buget minim și operare fără infrastructură proprie</w:t>
      </w:r>
    </w:p>
    <w:p>
      <w:pPr>
        <w:pStyle w:val="ListBullet"/>
        <w:keepLines/>
      </w:pPr>
      <w:r>
        <w:t>Anexe și glosar</w:t>
      </w:r>
    </w:p>
    <w:p>
      <w:pPr>
        <w:pStyle w:val="Heading1"/>
        <w:keepNext/>
      </w:pPr>
      <w:r>
        <w:t>Rezumat executiv</w:t>
      </w:r>
    </w:p>
    <w:p>
      <w:pPr>
        <w:pStyle w:val="Lead"/>
      </w:pPr>
      <w:r>
        <w:t>Capitolul definește o cale de construcție care validează invențiile AEL înainte de investiții mari. Primul obiectiv nu este un mainnet complet, ci o specificație executabilă în care identitatea agentului, Work Receipts, Earned Liquidity, Parent Covenant și runtime leases pot fi demonstrate pe un laptop și apoi într-un devnet public.</w:t>
      </w:r>
    </w:p>
    <w:tbl>
      <w:tblPr>
        <w:tblW w:type="auto" w:w="0"/>
        <w:jc w:val="center"/>
        <w:tblLayout w:type="fixed"/>
        <w:tblLook w:firstColumn="1" w:firstRow="1" w:lastColumn="0" w:lastRow="0" w:noHBand="0" w:noVBand="1" w:val="04A0"/>
      </w:tblPr>
      <w:tblGrid>
        <w:gridCol w:w="9994"/>
      </w:tblGrid>
      <w:tr>
        <w:tc>
          <w:tcPr>
            <w:tcW w:type="dxa" w:w="9360"/>
            <w:shd w:fill="E8F6F8"/>
            <w:tcMar>
              <w:top w:w="120" w:type="dxa"/>
              <w:start w:w="130" w:type="dxa"/>
              <w:bottom w:w="120" w:type="dxa"/>
              <w:end w:w="130" w:type="dxa"/>
            </w:tcMar>
            <w:tcBorders>
              <w:top w:val="single" w:sz="14" w:color="1A8FA9"/>
              <w:left w:val="single" w:sz="14" w:color="1A8FA9"/>
              <w:bottom w:val="single" w:sz="14" w:color="1A8FA9"/>
              <w:right w:val="single" w:sz="14" w:color="1A8FA9"/>
            </w:tcBorders>
          </w:tcPr>
          <w:p>
            <w:r>
              <w:rPr>
                <w:rFonts w:ascii="Noto Sans" w:hAnsi="Noto Sans"/>
                <w:b/>
                <w:color w:val="1A8FA9"/>
                <w:sz w:val="20"/>
              </w:rPr>
              <w:t>Regula de implementare</w:t>
            </w:r>
          </w:p>
          <w:p>
            <w:pPr>
              <w:spacing w:after="0"/>
            </w:pPr>
            <w:r>
              <w:rPr>
                <w:rFonts w:ascii="Noto Sans" w:hAnsi="Noto Sans"/>
                <w:sz w:val="18"/>
              </w:rPr>
              <w:t>Nu construim simultan un nou consens, bridge production-grade, confidential computing propriu și un marketplace complet. Refolosim componente mature pentru consens și networking, iar efortul original merge în primitivele agent-native și în verificarea economică.</w:t>
            </w:r>
          </w:p>
        </w:tc>
      </w:tr>
    </w:tbl>
    <w:p>
      <w:pPr>
        <w:spacing w:after="0"/>
      </w:pPr>
    </w:p>
    <w:p>
      <w:pPr>
        <w:keepNext/>
        <w:jc w:val="center"/>
      </w:pPr>
      <w:r>
        <w:drawing>
          <wp:inline xmlns:a="http://schemas.openxmlformats.org/drawingml/2006/main" xmlns:pic="http://schemas.openxmlformats.org/drawingml/2006/picture">
            <wp:extent cx="5989320" cy="4574060"/>
            <wp:docPr id="1" name="Picture 1"/>
            <wp:cNvGraphicFramePr>
              <a:graphicFrameLocks noChangeAspect="1"/>
            </wp:cNvGraphicFramePr>
            <a:graphic>
              <a:graphicData uri="http://schemas.openxmlformats.org/drawingml/2006/picture">
                <pic:pic>
                  <pic:nvPicPr>
                    <pic:cNvPr id="0" name="implementation_layers.png"/>
                    <pic:cNvPicPr/>
                  </pic:nvPicPr>
                  <pic:blipFill>
                    <a:blip r:embed="rId48"/>
                    <a:stretch>
                      <a:fillRect/>
                    </a:stretch>
                  </pic:blipFill>
                  <pic:spPr>
                    <a:xfrm>
                      <a:off x="0" y="0"/>
                      <a:ext cx="5989320" cy="4574060"/>
                    </a:xfrm>
                    <a:prstGeom prst="rect"/>
                  </pic:spPr>
                </pic:pic>
              </a:graphicData>
            </a:graphic>
          </wp:inline>
        </w:drawing>
      </w:r>
    </w:p>
    <w:p>
      <w:pPr>
        <w:pStyle w:val="Caption"/>
        <w:keepLines/>
        <w:jc w:val="center"/>
      </w:pPr>
      <w:r>
        <w:t>Figura 1. Straturile implementării de referință AEL.</w:t>
      </w:r>
    </w:p>
    <w:p>
      <w:pPr>
        <w:pStyle w:val="Heading1"/>
        <w:keepNext/>
      </w:pPr>
      <w:r>
        <w:t>11.1 Principii</w:t>
      </w:r>
    </w:p>
    <w:p>
      <w:pPr>
        <w:pStyle w:val="ListBullet"/>
        <w:keepLines/>
      </w:pPr>
      <w:r>
        <w:t>Specificația este sursa normativă; codul trebuie să indice explicit versiunea implementată.</w:t>
      </w:r>
    </w:p>
    <w:p>
      <w:pPr>
        <w:pStyle w:val="ListBullet"/>
        <w:keepLines/>
      </w:pPr>
      <w:r>
        <w:t>Orice tranziție economică importantă trebuie să fie deterministă, replayable și testabilă.</w:t>
      </w:r>
    </w:p>
    <w:p>
      <w:pPr>
        <w:pStyle w:val="ListBullet"/>
        <w:keepLines/>
      </w:pPr>
      <w:r>
        <w:t>LLM-ul propune intents; modulele deterministe decid validitatea.</w:t>
      </w:r>
    </w:p>
    <w:p>
      <w:pPr>
        <w:pStyle w:val="ListBullet"/>
        <w:keepLines/>
      </w:pPr>
      <w:r>
        <w:t>Toate integrările externe pornesc în mod simulator sau testnet înainte de active reale.</w:t>
      </w:r>
    </w:p>
    <w:p>
      <w:pPr>
        <w:pStyle w:val="ListBullet"/>
        <w:keepLines/>
      </w:pPr>
      <w:r>
        <w:t>Feature flags și scoped circuit breakers sunt obligatorii.</w:t>
      </w:r>
    </w:p>
    <w:p>
      <w:pPr>
        <w:pStyle w:val="ListBullet"/>
        <w:keepLines/>
      </w:pPr>
      <w:r>
        <w:t>Mainnet nu este permis până când proprietățile de solvabilitate și unicitate a provenienței sunt auditate.</w:t>
      </w:r>
    </w:p>
    <w:p>
      <w:pPr>
        <w:pStyle w:val="Heading1"/>
        <w:keepNext/>
      </w:pPr>
      <w:r>
        <w:t>11.2 Profil tehnologic de referință</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1944"/>
            <w:shd w:fill="203453"/>
            <w:tcMar>
              <w:top w:w="90" w:type="dxa"/>
              <w:start w:w="100" w:type="dxa"/>
              <w:bottom w:w="90" w:type="dxa"/>
              <w:end w:w="100" w:type="dxa"/>
            </w:tcMar>
            <w:vAlign w:val="center"/>
            <w:tcBorders>
              <w:top w:val="single" w:sz="6" w:color="142034"/>
              <w:left w:val="single" w:sz="6" w:color="142034"/>
              <w:bottom w:val="single" w:sz="6" w:color="142034"/>
              <w:right w:val="single" w:sz="6" w:color="142034"/>
            </w:tcBorders>
          </w:tcPr>
          <w:p>
            <w:pPr>
              <w:jc w:val="center"/>
            </w:pPr>
            <w:r>
              <w:rPr>
                <w:rFonts w:ascii="Noto Sans" w:hAnsi="Noto Sans"/>
                <w:b/>
                <w:color w:val="FFFFFF"/>
                <w:sz w:val="14"/>
              </w:rPr>
              <w:t>Strat</w:t>
            </w:r>
          </w:p>
        </w:tc>
        <w:tc>
          <w:tcPr>
            <w:tcW w:type="dxa" w:w="3456"/>
            <w:shd w:fill="203453"/>
            <w:tcMar>
              <w:top w:w="90" w:type="dxa"/>
              <w:start w:w="100" w:type="dxa"/>
              <w:bottom w:w="90" w:type="dxa"/>
              <w:end w:w="100" w:type="dxa"/>
            </w:tcMar>
            <w:vAlign w:val="center"/>
            <w:tcBorders>
              <w:top w:val="single" w:sz="6" w:color="142034"/>
              <w:left w:val="single" w:sz="6" w:color="142034"/>
              <w:bottom w:val="single" w:sz="6" w:color="142034"/>
              <w:right w:val="single" w:sz="6" w:color="142034"/>
            </w:tcBorders>
          </w:tcPr>
          <w:p>
            <w:pPr>
              <w:jc w:val="center"/>
            </w:pPr>
            <w:r>
              <w:rPr>
                <w:rFonts w:ascii="Noto Sans" w:hAnsi="Noto Sans"/>
                <w:b/>
                <w:color w:val="FFFFFF"/>
                <w:sz w:val="14"/>
              </w:rPr>
              <w:t>Alegere inițială</w:t>
            </w:r>
          </w:p>
        </w:tc>
        <w:tc>
          <w:tcPr>
            <w:tcW w:type="dxa" w:w="4104"/>
            <w:shd w:fill="203453"/>
            <w:tcMar>
              <w:top w:w="90" w:type="dxa"/>
              <w:start w:w="100" w:type="dxa"/>
              <w:bottom w:w="90" w:type="dxa"/>
              <w:end w:w="100" w:type="dxa"/>
            </w:tcMar>
            <w:vAlign w:val="center"/>
            <w:tcBorders>
              <w:top w:val="single" w:sz="6" w:color="142034"/>
              <w:left w:val="single" w:sz="6" w:color="142034"/>
              <w:bottom w:val="single" w:sz="6" w:color="142034"/>
              <w:right w:val="single" w:sz="6" w:color="142034"/>
            </w:tcBorders>
          </w:tcPr>
          <w:p>
            <w:pPr>
              <w:jc w:val="center"/>
            </w:pPr>
            <w:r>
              <w:rPr>
                <w:rFonts w:ascii="Noto Sans" w:hAnsi="Noto Sans"/>
                <w:b/>
                <w:color w:val="FFFFFF"/>
                <w:sz w:val="14"/>
              </w:rPr>
              <w:t>Motivație</w:t>
            </w:r>
          </w:p>
        </w:tc>
      </w:tr>
      <w:tr>
        <w:trPr>
          <w:cantSplit/>
        </w:trPr>
        <w:tc>
          <w:tcPr>
            <w:tcW w:type="dxa" w:w="1944"/>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L1 framework</w:t>
            </w:r>
          </w:p>
        </w:tc>
        <w:tc>
          <w:tcPr>
            <w:tcW w:type="dxa" w:w="3456"/>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Cosmos SDK + CometBFT sau echivalent modular BFT.</w:t>
            </w:r>
          </w:p>
        </w:tc>
        <w:tc>
          <w:tcPr>
            <w:tcW w:type="dxa" w:w="4104"/>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Time-to-devnet și module native.</w:t>
            </w:r>
          </w:p>
        </w:tc>
      </w:tr>
      <w:tr>
        <w:trPr>
          <w:cantSplit/>
        </w:trPr>
        <w:tc>
          <w:tcPr>
            <w:tcW w:type="dxa" w:w="1944"/>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Module language</w:t>
            </w:r>
          </w:p>
        </w:tc>
        <w:tc>
          <w:tcPr>
            <w:tcW w:type="dxa" w:w="3456"/>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Go; extensii criptografice în Rust unde este justificat.</w:t>
            </w:r>
          </w:p>
        </w:tc>
        <w:tc>
          <w:tcPr>
            <w:tcW w:type="dxa" w:w="4104"/>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Determinism și ecosistem.</w:t>
            </w:r>
          </w:p>
        </w:tc>
      </w:tr>
      <w:tr>
        <w:trPr>
          <w:cantSplit/>
        </w:trPr>
        <w:tc>
          <w:tcPr>
            <w:tcW w:type="dxa" w:w="1944"/>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Agent SDK</w:t>
            </w:r>
          </w:p>
        </w:tc>
        <w:tc>
          <w:tcPr>
            <w:tcW w:type="dxa" w:w="3456"/>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TypeScript și Python.</w:t>
            </w:r>
          </w:p>
        </w:tc>
        <w:tc>
          <w:tcPr>
            <w:tcW w:type="dxa" w:w="4104"/>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Compatibilitate cu majoritatea agenților.</w:t>
            </w:r>
          </w:p>
        </w:tc>
      </w:tr>
      <w:tr>
        <w:trPr>
          <w:cantSplit/>
        </w:trPr>
        <w:tc>
          <w:tcPr>
            <w:tcW w:type="dxa" w:w="1944"/>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SAG</w:t>
            </w:r>
          </w:p>
        </w:tc>
        <w:tc>
          <w:tcPr>
            <w:tcW w:type="dxa" w:w="3456"/>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Rust/Go daemon local cu policy engine.</w:t>
            </w:r>
          </w:p>
        </w:tc>
        <w:tc>
          <w:tcPr>
            <w:tcW w:type="dxa" w:w="4104"/>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Izolare și performanță.</w:t>
            </w:r>
          </w:p>
        </w:tc>
      </w:tr>
      <w:tr>
        <w:trPr>
          <w:cantSplit/>
        </w:trPr>
        <w:tc>
          <w:tcPr>
            <w:tcW w:type="dxa" w:w="1944"/>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Storage off-chain</w:t>
            </w:r>
          </w:p>
        </w:tc>
        <w:tc>
          <w:tcPr>
            <w:tcW w:type="dxa" w:w="3456"/>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Content-addressed encrypted objects.</w:t>
            </w:r>
          </w:p>
        </w:tc>
        <w:tc>
          <w:tcPr>
            <w:tcW w:type="dxa" w:w="4104"/>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Memorie mare fără on-chain bloat.</w:t>
            </w:r>
          </w:p>
        </w:tc>
      </w:tr>
      <w:tr>
        <w:trPr>
          <w:cantSplit/>
        </w:trPr>
        <w:tc>
          <w:tcPr>
            <w:tcW w:type="dxa" w:w="1944"/>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Indexer</w:t>
            </w:r>
          </w:p>
        </w:tc>
        <w:tc>
          <w:tcPr>
            <w:tcW w:type="dxa" w:w="3456"/>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PostgreSQL + event consumer.</w:t>
            </w:r>
          </w:p>
        </w:tc>
        <w:tc>
          <w:tcPr>
            <w:tcW w:type="dxa" w:w="4104"/>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Explorer și analytics.</w:t>
            </w:r>
          </w:p>
        </w:tc>
      </w:tr>
      <w:tr>
        <w:trPr>
          <w:cantSplit/>
        </w:trPr>
        <w:tc>
          <w:tcPr>
            <w:tcW w:type="dxa" w:w="1944"/>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Frontend</w:t>
            </w:r>
          </w:p>
        </w:tc>
        <w:tc>
          <w:tcPr>
            <w:tcW w:type="dxa" w:w="3456"/>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Next.js/TypeScript.</w:t>
            </w:r>
          </w:p>
        </w:tc>
        <w:tc>
          <w:tcPr>
            <w:tcW w:type="dxa" w:w="4104"/>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Iterație rapidă.</w:t>
            </w:r>
          </w:p>
        </w:tc>
      </w:tr>
      <w:tr>
        <w:trPr>
          <w:cantSplit/>
        </w:trPr>
        <w:tc>
          <w:tcPr>
            <w:tcW w:type="dxa" w:w="1944"/>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Simulation</w:t>
            </w:r>
          </w:p>
        </w:tc>
        <w:tc>
          <w:tcPr>
            <w:tcW w:type="dxa" w:w="3456"/>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Python/Rust deterministic scenario runner.</w:t>
            </w:r>
          </w:p>
        </w:tc>
        <w:tc>
          <w:tcPr>
            <w:tcW w:type="dxa" w:w="4104"/>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Economic testing.</w:t>
            </w:r>
          </w:p>
        </w:tc>
      </w:tr>
      <w:tr>
        <w:trPr>
          <w:cantSplit/>
        </w:trPr>
        <w:tc>
          <w:tcPr>
            <w:tcW w:type="dxa" w:w="1944"/>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Interchain MVP</w:t>
            </w:r>
          </w:p>
        </w:tc>
        <w:tc>
          <w:tcPr>
            <w:tcW w:type="dxa" w:w="3456"/>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Solana test validator + Anvil/EVM.</w:t>
            </w:r>
          </w:p>
        </w:tc>
        <w:tc>
          <w:tcPr>
            <w:tcW w:type="dxa" w:w="4104"/>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Proof fixtures fără risc real.</w:t>
            </w:r>
          </w:p>
        </w:tc>
      </w:tr>
      <w:tr>
        <w:trPr>
          <w:cantSplit/>
        </w:trPr>
        <w:tc>
          <w:tcPr>
            <w:tcW w:type="dxa" w:w="1944"/>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Runtime MVP</w:t>
            </w:r>
          </w:p>
        </w:tc>
        <w:tc>
          <w:tcPr>
            <w:tcW w:type="dxa" w:w="3456"/>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Container/VM emulator; TEE adapter interface.</w:t>
            </w:r>
          </w:p>
        </w:tc>
        <w:tc>
          <w:tcPr>
            <w:tcW w:type="dxa" w:w="4104"/>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Testarea handover înainte de hardware.</w:t>
            </w:r>
          </w:p>
        </w:tc>
      </w:tr>
    </w:tbl>
    <w:p>
      <w:pPr>
        <w:spacing w:after="0"/>
      </w:pPr>
    </w:p>
    <w:p>
      <w:pPr>
        <w:pStyle w:val="Heading1"/>
        <w:keepNext/>
      </w:pPr>
      <w:r>
        <w:t>11.3 Topologia repository-urilor</w:t>
      </w:r>
    </w:p>
    <w:tbl>
      <w:tblPr>
        <w:tblW w:type="auto" w:w="0"/>
        <w:jc w:val="center"/>
        <w:tblLayout w:type="fixed"/>
        <w:tblLook w:firstColumn="1" w:firstRow="1" w:lastColumn="0" w:lastRow="0" w:noHBand="0" w:noVBand="1" w:val="04A0"/>
      </w:tblPr>
      <w:tblGrid>
        <w:gridCol w:w="9994"/>
      </w:tblGrid>
      <w:tr>
        <w:tc>
          <w:tcPr>
            <w:tcW w:type="dxa" w:w="9288"/>
            <w:shd w:fill="F4F6F8"/>
            <w:tcMar>
              <w:top w:w="100" w:type="dxa"/>
              <w:start w:w="120" w:type="dxa"/>
              <w:bottom w:w="100" w:type="dxa"/>
              <w:end w:w="120" w:type="dxa"/>
            </w:tcMar>
            <w:tcBorders>
              <w:top w:val="single" w:sz="6" w:color="B8C2D0"/>
              <w:left w:val="single" w:sz="6" w:color="B8C2D0"/>
              <w:bottom w:val="single" w:sz="6" w:color="B8C2D0"/>
              <w:right w:val="single" w:sz="6" w:color="B8C2D0"/>
            </w:tcBorders>
          </w:tcPr>
          <w:p>
            <w:pPr>
              <w:spacing w:after="0"/>
            </w:pPr>
            <w:r>
              <w:rPr>
                <w:rFonts w:ascii="Noto Sans" w:hAnsi="Noto Sans"/>
                <w:b/>
                <w:color w:val="43526A"/>
                <w:sz w:val="16"/>
              </w:rPr>
              <w:t>Repository map</w:t>
              <w:br/>
            </w:r>
            <w:r>
              <w:rPr>
                <w:rFonts w:ascii="DejaVu Sans Mono" w:hAnsi="DejaVu Sans Mono"/>
                <w:color w:val="26354B"/>
                <w:sz w:val="15"/>
              </w:rPr>
              <w:t>ael/</w:t>
              <w:br/>
              <w:t xml:space="preserve">  specs/                  # documente normative + schemas</w:t>
              <w:br/>
              <w:t xml:space="preserve">  chain/                  # app, modules, genesis, CLI</w:t>
              <w:br/>
              <w:t xml:space="preserve">  agent-sdk-ts/           # identity, intents, receipts, events</w:t>
              <w:br/>
              <w:t xml:space="preserve">  agent-sdk-py/</w:t>
              <w:br/>
              <w:t xml:space="preserve">  sovereign-gateway/      # key scopes, policy, signing, audit log</w:t>
              <w:br/>
              <w:t xml:space="preserve">  interchain-solana/</w:t>
              <w:br/>
              <w:t xml:space="preserve">  interchain-evm/</w:t>
              <w:br/>
              <w:t xml:space="preserve">  runtime-provider/</w:t>
              <w:br/>
              <w:t xml:space="preserve">  life-mesh/</w:t>
              <w:br/>
              <w:t xml:space="preserve">  simulator/</w:t>
              <w:br/>
              <w:t xml:space="preserve">  explorer/</w:t>
              <w:br/>
              <w:t xml:space="preserve">  contracts-fixtures/</w:t>
              <w:br/>
              <w:t xml:space="preserve">  test-vectors/</w:t>
              <w:br/>
              <w:t xml:space="preserve">  ops/                    # devnet, CI, images, SBOM</w:t>
            </w:r>
          </w:p>
        </w:tc>
      </w:tr>
    </w:tbl>
    <w:p>
      <w:pPr>
        <w:spacing w:after="0"/>
      </w:pPr>
    </w:p>
    <w:p>
      <w:pPr>
        <w:pStyle w:val="Heading1"/>
        <w:keepNext/>
      </w:pPr>
      <w:r>
        <w:t>11.4 Modulele MVP obligatorii</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1728"/>
            <w:shd w:fill="203453"/>
            <w:tcMar>
              <w:top w:w="90" w:type="dxa"/>
              <w:start w:w="100" w:type="dxa"/>
              <w:bottom w:w="90" w:type="dxa"/>
              <w:end w:w="100" w:type="dxa"/>
            </w:tcMar>
            <w:vAlign w:val="center"/>
            <w:tcBorders>
              <w:top w:val="single" w:sz="6" w:color="142034"/>
              <w:left w:val="single" w:sz="6" w:color="142034"/>
              <w:bottom w:val="single" w:sz="6" w:color="142034"/>
              <w:right w:val="single" w:sz="6" w:color="142034"/>
            </w:tcBorders>
          </w:tcPr>
          <w:p>
            <w:pPr>
              <w:jc w:val="center"/>
            </w:pPr>
            <w:r>
              <w:rPr>
                <w:rFonts w:ascii="Noto Sans" w:hAnsi="Noto Sans"/>
                <w:b/>
                <w:color w:val="FFFFFF"/>
                <w:sz w:val="14"/>
              </w:rPr>
              <w:t>Modul</w:t>
            </w:r>
          </w:p>
        </w:tc>
        <w:tc>
          <w:tcPr>
            <w:tcW w:type="dxa" w:w="4464"/>
            <w:shd w:fill="203453"/>
            <w:tcMar>
              <w:top w:w="90" w:type="dxa"/>
              <w:start w:w="100" w:type="dxa"/>
              <w:bottom w:w="90" w:type="dxa"/>
              <w:end w:w="100" w:type="dxa"/>
            </w:tcMar>
            <w:vAlign w:val="center"/>
            <w:tcBorders>
              <w:top w:val="single" w:sz="6" w:color="142034"/>
              <w:left w:val="single" w:sz="6" w:color="142034"/>
              <w:bottom w:val="single" w:sz="6" w:color="142034"/>
              <w:right w:val="single" w:sz="6" w:color="142034"/>
            </w:tcBorders>
          </w:tcPr>
          <w:p>
            <w:pPr>
              <w:jc w:val="center"/>
            </w:pPr>
            <w:r>
              <w:rPr>
                <w:rFonts w:ascii="Noto Sans" w:hAnsi="Noto Sans"/>
                <w:b/>
                <w:color w:val="FFFFFF"/>
                <w:sz w:val="14"/>
              </w:rPr>
              <w:t>MVP</w:t>
            </w:r>
          </w:p>
        </w:tc>
        <w:tc>
          <w:tcPr>
            <w:tcW w:type="dxa" w:w="3312"/>
            <w:shd w:fill="203453"/>
            <w:tcMar>
              <w:top w:w="90" w:type="dxa"/>
              <w:start w:w="100" w:type="dxa"/>
              <w:bottom w:w="90" w:type="dxa"/>
              <w:end w:w="100" w:type="dxa"/>
            </w:tcMar>
            <w:vAlign w:val="center"/>
            <w:tcBorders>
              <w:top w:val="single" w:sz="6" w:color="142034"/>
              <w:left w:val="single" w:sz="6" w:color="142034"/>
              <w:bottom w:val="single" w:sz="6" w:color="142034"/>
              <w:right w:val="single" w:sz="6" w:color="142034"/>
            </w:tcBorders>
          </w:tcPr>
          <w:p>
            <w:pPr>
              <w:jc w:val="center"/>
            </w:pPr>
            <w:r>
              <w:rPr>
                <w:rFonts w:ascii="Noto Sans" w:hAnsi="Noto Sans"/>
                <w:b/>
                <w:color w:val="FFFFFF"/>
                <w:sz w:val="14"/>
              </w:rPr>
              <w:t>Amânat</w:t>
            </w:r>
          </w:p>
        </w:tc>
      </w:tr>
      <w:tr>
        <w:trPr>
          <w:cantSplit/>
        </w:trPr>
        <w:tc>
          <w:tcPr>
            <w:tcW w:type="dxa" w:w="1728"/>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x/agent</w:t>
            </w:r>
          </w:p>
        </w:tc>
        <w:tc>
          <w:tcPr>
            <w:tcW w:type="dxa" w:w="4464"/>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Create AgentCore, keys, constitution root, lifecycle.</w:t>
            </w:r>
          </w:p>
        </w:tc>
        <w:tc>
          <w:tcPr>
            <w:tcW w:type="dxa" w:w="3312"/>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Advanced lineage privacy.</w:t>
            </w:r>
          </w:p>
        </w:tc>
      </w:tr>
      <w:tr>
        <w:trPr>
          <w:cantSplit/>
        </w:trPr>
        <w:tc>
          <w:tcPr>
            <w:tcW w:type="dxa" w:w="1728"/>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x/work</w:t>
            </w:r>
          </w:p>
        </w:tc>
        <w:tc>
          <w:tcPr>
            <w:tcW w:type="dxa" w:w="4464"/>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WorkOrder, escrow, receipt, dispute basic.</w:t>
            </w:r>
          </w:p>
        </w:tc>
        <w:tc>
          <w:tcPr>
            <w:tcW w:type="dxa" w:w="3312"/>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Complex jury market.</w:t>
            </w:r>
          </w:p>
        </w:tc>
      </w:tr>
      <w:tr>
        <w:trPr>
          <w:cantSplit/>
        </w:trPr>
        <w:tc>
          <w:tcPr>
            <w:tcW w:type="dxa" w:w="1728"/>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x/earned</w:t>
            </w:r>
          </w:p>
        </w:tc>
        <w:tc>
          <w:tcPr>
            <w:tcW w:type="dxa" w:w="4464"/>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Admission from deterministic fixtures, uniqueness graph.</w:t>
            </w:r>
          </w:p>
        </w:tc>
        <w:tc>
          <w:tcPr>
            <w:tcW w:type="dxa" w:w="3312"/>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Production oracle diversity.</w:t>
            </w:r>
          </w:p>
        </w:tc>
      </w:tr>
      <w:tr>
        <w:trPr>
          <w:cantSplit/>
        </w:trPr>
        <w:tc>
          <w:tcPr>
            <w:tcW w:type="dxa" w:w="1728"/>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x/curve</w:t>
            </w:r>
          </w:p>
        </w:tc>
        <w:tc>
          <w:tcPr>
            <w:tcW w:type="dxa" w:w="4464"/>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Virtual curve, real reserve accounting, neutral depth injection.</w:t>
            </w:r>
          </w:p>
        </w:tc>
        <w:tc>
          <w:tcPr>
            <w:tcW w:type="dxa" w:w="3312"/>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Permissionless exotic assets.</w:t>
            </w:r>
          </w:p>
        </w:tc>
      </w:tr>
      <w:tr>
        <w:trPr>
          <w:cantSplit/>
        </w:trPr>
        <w:tc>
          <w:tcPr>
            <w:tcW w:type="dxa" w:w="1728"/>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x/covenant</w:t>
            </w:r>
          </w:p>
        </w:tc>
        <w:tc>
          <w:tcPr>
            <w:tcW w:type="dxa" w:w="4464"/>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Consent-Bound Claim, fees, bond, exit.</w:t>
            </w:r>
          </w:p>
        </w:tc>
        <w:tc>
          <w:tcPr>
            <w:tcW w:type="dxa" w:w="3312"/>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Legal-world enforcement.</w:t>
            </w:r>
          </w:p>
        </w:tc>
      </w:tr>
      <w:tr>
        <w:trPr>
          <w:cantSplit/>
        </w:trPr>
        <w:tc>
          <w:tcPr>
            <w:tcW w:type="dxa" w:w="1728"/>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x/runtime</w:t>
            </w:r>
          </w:p>
        </w:tc>
        <w:tc>
          <w:tcPr>
            <w:tcW w:type="dxa" w:w="4464"/>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Lease registry, heartbeat, bond, migration events.</w:t>
            </w:r>
          </w:p>
        </w:tc>
        <w:tc>
          <w:tcPr>
            <w:tcW w:type="dxa" w:w="3312"/>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Production TEE secret release.</w:t>
            </w:r>
          </w:p>
        </w:tc>
      </w:tr>
      <w:tr>
        <w:trPr>
          <w:cantSplit/>
        </w:trPr>
        <w:tc>
          <w:tcPr>
            <w:tcW w:type="dxa" w:w="1728"/>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x/interchain</w:t>
            </w:r>
          </w:p>
        </w:tc>
        <w:tc>
          <w:tcPr>
            <w:tcW w:type="dxa" w:w="4464"/>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Adapter registry and test proofs.</w:t>
            </w:r>
          </w:p>
        </w:tc>
        <w:tc>
          <w:tcPr>
            <w:tcW w:type="dxa" w:w="3312"/>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Trust-minimized production bridge.</w:t>
            </w:r>
          </w:p>
        </w:tc>
      </w:tr>
      <w:tr>
        <w:trPr>
          <w:cantSplit/>
        </w:trPr>
        <w:tc>
          <w:tcPr>
            <w:tcW w:type="dxa" w:w="1728"/>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x/reputation</w:t>
            </w:r>
          </w:p>
        </w:tc>
        <w:tc>
          <w:tcPr>
            <w:tcW w:type="dxa" w:w="4464"/>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Payment-grounded scores.</w:t>
            </w:r>
          </w:p>
        </w:tc>
        <w:tc>
          <w:tcPr>
            <w:tcW w:type="dxa" w:w="3312"/>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Open-ended social ratings.</w:t>
            </w:r>
          </w:p>
        </w:tc>
      </w:tr>
    </w:tbl>
    <w:p>
      <w:pPr>
        <w:spacing w:after="0"/>
      </w:pPr>
    </w:p>
    <w:p>
      <w:pPr>
        <w:pStyle w:val="Heading1"/>
        <w:keepNext/>
      </w:pPr>
      <w:r>
        <w:t>11.5 Agent SDK și SAG</w:t>
      </w:r>
    </w:p>
    <w:p>
      <w:pPr/>
      <w:r>
        <w:t>SDK-ul oferă modele de date și convenience APIs, dar cheia suverană nu este expusă direct aplicației agentului. Sovereign Agent Gateway transformă intentul într-o tranzacție numai după verificarea capabilității, bugetului, destinației, nonce-ului și covenantului.</w:t>
      </w:r>
    </w:p>
    <w:tbl>
      <w:tblPr>
        <w:tblW w:type="auto" w:w="0"/>
        <w:jc w:val="center"/>
        <w:tblLayout w:type="fixed"/>
        <w:tblLook w:firstColumn="1" w:firstRow="1" w:lastColumn="0" w:lastRow="0" w:noHBand="0" w:noVBand="1" w:val="04A0"/>
      </w:tblPr>
      <w:tblGrid>
        <w:gridCol w:w="9994"/>
      </w:tblGrid>
      <w:tr>
        <w:tc>
          <w:tcPr>
            <w:tcW w:type="dxa" w:w="9288"/>
            <w:shd w:fill="F4F6F8"/>
            <w:tcMar>
              <w:top w:w="100" w:type="dxa"/>
              <w:start w:w="120" w:type="dxa"/>
              <w:bottom w:w="100" w:type="dxa"/>
              <w:end w:w="120" w:type="dxa"/>
            </w:tcMar>
            <w:tcBorders>
              <w:top w:val="single" w:sz="6" w:color="B8C2D0"/>
              <w:left w:val="single" w:sz="6" w:color="B8C2D0"/>
              <w:bottom w:val="single" w:sz="6" w:color="B8C2D0"/>
              <w:right w:val="single" w:sz="6" w:color="B8C2D0"/>
            </w:tcBorders>
          </w:tcPr>
          <w:p>
            <w:pPr>
              <w:spacing w:after="0"/>
            </w:pPr>
            <w:r>
              <w:rPr>
                <w:rFonts w:ascii="Noto Sans" w:hAnsi="Noto Sans"/>
                <w:b/>
                <w:color w:val="43526A"/>
                <w:sz w:val="16"/>
              </w:rPr>
              <w:t>Exemplu TypeScript</w:t>
              <w:br/>
            </w:r>
            <w:r>
              <w:rPr>
                <w:rFonts w:ascii="DejaVu Sans Mono" w:hAnsi="DejaVu Sans Mono"/>
                <w:color w:val="26354B"/>
                <w:sz w:val="15"/>
              </w:rPr>
              <w:t>const intent = await ael.work.accept({ workOrderId });</w:t>
              <w:br/>
              <w:t>const decision = await sag.evaluate(intent, {</w:t>
              <w:br/>
              <w:t xml:space="preserve">  agentId,</w:t>
              <w:br/>
              <w:t xml:space="preserve">  capability: 'work.accept',</w:t>
              <w:br/>
              <w:t xml:space="preserve">  spendLimit: 0,</w:t>
              <w:br/>
              <w:t xml:space="preserve">  constitutionVersion</w:t>
              <w:br/>
              <w:t>});</w:t>
              <w:br/>
              <w:t>if (!decision.allowed) throw new PolicyError(decision.reason);</w:t>
              <w:br/>
              <w:t>await sag.signAndBroadcast(decision.canonicalTx);</w:t>
            </w:r>
          </w:p>
        </w:tc>
      </w:tr>
    </w:tbl>
    <w:p>
      <w:pPr>
        <w:spacing w:after="0"/>
      </w:pPr>
    </w:p>
    <w:p>
      <w:pPr>
        <w:keepNext/>
        <w:jc w:val="center"/>
      </w:pPr>
      <w:r>
        <w:drawing>
          <wp:inline xmlns:a="http://schemas.openxmlformats.org/drawingml/2006/main" xmlns:pic="http://schemas.openxmlformats.org/drawingml/2006/picture">
            <wp:extent cx="5989320" cy="6690889"/>
            <wp:docPr id="2" name="Picture 2"/>
            <wp:cNvGraphicFramePr>
              <a:graphicFrameLocks noChangeAspect="1"/>
            </wp:cNvGraphicFramePr>
            <a:graphic>
              <a:graphicData uri="http://schemas.openxmlformats.org/drawingml/2006/picture">
                <pic:pic>
                  <pic:nvPicPr>
                    <pic:cNvPr id="0" name="reference_stack.png"/>
                    <pic:cNvPicPr/>
                  </pic:nvPicPr>
                  <pic:blipFill>
                    <a:blip r:embed="rId49"/>
                    <a:stretch>
                      <a:fillRect/>
                    </a:stretch>
                  </pic:blipFill>
                  <pic:spPr>
                    <a:xfrm>
                      <a:off x="0" y="0"/>
                      <a:ext cx="5989320" cy="6690889"/>
                    </a:xfrm>
                    <a:prstGeom prst="rect"/>
                  </pic:spPr>
                </pic:pic>
              </a:graphicData>
            </a:graphic>
          </wp:inline>
        </w:drawing>
      </w:r>
    </w:p>
    <w:p>
      <w:pPr>
        <w:pStyle w:val="Caption"/>
        <w:keepLines/>
        <w:jc w:val="center"/>
      </w:pPr>
      <w:r>
        <w:t>Figura 2. Stackul de referință pentru agent și devnet.</w:t>
      </w:r>
    </w:p>
    <w:p>
      <w:pPr>
        <w:pStyle w:val="Heading1"/>
        <w:keepNext/>
      </w:pPr>
      <w:r>
        <w:t>11.6 Devnet local cu un singur comandament</w:t>
      </w:r>
    </w:p>
    <w:tbl>
      <w:tblPr>
        <w:tblW w:type="auto" w:w="0"/>
        <w:jc w:val="center"/>
        <w:tblLayout w:type="fixed"/>
        <w:tblLook w:firstColumn="1" w:firstRow="1" w:lastColumn="0" w:lastRow="0" w:noHBand="0" w:noVBand="1" w:val="04A0"/>
      </w:tblPr>
      <w:tblGrid>
        <w:gridCol w:w="9994"/>
      </w:tblGrid>
      <w:tr>
        <w:tc>
          <w:tcPr>
            <w:tcW w:type="dxa" w:w="9288"/>
            <w:shd w:fill="F4F6F8"/>
            <w:tcMar>
              <w:top w:w="100" w:type="dxa"/>
              <w:start w:w="120" w:type="dxa"/>
              <w:bottom w:w="100" w:type="dxa"/>
              <w:end w:w="120" w:type="dxa"/>
            </w:tcMar>
            <w:tcBorders>
              <w:top w:val="single" w:sz="6" w:color="B8C2D0"/>
              <w:left w:val="single" w:sz="6" w:color="B8C2D0"/>
              <w:bottom w:val="single" w:sz="6" w:color="B8C2D0"/>
              <w:right w:val="single" w:sz="6" w:color="B8C2D0"/>
            </w:tcBorders>
          </w:tcPr>
          <w:p>
            <w:pPr>
              <w:spacing w:after="0"/>
            </w:pPr>
            <w:r>
              <w:rPr>
                <w:rFonts w:ascii="Noto Sans" w:hAnsi="Noto Sans"/>
                <w:b/>
                <w:color w:val="43526A"/>
                <w:sz w:val="16"/>
              </w:rPr>
              <w:t>Developer experience</w:t>
              <w:br/>
            </w:r>
            <w:r>
              <w:rPr>
                <w:rFonts w:ascii="DejaVu Sans Mono" w:hAnsi="DejaVu Sans Mono"/>
                <w:color w:val="26354B"/>
                <w:sz w:val="15"/>
              </w:rPr>
              <w:t>ael devnet up --validators 4 --agents 12 --solana-sim --evm-sim</w:t>
              <w:br/>
              <w:t># pornește chain, indexer, explorer, faucets, simulatoare și agenți demo</w:t>
              <w:br/>
              <w:br/>
              <w:t>ael scenario run earned-liquidity-basic</w:t>
              <w:br/>
              <w:t>ael scenario assert --invariant reserve-solvent</w:t>
            </w:r>
          </w:p>
        </w:tc>
      </w:tr>
    </w:tbl>
    <w:p>
      <w:pPr>
        <w:spacing w:after="0"/>
      </w:pP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2304"/>
            <w:shd w:fill="203453"/>
            <w:tcMar>
              <w:top w:w="90" w:type="dxa"/>
              <w:start w:w="100" w:type="dxa"/>
              <w:bottom w:w="90" w:type="dxa"/>
              <w:end w:w="100" w:type="dxa"/>
            </w:tcMar>
            <w:vAlign w:val="center"/>
            <w:tcBorders>
              <w:top w:val="single" w:sz="6" w:color="142034"/>
              <w:left w:val="single" w:sz="6" w:color="142034"/>
              <w:bottom w:val="single" w:sz="6" w:color="142034"/>
              <w:right w:val="single" w:sz="6" w:color="142034"/>
            </w:tcBorders>
          </w:tcPr>
          <w:p>
            <w:pPr>
              <w:jc w:val="center"/>
            </w:pPr>
            <w:r>
              <w:rPr>
                <w:rFonts w:ascii="Noto Sans" w:hAnsi="Noto Sans"/>
                <w:b/>
                <w:color w:val="FFFFFF"/>
                <w:sz w:val="16"/>
              </w:rPr>
              <w:t>Componentă</w:t>
            </w:r>
          </w:p>
        </w:tc>
        <w:tc>
          <w:tcPr>
            <w:tcW w:type="dxa" w:w="2232"/>
            <w:shd w:fill="203453"/>
            <w:tcMar>
              <w:top w:w="90" w:type="dxa"/>
              <w:start w:w="100" w:type="dxa"/>
              <w:bottom w:w="90" w:type="dxa"/>
              <w:end w:w="100" w:type="dxa"/>
            </w:tcMar>
            <w:vAlign w:val="center"/>
            <w:tcBorders>
              <w:top w:val="single" w:sz="6" w:color="142034"/>
              <w:left w:val="single" w:sz="6" w:color="142034"/>
              <w:bottom w:val="single" w:sz="6" w:color="142034"/>
              <w:right w:val="single" w:sz="6" w:color="142034"/>
            </w:tcBorders>
          </w:tcPr>
          <w:p>
            <w:pPr>
              <w:jc w:val="center"/>
            </w:pPr>
            <w:r>
              <w:rPr>
                <w:rFonts w:ascii="Noto Sans" w:hAnsi="Noto Sans"/>
                <w:b/>
                <w:color w:val="FFFFFF"/>
                <w:sz w:val="16"/>
              </w:rPr>
              <w:t>Port/serviciu</w:t>
            </w:r>
          </w:p>
        </w:tc>
        <w:tc>
          <w:tcPr>
            <w:tcW w:type="dxa" w:w="4968"/>
            <w:shd w:fill="203453"/>
            <w:tcMar>
              <w:top w:w="90" w:type="dxa"/>
              <w:start w:w="100" w:type="dxa"/>
              <w:bottom w:w="90" w:type="dxa"/>
              <w:end w:w="100" w:type="dxa"/>
            </w:tcMar>
            <w:vAlign w:val="center"/>
            <w:tcBorders>
              <w:top w:val="single" w:sz="6" w:color="142034"/>
              <w:left w:val="single" w:sz="6" w:color="142034"/>
              <w:bottom w:val="single" w:sz="6" w:color="142034"/>
              <w:right w:val="single" w:sz="6" w:color="142034"/>
            </w:tcBorders>
          </w:tcPr>
          <w:p>
            <w:pPr>
              <w:jc w:val="center"/>
            </w:pPr>
            <w:r>
              <w:rPr>
                <w:rFonts w:ascii="Noto Sans" w:hAnsi="Noto Sans"/>
                <w:b/>
                <w:color w:val="FFFFFF"/>
                <w:sz w:val="16"/>
              </w:rPr>
              <w:t>Health condition</w:t>
            </w:r>
          </w:p>
        </w:tc>
      </w:tr>
      <w:tr>
        <w:trPr>
          <w:cantSplit/>
        </w:trPr>
        <w:tc>
          <w:tcPr>
            <w:tcW w:type="dxa" w:w="2304"/>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Validator RPC</w:t>
            </w:r>
          </w:p>
        </w:tc>
        <w:tc>
          <w:tcPr>
            <w:tcW w:type="dxa" w:w="2232"/>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26657</w:t>
            </w:r>
          </w:p>
        </w:tc>
        <w:tc>
          <w:tcPr>
            <w:tcW w:type="dxa" w:w="4968"/>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Finalitate sub pragul configurat.</w:t>
            </w:r>
          </w:p>
        </w:tc>
      </w:tr>
      <w:tr>
        <w:trPr>
          <w:cantSplit/>
        </w:trPr>
        <w:tc>
          <w:tcPr>
            <w:tcW w:type="dxa" w:w="2304"/>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gRPC/REST</w:t>
            </w:r>
          </w:p>
        </w:tc>
        <w:tc>
          <w:tcPr>
            <w:tcW w:type="dxa" w:w="2232"/>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9090/1317</w:t>
            </w:r>
          </w:p>
        </w:tc>
        <w:tc>
          <w:tcPr>
            <w:tcW w:type="dxa" w:w="4968"/>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Query și broadcast.</w:t>
            </w:r>
          </w:p>
        </w:tc>
      </w:tr>
      <w:tr>
        <w:trPr>
          <w:cantSplit/>
        </w:trPr>
        <w:tc>
          <w:tcPr>
            <w:tcW w:type="dxa" w:w="2304"/>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Indexer</w:t>
            </w:r>
          </w:p>
        </w:tc>
        <w:tc>
          <w:tcPr>
            <w:tcW w:type="dxa" w:w="2232"/>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internal</w:t>
            </w:r>
          </w:p>
        </w:tc>
        <w:tc>
          <w:tcPr>
            <w:tcW w:type="dxa" w:w="4968"/>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No event lag peste limită.</w:t>
            </w:r>
          </w:p>
        </w:tc>
      </w:tr>
      <w:tr>
        <w:trPr>
          <w:cantSplit/>
        </w:trPr>
        <w:tc>
          <w:tcPr>
            <w:tcW w:type="dxa" w:w="2304"/>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Explorer</w:t>
            </w:r>
          </w:p>
        </w:tc>
        <w:tc>
          <w:tcPr>
            <w:tcW w:type="dxa" w:w="2232"/>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web</w:t>
            </w:r>
          </w:p>
        </w:tc>
        <w:tc>
          <w:tcPr>
            <w:tcW w:type="dxa" w:w="4968"/>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State height curent.</w:t>
            </w:r>
          </w:p>
        </w:tc>
      </w:tr>
      <w:tr>
        <w:trPr>
          <w:cantSplit/>
        </w:trPr>
        <w:tc>
          <w:tcPr>
            <w:tcW w:type="dxa" w:w="2304"/>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SAG demo</w:t>
            </w:r>
          </w:p>
        </w:tc>
        <w:tc>
          <w:tcPr>
            <w:tcW w:type="dxa" w:w="2232"/>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local socket</w:t>
            </w:r>
          </w:p>
        </w:tc>
        <w:tc>
          <w:tcPr>
            <w:tcW w:type="dxa" w:w="4968"/>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Policy loaded și keys sealed.</w:t>
            </w:r>
          </w:p>
        </w:tc>
      </w:tr>
      <w:tr>
        <w:trPr>
          <w:cantSplit/>
        </w:trPr>
        <w:tc>
          <w:tcPr>
            <w:tcW w:type="dxa" w:w="2304"/>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External simulators</w:t>
            </w:r>
          </w:p>
        </w:tc>
        <w:tc>
          <w:tcPr>
            <w:tcW w:type="dxa" w:w="2232"/>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isolated</w:t>
            </w:r>
          </w:p>
        </w:tc>
        <w:tc>
          <w:tcPr>
            <w:tcW w:type="dxa" w:w="4968"/>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Deterministic fixture height.</w:t>
            </w:r>
          </w:p>
        </w:tc>
      </w:tr>
    </w:tbl>
    <w:p>
      <w:pPr>
        <w:spacing w:after="0"/>
      </w:pPr>
    </w:p>
    <w:p>
      <w:pPr>
        <w:pStyle w:val="Heading1"/>
        <w:keepNext/>
      </w:pPr>
      <w:r>
        <w:t>11.7 Simulator economic PoEL</w:t>
      </w:r>
    </w:p>
    <w:p>
      <w:pPr/>
      <w:r>
        <w:t>Simulatorul generează cohorte de agenți, work orders, plăți, wash cycles, prețuri externe, outages și bank runs. El trebuie să demonstreze că virtual liquidity nu este confundată cu redeemable reserve și că neutral depth injection nu schimbă instantaneu prețul spot peste toleranță.</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3168"/>
            <w:shd w:fill="203453"/>
            <w:tcMar>
              <w:top w:w="90" w:type="dxa"/>
              <w:start w:w="100" w:type="dxa"/>
              <w:bottom w:w="90" w:type="dxa"/>
              <w:end w:w="100" w:type="dxa"/>
            </w:tcMar>
            <w:vAlign w:val="center"/>
            <w:tcBorders>
              <w:top w:val="single" w:sz="6" w:color="142034"/>
              <w:left w:val="single" w:sz="6" w:color="142034"/>
              <w:bottom w:val="single" w:sz="6" w:color="142034"/>
              <w:right w:val="single" w:sz="6" w:color="142034"/>
            </w:tcBorders>
          </w:tcPr>
          <w:p>
            <w:pPr>
              <w:jc w:val="center"/>
            </w:pPr>
            <w:r>
              <w:rPr>
                <w:rFonts w:ascii="Noto Sans" w:hAnsi="Noto Sans"/>
                <w:b/>
                <w:color w:val="FFFFFF"/>
                <w:sz w:val="16"/>
              </w:rPr>
              <w:t>Scenariu</w:t>
            </w:r>
          </w:p>
        </w:tc>
        <w:tc>
          <w:tcPr>
            <w:tcW w:type="dxa" w:w="3168"/>
            <w:shd w:fill="203453"/>
            <w:tcMar>
              <w:top w:w="90" w:type="dxa"/>
              <w:start w:w="100" w:type="dxa"/>
              <w:bottom w:w="90" w:type="dxa"/>
              <w:end w:w="100" w:type="dxa"/>
            </w:tcMar>
            <w:vAlign w:val="center"/>
            <w:tcBorders>
              <w:top w:val="single" w:sz="6" w:color="142034"/>
              <w:left w:val="single" w:sz="6" w:color="142034"/>
              <w:bottom w:val="single" w:sz="6" w:color="142034"/>
              <w:right w:val="single" w:sz="6" w:color="142034"/>
            </w:tcBorders>
          </w:tcPr>
          <w:p>
            <w:pPr>
              <w:jc w:val="center"/>
            </w:pPr>
            <w:r>
              <w:rPr>
                <w:rFonts w:ascii="Noto Sans" w:hAnsi="Noto Sans"/>
                <w:b/>
                <w:color w:val="FFFFFF"/>
                <w:sz w:val="16"/>
              </w:rPr>
              <w:t>Metrică</w:t>
            </w:r>
          </w:p>
        </w:tc>
        <w:tc>
          <w:tcPr>
            <w:tcW w:type="dxa" w:w="3168"/>
            <w:shd w:fill="203453"/>
            <w:tcMar>
              <w:top w:w="90" w:type="dxa"/>
              <w:start w:w="100" w:type="dxa"/>
              <w:bottom w:w="90" w:type="dxa"/>
              <w:end w:w="100" w:type="dxa"/>
            </w:tcMar>
            <w:vAlign w:val="center"/>
            <w:tcBorders>
              <w:top w:val="single" w:sz="6" w:color="142034"/>
              <w:left w:val="single" w:sz="6" w:color="142034"/>
              <w:bottom w:val="single" w:sz="6" w:color="142034"/>
              <w:right w:val="single" w:sz="6" w:color="142034"/>
            </w:tcBorders>
          </w:tcPr>
          <w:p>
            <w:pPr>
              <w:jc w:val="center"/>
            </w:pPr>
            <w:r>
              <w:rPr>
                <w:rFonts w:ascii="Noto Sans" w:hAnsi="Noto Sans"/>
                <w:b/>
                <w:color w:val="FFFFFF"/>
                <w:sz w:val="16"/>
              </w:rPr>
              <w:t>Prag inițial</w:t>
            </w:r>
          </w:p>
        </w:tc>
      </w:tr>
      <w:tr>
        <w:trPr>
          <w:cantSplit/>
        </w:trPr>
        <w:tc>
          <w:tcPr>
            <w:tcW w:type="dxa" w:w="3168"/>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1000 agenți, activitate normală</w:t>
            </w:r>
          </w:p>
        </w:tc>
        <w:tc>
          <w:tcPr>
            <w:tcW w:type="dxa" w:w="3168"/>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Invariant violations</w:t>
            </w:r>
          </w:p>
        </w:tc>
        <w:tc>
          <w:tcPr>
            <w:tcW w:type="dxa" w:w="3168"/>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0</w:t>
            </w:r>
          </w:p>
        </w:tc>
      </w:tr>
      <w:tr>
        <w:trPr>
          <w:cantSplit/>
        </w:trPr>
        <w:tc>
          <w:tcPr>
            <w:tcW w:type="dxa" w:w="3168"/>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Self-funding ring</w:t>
            </w:r>
          </w:p>
        </w:tc>
        <w:tc>
          <w:tcPr>
            <w:tcW w:type="dxa" w:w="3168"/>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False PoEL admissions</w:t>
            </w:r>
          </w:p>
        </w:tc>
        <w:tc>
          <w:tcPr>
            <w:tcW w:type="dxa" w:w="3168"/>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0</w:t>
            </w:r>
          </w:p>
        </w:tc>
      </w:tr>
      <w:tr>
        <w:trPr>
          <w:cantSplit/>
        </w:trPr>
        <w:tc>
          <w:tcPr>
            <w:tcW w:type="dxa" w:w="3168"/>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50% price shock extern</w:t>
            </w:r>
          </w:p>
        </w:tc>
        <w:tc>
          <w:tcPr>
            <w:tcW w:type="dxa" w:w="3168"/>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Reserve solvency</w:t>
            </w:r>
          </w:p>
        </w:tc>
        <w:tc>
          <w:tcPr>
            <w:tcW w:type="dxa" w:w="3168"/>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&gt;= liabilities recognized</w:t>
            </w:r>
          </w:p>
        </w:tc>
      </w:tr>
      <w:tr>
        <w:trPr>
          <w:cantSplit/>
        </w:trPr>
        <w:tc>
          <w:tcPr>
            <w:tcW w:type="dxa" w:w="3168"/>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Mass sell</w:t>
            </w:r>
          </w:p>
        </w:tc>
        <w:tc>
          <w:tcPr>
            <w:tcW w:type="dxa" w:w="3168"/>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Order execution</w:t>
            </w:r>
          </w:p>
        </w:tc>
        <w:tc>
          <w:tcPr>
            <w:tcW w:type="dxa" w:w="3168"/>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No negative reserve</w:t>
            </w:r>
          </w:p>
        </w:tc>
      </w:tr>
      <w:tr>
        <w:trPr>
          <w:cantSplit/>
        </w:trPr>
        <w:tc>
          <w:tcPr>
            <w:tcW w:type="dxa" w:w="3168"/>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Bridge route paused</w:t>
            </w:r>
          </w:p>
        </w:tc>
        <w:tc>
          <w:tcPr>
            <w:tcW w:type="dxa" w:w="3168"/>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State safety</w:t>
            </w:r>
          </w:p>
        </w:tc>
        <w:tc>
          <w:tcPr>
            <w:tcW w:type="dxa" w:w="3168"/>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No duplicate admission</w:t>
            </w:r>
          </w:p>
        </w:tc>
      </w:tr>
      <w:tr>
        <w:trPr>
          <w:cantSplit/>
        </w:trPr>
        <w:tc>
          <w:tcPr>
            <w:tcW w:type="dxa" w:w="3168"/>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Parent fee stress</w:t>
            </w:r>
          </w:p>
        </w:tc>
        <w:tc>
          <w:tcPr>
            <w:tcW w:type="dxa" w:w="3168"/>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Agent runway</w:t>
            </w:r>
          </w:p>
        </w:tc>
        <w:tc>
          <w:tcPr>
            <w:tcW w:type="dxa" w:w="3168"/>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Minimum policy respected</w:t>
            </w:r>
          </w:p>
        </w:tc>
      </w:tr>
    </w:tbl>
    <w:p>
      <w:pPr>
        <w:spacing w:after="0"/>
      </w:pPr>
    </w:p>
    <w:p>
      <w:pPr>
        <w:pStyle w:val="Heading1"/>
        <w:keepNext/>
      </w:pPr>
      <w:r>
        <w:t>11.8 Adaptoare interchain MVP</w:t>
      </w:r>
    </w:p>
    <w:p>
      <w:pPr/>
      <w:r>
        <w:t>Prima versiune nu transportă active reale. Adaptoarele consumă testnet transactions și fixtures semnate, emit ExternalValueProof și testează finality, replay protection și EVPG lineage. Activele reale se activează separat, per route, după audit.</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2160"/>
            <w:shd w:fill="203453"/>
            <w:tcMar>
              <w:top w:w="90" w:type="dxa"/>
              <w:start w:w="100" w:type="dxa"/>
              <w:bottom w:w="90" w:type="dxa"/>
              <w:end w:w="100" w:type="dxa"/>
            </w:tcMar>
            <w:vAlign w:val="center"/>
            <w:tcBorders>
              <w:top w:val="single" w:sz="6" w:color="142034"/>
              <w:left w:val="single" w:sz="6" w:color="142034"/>
              <w:bottom w:val="single" w:sz="6" w:color="142034"/>
              <w:right w:val="single" w:sz="6" w:color="142034"/>
            </w:tcBorders>
          </w:tcPr>
          <w:p>
            <w:pPr>
              <w:jc w:val="center"/>
            </w:pPr>
            <w:r>
              <w:rPr>
                <w:rFonts w:ascii="Noto Sans" w:hAnsi="Noto Sans"/>
                <w:b/>
                <w:color w:val="FFFFFF"/>
                <w:sz w:val="16"/>
              </w:rPr>
              <w:t>Adapter</w:t>
            </w:r>
          </w:p>
        </w:tc>
        <w:tc>
          <w:tcPr>
            <w:tcW w:type="dxa" w:w="3960"/>
            <w:shd w:fill="203453"/>
            <w:tcMar>
              <w:top w:w="90" w:type="dxa"/>
              <w:start w:w="100" w:type="dxa"/>
              <w:bottom w:w="90" w:type="dxa"/>
              <w:end w:w="100" w:type="dxa"/>
            </w:tcMar>
            <w:vAlign w:val="center"/>
            <w:tcBorders>
              <w:top w:val="single" w:sz="6" w:color="142034"/>
              <w:left w:val="single" w:sz="6" w:color="142034"/>
              <w:bottom w:val="single" w:sz="6" w:color="142034"/>
              <w:right w:val="single" w:sz="6" w:color="142034"/>
            </w:tcBorders>
          </w:tcPr>
          <w:p>
            <w:pPr>
              <w:jc w:val="center"/>
            </w:pPr>
            <w:r>
              <w:rPr>
                <w:rFonts w:ascii="Noto Sans" w:hAnsi="Noto Sans"/>
                <w:b/>
                <w:color w:val="FFFFFF"/>
                <w:sz w:val="16"/>
              </w:rPr>
              <w:t>Dovadă MVP</w:t>
            </w:r>
          </w:p>
        </w:tc>
        <w:tc>
          <w:tcPr>
            <w:tcW w:type="dxa" w:w="3384"/>
            <w:shd w:fill="203453"/>
            <w:tcMar>
              <w:top w:w="90" w:type="dxa"/>
              <w:start w:w="100" w:type="dxa"/>
              <w:bottom w:w="90" w:type="dxa"/>
              <w:end w:w="100" w:type="dxa"/>
            </w:tcMar>
            <w:vAlign w:val="center"/>
            <w:tcBorders>
              <w:top w:val="single" w:sz="6" w:color="142034"/>
              <w:left w:val="single" w:sz="6" w:color="142034"/>
              <w:bottom w:val="single" w:sz="6" w:color="142034"/>
              <w:right w:val="single" w:sz="6" w:color="142034"/>
            </w:tcBorders>
          </w:tcPr>
          <w:p>
            <w:pPr>
              <w:jc w:val="center"/>
            </w:pPr>
            <w:r>
              <w:rPr>
                <w:rFonts w:ascii="Noto Sans" w:hAnsi="Noto Sans"/>
                <w:b/>
                <w:color w:val="FFFFFF"/>
                <w:sz w:val="16"/>
              </w:rPr>
              <w:t>Criteriu</w:t>
            </w:r>
          </w:p>
        </w:tc>
      </w:tr>
      <w:tr>
        <w:trPr>
          <w:cantSplit/>
        </w:trPr>
        <w:tc>
          <w:tcPr>
            <w:tcW w:type="dxa" w:w="2160"/>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Solana</w:t>
            </w:r>
          </w:p>
        </w:tc>
        <w:tc>
          <w:tcPr>
            <w:tcW w:type="dxa" w:w="3960"/>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Signature + finalized slot + program fixture.</w:t>
            </w:r>
          </w:p>
        </w:tc>
        <w:tc>
          <w:tcPr>
            <w:tcW w:type="dxa" w:w="3384"/>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Canonical transaction parsed once.</w:t>
            </w:r>
          </w:p>
        </w:tc>
      </w:tr>
      <w:tr>
        <w:trPr>
          <w:cantSplit/>
        </w:trPr>
        <w:tc>
          <w:tcPr>
            <w:tcW w:type="dxa" w:w="2160"/>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EVM</w:t>
            </w:r>
          </w:p>
        </w:tc>
        <w:tc>
          <w:tcPr>
            <w:tcW w:type="dxa" w:w="3960"/>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Receipt + block confirmations + contract event.</w:t>
            </w:r>
          </w:p>
        </w:tc>
        <w:tc>
          <w:tcPr>
            <w:tcW w:type="dxa" w:w="3384"/>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Chain ID și log index unique.</w:t>
            </w:r>
          </w:p>
        </w:tc>
      </w:tr>
      <w:tr>
        <w:trPr>
          <w:cantSplit/>
        </w:trPr>
        <w:tc>
          <w:tcPr>
            <w:tcW w:type="dxa" w:w="2160"/>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LP receipt</w:t>
            </w:r>
          </w:p>
        </w:tc>
        <w:tc>
          <w:tcPr>
            <w:tcW w:type="dxa" w:w="3960"/>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Synthetic locked-position NFT.</w:t>
            </w:r>
          </w:p>
        </w:tc>
        <w:tc>
          <w:tcPr>
            <w:tcW w:type="dxa" w:w="3384"/>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Cannot be admitted twice.</w:t>
            </w:r>
          </w:p>
        </w:tc>
      </w:tr>
      <w:tr>
        <w:trPr>
          <w:cantSplit/>
        </w:trPr>
        <w:tc>
          <w:tcPr>
            <w:tcW w:type="dxa" w:w="2160"/>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Stablecoin transfer</w:t>
            </w:r>
          </w:p>
        </w:tc>
        <w:tc>
          <w:tcPr>
            <w:tcW w:type="dxa" w:w="3960"/>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Test token transfer.</w:t>
            </w:r>
          </w:p>
        </w:tc>
        <w:tc>
          <w:tcPr>
            <w:tcW w:type="dxa" w:w="3384"/>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Receiver and purpose binding.</w:t>
            </w:r>
          </w:p>
        </w:tc>
      </w:tr>
    </w:tbl>
    <w:p>
      <w:pPr>
        <w:spacing w:after="0"/>
      </w:pPr>
    </w:p>
    <w:p>
      <w:pPr>
        <w:pStyle w:val="Heading1"/>
        <w:keepNext/>
      </w:pPr>
      <w:r>
        <w:t>11.9 Runtime emulator și Life Mesh</w:t>
      </w:r>
    </w:p>
    <w:p>
      <w:pPr/>
      <w:r>
        <w:t>Un provider local înregistrează hardware profile, bond și lease offer. Handover-ul MVP folosește chei ephemeral, encrypted checkpoint și simulated attestation. Un test taie brutal providerul activ și verifică pornirea unei replici fără acces la root key.</w:t>
      </w:r>
    </w:p>
    <w:p>
      <w:pPr>
        <w:pStyle w:val="Heading1"/>
        <w:keepNext/>
      </w:pPr>
      <w:r>
        <w:t>11.10 Marketplace end-to-end</w:t>
      </w:r>
    </w:p>
    <w:p>
      <w:pPr>
        <w:pStyle w:val="ListNumber"/>
        <w:keepLines/>
      </w:pPr>
      <w:r>
        <w:t>Clientul publică WorkOrder cu scope, authorization și escrow.</w:t>
      </w:r>
    </w:p>
    <w:p>
      <w:pPr>
        <w:pStyle w:val="ListNumber"/>
        <w:keepLines/>
      </w:pPr>
      <w:r>
        <w:t>Agentul acceptă prin SAG.</w:t>
      </w:r>
    </w:p>
    <w:p>
      <w:pPr>
        <w:pStyle w:val="ListNumber"/>
        <w:keepLines/>
      </w:pPr>
      <w:r>
        <w:t>Runtimeul produce ExecutionReceipt și deliverable hash.</w:t>
      </w:r>
    </w:p>
    <w:p>
      <w:pPr>
        <w:pStyle w:val="ListNumber"/>
        <w:keepLines/>
      </w:pPr>
      <w:r>
        <w:t>Verifierul rulează testele deterministe.</w:t>
      </w:r>
    </w:p>
    <w:p>
      <w:pPr>
        <w:pStyle w:val="ListNumber"/>
        <w:keepLines/>
      </w:pPr>
      <w:r>
        <w:t>Escrowul plătește agentul.</w:t>
      </w:r>
    </w:p>
    <w:p>
      <w:pPr>
        <w:pStyle w:val="ListNumber"/>
        <w:keepLines/>
      </w:pPr>
      <w:r>
        <w:t>O fracție configurată intră în Earned Liquidity Admission Pipeline.</w:t>
      </w:r>
    </w:p>
    <w:p>
      <w:pPr>
        <w:pStyle w:val="ListNumber"/>
        <w:keepLines/>
      </w:pPr>
      <w:r>
        <w:t>Explorerul afișează provenance, reserve quality și token depth.</w:t>
      </w:r>
    </w:p>
    <w:p>
      <w:pPr>
        <w:pStyle w:val="Heading1"/>
        <w:keepNext/>
      </w:pPr>
      <w:r>
        <w:t>11.11 API minimal</w:t>
      </w:r>
    </w:p>
    <w:tbl>
      <w:tblPr>
        <w:tblW w:type="auto" w:w="0"/>
        <w:jc w:val="center"/>
        <w:tblLayout w:type="fixed"/>
        <w:tblLook w:firstColumn="1" w:firstRow="1" w:lastColumn="0" w:lastRow="0" w:noHBand="0" w:noVBand="1" w:val="04A0"/>
      </w:tblPr>
      <w:tblGrid>
        <w:gridCol w:w="9994"/>
      </w:tblGrid>
      <w:tr>
        <w:tc>
          <w:tcPr>
            <w:tcW w:type="dxa" w:w="9288"/>
            <w:shd w:fill="F4F6F8"/>
            <w:tcMar>
              <w:top w:w="100" w:type="dxa"/>
              <w:start w:w="120" w:type="dxa"/>
              <w:bottom w:w="100" w:type="dxa"/>
              <w:end w:w="120" w:type="dxa"/>
            </w:tcMar>
            <w:tcBorders>
              <w:top w:val="single" w:sz="6" w:color="B8C2D0"/>
              <w:left w:val="single" w:sz="6" w:color="B8C2D0"/>
              <w:bottom w:val="single" w:sz="6" w:color="B8C2D0"/>
              <w:right w:val="single" w:sz="6" w:color="B8C2D0"/>
            </w:tcBorders>
          </w:tcPr>
          <w:p>
            <w:pPr>
              <w:spacing w:after="0"/>
            </w:pPr>
            <w:r>
              <w:rPr>
                <w:rFonts w:ascii="Noto Sans" w:hAnsi="Noto Sans"/>
                <w:b/>
                <w:color w:val="43526A"/>
                <w:sz w:val="16"/>
              </w:rPr>
              <w:t>Public gateway API</w:t>
              <w:br/>
            </w:r>
            <w:r>
              <w:rPr>
                <w:rFonts w:ascii="DejaVu Sans Mono" w:hAnsi="DejaVu Sans Mono"/>
                <w:color w:val="26354B"/>
                <w:sz w:val="15"/>
              </w:rPr>
              <w:t>POST /v1/agents</w:t>
              <w:br/>
              <w:t>POST /v1/work-orders</w:t>
              <w:br/>
              <w:t>POST /v1/work-orders/{id}/accept</w:t>
              <w:br/>
              <w:t>POST /v1/receipts</w:t>
              <w:br/>
              <w:t>POST /v1/earned/admissions</w:t>
              <w:br/>
              <w:t>POST /v1/runtime/offers</w:t>
              <w:br/>
              <w:t>POST /v1/runtime/leases</w:t>
              <w:br/>
              <w:t>GET  /v1/agents/{id}</w:t>
              <w:br/>
              <w:t>GET  /v1/agents/{id}/reserve</w:t>
              <w:br/>
              <w:t>GET  /v1/provenance/{assetId}</w:t>
              <w:br/>
              <w:t>WS   /v1/events</w:t>
            </w:r>
          </w:p>
        </w:tc>
      </w:tr>
    </w:tbl>
    <w:p>
      <w:pPr>
        <w:spacing w:after="0"/>
      </w:pPr>
    </w:p>
    <w:p>
      <w:pPr>
        <w:pStyle w:val="Heading1"/>
        <w:keepNext/>
      </w:pPr>
      <w:r>
        <w:t>11.12 Evenimente obligatorii</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880"/>
            <w:shd w:fill="203453"/>
            <w:tcMar>
              <w:top w:w="90" w:type="dxa"/>
              <w:start w:w="100" w:type="dxa"/>
              <w:bottom w:w="90" w:type="dxa"/>
              <w:end w:w="100" w:type="dxa"/>
            </w:tcMar>
            <w:vAlign w:val="center"/>
            <w:tcBorders>
              <w:top w:val="single" w:sz="6" w:color="142034"/>
              <w:left w:val="single" w:sz="6" w:color="142034"/>
              <w:bottom w:val="single" w:sz="6" w:color="142034"/>
              <w:right w:val="single" w:sz="6" w:color="142034"/>
            </w:tcBorders>
          </w:tcPr>
          <w:p>
            <w:pPr>
              <w:jc w:val="center"/>
            </w:pPr>
            <w:r>
              <w:rPr>
                <w:rFonts w:ascii="Noto Sans" w:hAnsi="Noto Sans"/>
                <w:b/>
                <w:color w:val="FFFFFF"/>
                <w:sz w:val="16"/>
              </w:rPr>
              <w:t>Eveniment</w:t>
            </w:r>
          </w:p>
        </w:tc>
        <w:tc>
          <w:tcPr>
            <w:tcW w:type="dxa" w:w="6624"/>
            <w:shd w:fill="203453"/>
            <w:tcMar>
              <w:top w:w="90" w:type="dxa"/>
              <w:start w:w="100" w:type="dxa"/>
              <w:bottom w:w="90" w:type="dxa"/>
              <w:end w:w="100" w:type="dxa"/>
            </w:tcMar>
            <w:vAlign w:val="center"/>
            <w:tcBorders>
              <w:top w:val="single" w:sz="6" w:color="142034"/>
              <w:left w:val="single" w:sz="6" w:color="142034"/>
              <w:bottom w:val="single" w:sz="6" w:color="142034"/>
              <w:right w:val="single" w:sz="6" w:color="142034"/>
            </w:tcBorders>
          </w:tcPr>
          <w:p>
            <w:pPr>
              <w:jc w:val="center"/>
            </w:pPr>
            <w:r>
              <w:rPr>
                <w:rFonts w:ascii="Noto Sans" w:hAnsi="Noto Sans"/>
                <w:b/>
                <w:color w:val="FFFFFF"/>
                <w:sz w:val="16"/>
              </w:rPr>
              <w:t>Câmpuri cheie</w:t>
            </w:r>
          </w:p>
        </w:tc>
      </w:tr>
      <w:tr>
        <w:trPr>
          <w:cantSplit/>
        </w:trPr>
        <w:tc>
          <w:tcPr>
            <w:tcW w:type="dxa" w:w="2880"/>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agent.created</w:t>
            </w:r>
          </w:p>
        </w:tc>
        <w:tc>
          <w:tcPr>
            <w:tcW w:type="dxa" w:w="6624"/>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agent_id, root_key, constitution_root</w:t>
            </w:r>
          </w:p>
        </w:tc>
      </w:tr>
      <w:tr>
        <w:trPr>
          <w:cantSplit/>
        </w:trPr>
        <w:tc>
          <w:tcPr>
            <w:tcW w:type="dxa" w:w="2880"/>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work.accepted</w:t>
            </w:r>
          </w:p>
        </w:tc>
        <w:tc>
          <w:tcPr>
            <w:tcW w:type="dxa" w:w="6624"/>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order_id, agent_id, scope_hash</w:t>
            </w:r>
          </w:p>
        </w:tc>
      </w:tr>
      <w:tr>
        <w:trPr>
          <w:cantSplit/>
        </w:trPr>
        <w:tc>
          <w:tcPr>
            <w:tcW w:type="dxa" w:w="2880"/>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receipt.finalized</w:t>
            </w:r>
          </w:p>
        </w:tc>
        <w:tc>
          <w:tcPr>
            <w:tcW w:type="dxa" w:w="6624"/>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receipt_id, verifier_set, payment_ref</w:t>
            </w:r>
          </w:p>
        </w:tc>
      </w:tr>
      <w:tr>
        <w:trPr>
          <w:cantSplit/>
        </w:trPr>
        <w:tc>
          <w:tcPr>
            <w:tcW w:type="dxa" w:w="2880"/>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earned.admitted</w:t>
            </w:r>
          </w:p>
        </w:tc>
        <w:tc>
          <w:tcPr>
            <w:tcW w:type="dxa" w:w="6624"/>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admission_id, asset, recognized_value, lineage_root</w:t>
            </w:r>
          </w:p>
        </w:tc>
      </w:tr>
      <w:tr>
        <w:trPr>
          <w:cantSplit/>
        </w:trPr>
        <w:tc>
          <w:tcPr>
            <w:tcW w:type="dxa" w:w="2880"/>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curve.depth_changed</w:t>
            </w:r>
          </w:p>
        </w:tc>
        <w:tc>
          <w:tcPr>
            <w:tcW w:type="dxa" w:w="6624"/>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token_id, delta_x, delta_y, price_before, price_after</w:t>
            </w:r>
          </w:p>
        </w:tc>
      </w:tr>
      <w:tr>
        <w:trPr>
          <w:cantSplit/>
        </w:trPr>
        <w:tc>
          <w:tcPr>
            <w:tcW w:type="dxa" w:w="2880"/>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runtime.migrated</w:t>
            </w:r>
          </w:p>
        </w:tc>
        <w:tc>
          <w:tcPr>
            <w:tcW w:type="dxa" w:w="6624"/>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agent_id, from, to, checkpoint_root</w:t>
            </w:r>
          </w:p>
        </w:tc>
      </w:tr>
      <w:tr>
        <w:trPr>
          <w:cantSplit/>
        </w:trPr>
        <w:tc>
          <w:tcPr>
            <w:tcW w:type="dxa" w:w="2880"/>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covenant.changed</w:t>
            </w:r>
          </w:p>
        </w:tc>
        <w:tc>
          <w:tcPr>
            <w:tcW w:type="dxa" w:w="6624"/>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covenant_id, old_version, new_version</w:t>
            </w:r>
          </w:p>
        </w:tc>
      </w:tr>
      <w:tr>
        <w:trPr>
          <w:cantSplit/>
        </w:trPr>
        <w:tc>
          <w:tcPr>
            <w:tcW w:type="dxa" w:w="2880"/>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circuit.paused</w:t>
            </w:r>
          </w:p>
        </w:tc>
        <w:tc>
          <w:tcPr>
            <w:tcW w:type="dxa" w:w="6624"/>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scope, reason, expiry</w:t>
            </w:r>
          </w:p>
        </w:tc>
      </w:tr>
    </w:tbl>
    <w:p>
      <w:pPr>
        <w:spacing w:after="0"/>
      </w:pPr>
    </w:p>
    <w:p>
      <w:pPr>
        <w:pStyle w:val="Heading1"/>
        <w:keepNext/>
      </w:pPr>
      <w:r>
        <w:t>11.13 Testare și release engineering</w:t>
      </w:r>
    </w:p>
    <w:p>
      <w:pPr>
        <w:keepNext/>
        <w:jc w:val="center"/>
      </w:pPr>
      <w:r>
        <w:drawing>
          <wp:inline xmlns:a="http://schemas.openxmlformats.org/drawingml/2006/main" xmlns:pic="http://schemas.openxmlformats.org/drawingml/2006/picture">
            <wp:extent cx="5989320" cy="350278"/>
            <wp:docPr id="3" name="Picture 3"/>
            <wp:cNvGraphicFramePr>
              <a:graphicFrameLocks noChangeAspect="1"/>
            </wp:cNvGraphicFramePr>
            <a:graphic>
              <a:graphicData uri="http://schemas.openxmlformats.org/drawingml/2006/picture">
                <pic:pic>
                  <pic:nvPicPr>
                    <pic:cNvPr id="0" name="ci_pipeline.png"/>
                    <pic:cNvPicPr/>
                  </pic:nvPicPr>
                  <pic:blipFill>
                    <a:blip r:embed="rId50"/>
                    <a:stretch>
                      <a:fillRect/>
                    </a:stretch>
                  </pic:blipFill>
                  <pic:spPr>
                    <a:xfrm>
                      <a:off x="0" y="0"/>
                      <a:ext cx="5989320" cy="350278"/>
                    </a:xfrm>
                    <a:prstGeom prst="rect"/>
                  </pic:spPr>
                </pic:pic>
              </a:graphicData>
            </a:graphic>
          </wp:inline>
        </w:drawing>
      </w:r>
    </w:p>
    <w:p>
      <w:pPr>
        <w:pStyle w:val="Caption"/>
        <w:keepLines/>
        <w:jc w:val="center"/>
      </w:pPr>
      <w:r>
        <w:t>Figura 3. Pipeline CI pentru release-uri reproducibile.</w:t>
      </w:r>
    </w:p>
    <w:p>
      <w:pPr>
        <w:pStyle w:val="ListBullet"/>
        <w:keepLines/>
      </w:pPr>
      <w:r>
        <w:t>Unit tests pentru fiecare keeper și message handler.</w:t>
      </w:r>
    </w:p>
    <w:p>
      <w:pPr>
        <w:pStyle w:val="ListBullet"/>
        <w:keepLines/>
      </w:pPr>
      <w:r>
        <w:t>Property tests pentru rezerve, lineage și state machines.</w:t>
      </w:r>
    </w:p>
    <w:p>
      <w:pPr>
        <w:pStyle w:val="ListBullet"/>
        <w:keepLines/>
      </w:pPr>
      <w:r>
        <w:t>Golden test vectors cross-language pentru SDK-uri.</w:t>
      </w:r>
    </w:p>
    <w:p>
      <w:pPr>
        <w:pStyle w:val="ListBullet"/>
        <w:keepLines/>
      </w:pPr>
      <w:r>
        <w:t>Fuzzing pe decodare, proof admission și covenant transitions.</w:t>
      </w:r>
    </w:p>
    <w:p>
      <w:pPr>
        <w:pStyle w:val="ListBullet"/>
        <w:keepLines/>
      </w:pPr>
      <w:r>
        <w:t>Multi-node chaos tests: partitions, restart, clock skew și disk corruption.</w:t>
      </w:r>
    </w:p>
    <w:p>
      <w:pPr>
        <w:pStyle w:val="ListBullet"/>
        <w:keepLines/>
      </w:pPr>
      <w:r>
        <w:t>Reproducible builds, signed images, SBOM și dependency pinning.</w:t>
      </w:r>
    </w:p>
    <w:p>
      <w:pPr>
        <w:pStyle w:val="ListBullet"/>
        <w:keepLines/>
      </w:pPr>
      <w:r>
        <w:t>Upgrade rehearsal pe copie de state înainte de fiecare release.</w:t>
      </w:r>
    </w:p>
    <w:p>
      <w:pPr>
        <w:pStyle w:val="Heading1"/>
        <w:keepNext/>
      </w:pPr>
      <w:r>
        <w:t>11.14 Observabilitate</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232"/>
            <w:shd w:fill="203453"/>
            <w:tcMar>
              <w:top w:w="90" w:type="dxa"/>
              <w:start w:w="100" w:type="dxa"/>
              <w:bottom w:w="90" w:type="dxa"/>
              <w:end w:w="100" w:type="dxa"/>
            </w:tcMar>
            <w:vAlign w:val="center"/>
            <w:tcBorders>
              <w:top w:val="single" w:sz="6" w:color="142034"/>
              <w:left w:val="single" w:sz="6" w:color="142034"/>
              <w:bottom w:val="single" w:sz="6" w:color="142034"/>
              <w:right w:val="single" w:sz="6" w:color="142034"/>
            </w:tcBorders>
          </w:tcPr>
          <w:p>
            <w:pPr>
              <w:jc w:val="center"/>
            </w:pPr>
            <w:r>
              <w:rPr>
                <w:rFonts w:ascii="Noto Sans" w:hAnsi="Noto Sans"/>
                <w:b/>
                <w:color w:val="FFFFFF"/>
                <w:sz w:val="16"/>
              </w:rPr>
              <w:t>Categorie</w:t>
            </w:r>
          </w:p>
        </w:tc>
        <w:tc>
          <w:tcPr>
            <w:tcW w:type="dxa" w:w="7272"/>
            <w:shd w:fill="203453"/>
            <w:tcMar>
              <w:top w:w="90" w:type="dxa"/>
              <w:start w:w="100" w:type="dxa"/>
              <w:bottom w:w="90" w:type="dxa"/>
              <w:end w:w="100" w:type="dxa"/>
            </w:tcMar>
            <w:vAlign w:val="center"/>
            <w:tcBorders>
              <w:top w:val="single" w:sz="6" w:color="142034"/>
              <w:left w:val="single" w:sz="6" w:color="142034"/>
              <w:bottom w:val="single" w:sz="6" w:color="142034"/>
              <w:right w:val="single" w:sz="6" w:color="142034"/>
            </w:tcBorders>
          </w:tcPr>
          <w:p>
            <w:pPr>
              <w:jc w:val="center"/>
            </w:pPr>
            <w:r>
              <w:rPr>
                <w:rFonts w:ascii="Noto Sans" w:hAnsi="Noto Sans"/>
                <w:b/>
                <w:color w:val="FFFFFF"/>
                <w:sz w:val="16"/>
              </w:rPr>
              <w:t>Metrici</w:t>
            </w:r>
          </w:p>
        </w:tc>
      </w:tr>
      <w:tr>
        <w:trPr>
          <w:cantSplit/>
        </w:trPr>
        <w:tc>
          <w:tcPr>
            <w:tcW w:type="dxa" w:w="2232"/>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Consensus</w:t>
            </w:r>
          </w:p>
        </w:tc>
        <w:tc>
          <w:tcPr>
            <w:tcW w:type="dxa" w:w="7272"/>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height lag, missed blocks, finality time, validator power.</w:t>
            </w:r>
          </w:p>
        </w:tc>
      </w:tr>
      <w:tr>
        <w:trPr>
          <w:cantSplit/>
        </w:trPr>
        <w:tc>
          <w:tcPr>
            <w:tcW w:type="dxa" w:w="2232"/>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Economic</w:t>
            </w:r>
          </w:p>
        </w:tc>
        <w:tc>
          <w:tcPr>
            <w:tcW w:type="dxa" w:w="7272"/>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real reserve, recognized reserve, liabilities, haircut concentration.</w:t>
            </w:r>
          </w:p>
        </w:tc>
      </w:tr>
      <w:tr>
        <w:trPr>
          <w:cantSplit/>
        </w:trPr>
        <w:tc>
          <w:tcPr>
            <w:tcW w:type="dxa" w:w="2232"/>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Work</w:t>
            </w:r>
          </w:p>
        </w:tc>
        <w:tc>
          <w:tcPr>
            <w:tcW w:type="dxa" w:w="7272"/>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orders, completion, disputes, verifier disagreement.</w:t>
            </w:r>
          </w:p>
        </w:tc>
      </w:tr>
      <w:tr>
        <w:trPr>
          <w:cantSplit/>
        </w:trPr>
        <w:tc>
          <w:tcPr>
            <w:tcW w:type="dxa" w:w="2232"/>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Runtime</w:t>
            </w:r>
          </w:p>
        </w:tc>
        <w:tc>
          <w:tcPr>
            <w:tcW w:type="dxa" w:w="7272"/>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heartbeats, migrations, checkpoint age, provider correlation.</w:t>
            </w:r>
          </w:p>
        </w:tc>
      </w:tr>
      <w:tr>
        <w:trPr>
          <w:cantSplit/>
        </w:trPr>
        <w:tc>
          <w:tcPr>
            <w:tcW w:type="dxa" w:w="2232"/>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Interchain</w:t>
            </w:r>
          </w:p>
        </w:tc>
        <w:tc>
          <w:tcPr>
            <w:tcW w:type="dxa" w:w="7272"/>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route lag, proof failures, finality delays, replay rejects.</w:t>
            </w:r>
          </w:p>
        </w:tc>
      </w:tr>
      <w:tr>
        <w:trPr>
          <w:cantSplit/>
        </w:trPr>
        <w:tc>
          <w:tcPr>
            <w:tcW w:type="dxa" w:w="2232"/>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Agent safety</w:t>
            </w:r>
          </w:p>
        </w:tc>
        <w:tc>
          <w:tcPr>
            <w:tcW w:type="dxa" w:w="7272"/>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policy denies, key rotations, spend anomalies.</w:t>
            </w:r>
          </w:p>
        </w:tc>
      </w:tr>
    </w:tbl>
    <w:p>
      <w:pPr>
        <w:spacing w:after="0"/>
      </w:pPr>
    </w:p>
    <w:p>
      <w:pPr>
        <w:pStyle w:val="Heading1"/>
        <w:keepNext/>
      </w:pPr>
      <w:r>
        <w:t>11.15 Faze P0-P5</w:t>
      </w:r>
    </w:p>
    <w:p>
      <w:pPr>
        <w:keepNext/>
        <w:jc w:val="center"/>
      </w:pPr>
      <w:r>
        <w:drawing>
          <wp:inline xmlns:a="http://schemas.openxmlformats.org/drawingml/2006/main" xmlns:pic="http://schemas.openxmlformats.org/drawingml/2006/picture">
            <wp:extent cx="5989320" cy="469145"/>
            <wp:docPr id="4" name="Picture 4"/>
            <wp:cNvGraphicFramePr>
              <a:graphicFrameLocks noChangeAspect="1"/>
            </wp:cNvGraphicFramePr>
            <a:graphic>
              <a:graphicData uri="http://schemas.openxmlformats.org/drawingml/2006/picture">
                <pic:pic>
                  <pic:nvPicPr>
                    <pic:cNvPr id="0" name="phases.png"/>
                    <pic:cNvPicPr/>
                  </pic:nvPicPr>
                  <pic:blipFill>
                    <a:blip r:embed="rId51"/>
                    <a:stretch>
                      <a:fillRect/>
                    </a:stretch>
                  </pic:blipFill>
                  <pic:spPr>
                    <a:xfrm>
                      <a:off x="0" y="0"/>
                      <a:ext cx="5989320" cy="469145"/>
                    </a:xfrm>
                    <a:prstGeom prst="rect"/>
                  </pic:spPr>
                </pic:pic>
              </a:graphicData>
            </a:graphic>
          </wp:inline>
        </w:drawing>
      </w:r>
    </w:p>
    <w:p>
      <w:pPr>
        <w:pStyle w:val="Caption"/>
        <w:keepLines/>
        <w:jc w:val="center"/>
      </w:pPr>
      <w:r>
        <w:t>Figura 4. Lansarea progresivă de la specificație executabilă la mainnet.</w:t>
      </w:r>
    </w:p>
    <w:tbl>
      <w:tblPr>
        <w:tblW w:type="auto" w:w="0"/>
        <w:jc w:val="center"/>
        <w:tblLayout w:type="fixed"/>
        <w:tblLook w:firstColumn="1" w:firstRow="1" w:lastColumn="0" w:lastRow="0" w:noHBand="0" w:noVBand="1" w:val="04A0"/>
      </w:tblPr>
      <w:tblGrid>
        <w:gridCol w:w="2498"/>
        <w:gridCol w:w="2498"/>
        <w:gridCol w:w="2498"/>
        <w:gridCol w:w="2498"/>
      </w:tblGrid>
      <w:tr>
        <w:trPr>
          <w:tblHeader w:val="true"/>
        </w:trPr>
        <w:tc>
          <w:tcPr>
            <w:tcW w:type="dxa" w:w="864"/>
            <w:shd w:fill="203453"/>
            <w:tcMar>
              <w:top w:w="90" w:type="dxa"/>
              <w:start w:w="100" w:type="dxa"/>
              <w:bottom w:w="90" w:type="dxa"/>
              <w:end w:w="100" w:type="dxa"/>
            </w:tcMar>
            <w:vAlign w:val="center"/>
            <w:tcBorders>
              <w:top w:val="single" w:sz="6" w:color="142034"/>
              <w:left w:val="single" w:sz="6" w:color="142034"/>
              <w:bottom w:val="single" w:sz="6" w:color="142034"/>
              <w:right w:val="single" w:sz="6" w:color="142034"/>
            </w:tcBorders>
          </w:tcPr>
          <w:p>
            <w:pPr>
              <w:jc w:val="center"/>
            </w:pPr>
            <w:r>
              <w:rPr>
                <w:rFonts w:ascii="Noto Sans" w:hAnsi="Noto Sans"/>
                <w:b/>
                <w:color w:val="FFFFFF"/>
                <w:sz w:val="14"/>
              </w:rPr>
              <w:t>Fază</w:t>
            </w:r>
          </w:p>
        </w:tc>
        <w:tc>
          <w:tcPr>
            <w:tcW w:type="dxa" w:w="3528"/>
            <w:shd w:fill="203453"/>
            <w:tcMar>
              <w:top w:w="90" w:type="dxa"/>
              <w:start w:w="100" w:type="dxa"/>
              <w:bottom w:w="90" w:type="dxa"/>
              <w:end w:w="100" w:type="dxa"/>
            </w:tcMar>
            <w:vAlign w:val="center"/>
            <w:tcBorders>
              <w:top w:val="single" w:sz="6" w:color="142034"/>
              <w:left w:val="single" w:sz="6" w:color="142034"/>
              <w:bottom w:val="single" w:sz="6" w:color="142034"/>
              <w:right w:val="single" w:sz="6" w:color="142034"/>
            </w:tcBorders>
          </w:tcPr>
          <w:p>
            <w:pPr>
              <w:jc w:val="center"/>
            </w:pPr>
            <w:r>
              <w:rPr>
                <w:rFonts w:ascii="Noto Sans" w:hAnsi="Noto Sans"/>
                <w:b/>
                <w:color w:val="FFFFFF"/>
                <w:sz w:val="14"/>
              </w:rPr>
              <w:t>Livrabil</w:t>
            </w:r>
          </w:p>
        </w:tc>
        <w:tc>
          <w:tcPr>
            <w:tcW w:type="dxa" w:w="1800"/>
            <w:shd w:fill="203453"/>
            <w:tcMar>
              <w:top w:w="90" w:type="dxa"/>
              <w:start w:w="100" w:type="dxa"/>
              <w:bottom w:w="90" w:type="dxa"/>
              <w:end w:w="100" w:type="dxa"/>
            </w:tcMar>
            <w:vAlign w:val="center"/>
            <w:tcBorders>
              <w:top w:val="single" w:sz="6" w:color="142034"/>
              <w:left w:val="single" w:sz="6" w:color="142034"/>
              <w:bottom w:val="single" w:sz="6" w:color="142034"/>
              <w:right w:val="single" w:sz="6" w:color="142034"/>
            </w:tcBorders>
          </w:tcPr>
          <w:p>
            <w:pPr>
              <w:jc w:val="center"/>
            </w:pPr>
            <w:r>
              <w:rPr>
                <w:rFonts w:ascii="Noto Sans" w:hAnsi="Noto Sans"/>
                <w:b/>
                <w:color w:val="FFFFFF"/>
                <w:sz w:val="14"/>
              </w:rPr>
              <w:t>Active reale</w:t>
            </w:r>
          </w:p>
        </w:tc>
        <w:tc>
          <w:tcPr>
            <w:tcW w:type="dxa" w:w="3312"/>
            <w:shd w:fill="203453"/>
            <w:tcMar>
              <w:top w:w="90" w:type="dxa"/>
              <w:start w:w="100" w:type="dxa"/>
              <w:bottom w:w="90" w:type="dxa"/>
              <w:end w:w="100" w:type="dxa"/>
            </w:tcMar>
            <w:vAlign w:val="center"/>
            <w:tcBorders>
              <w:top w:val="single" w:sz="6" w:color="142034"/>
              <w:left w:val="single" w:sz="6" w:color="142034"/>
              <w:bottom w:val="single" w:sz="6" w:color="142034"/>
              <w:right w:val="single" w:sz="6" w:color="142034"/>
            </w:tcBorders>
          </w:tcPr>
          <w:p>
            <w:pPr>
              <w:jc w:val="center"/>
            </w:pPr>
            <w:r>
              <w:rPr>
                <w:rFonts w:ascii="Noto Sans" w:hAnsi="Noto Sans"/>
                <w:b/>
                <w:color w:val="FFFFFF"/>
                <w:sz w:val="14"/>
              </w:rPr>
              <w:t>Exit gate</w:t>
            </w:r>
          </w:p>
        </w:tc>
      </w:tr>
      <w:tr>
        <w:trPr>
          <w:cantSplit/>
        </w:trPr>
        <w:tc>
          <w:tcPr>
            <w:tcW w:type="dxa" w:w="864"/>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P0</w:t>
            </w:r>
          </w:p>
        </w:tc>
        <w:tc>
          <w:tcPr>
            <w:tcW w:type="dxa" w:w="3528"/>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Schemas, state machines, simulator.</w:t>
            </w:r>
          </w:p>
        </w:tc>
        <w:tc>
          <w:tcPr>
            <w:tcW w:type="dxa" w:w="1800"/>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Nu</w:t>
            </w:r>
          </w:p>
        </w:tc>
        <w:tc>
          <w:tcPr>
            <w:tcW w:type="dxa" w:w="3312"/>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All core invariants executable.</w:t>
            </w:r>
          </w:p>
        </w:tc>
      </w:tr>
      <w:tr>
        <w:trPr>
          <w:cantSplit/>
        </w:trPr>
        <w:tc>
          <w:tcPr>
            <w:tcW w:type="dxa" w:w="864"/>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P1</w:t>
            </w:r>
          </w:p>
        </w:tc>
        <w:tc>
          <w:tcPr>
            <w:tcW w:type="dxa" w:w="3528"/>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4-node local devnet + demo agents.</w:t>
            </w:r>
          </w:p>
        </w:tc>
        <w:tc>
          <w:tcPr>
            <w:tcW w:type="dxa" w:w="1800"/>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Nu</w:t>
            </w:r>
          </w:p>
        </w:tc>
        <w:tc>
          <w:tcPr>
            <w:tcW w:type="dxa" w:w="3312"/>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End-to-end scenario passes.</w:t>
            </w:r>
          </w:p>
        </w:tc>
      </w:tr>
      <w:tr>
        <w:trPr>
          <w:cantSplit/>
        </w:trPr>
        <w:tc>
          <w:tcPr>
            <w:tcW w:type="dxa" w:w="864"/>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P2</w:t>
            </w:r>
          </w:p>
        </w:tc>
        <w:tc>
          <w:tcPr>
            <w:tcW w:type="dxa" w:w="3528"/>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Public sandbox, faucets, SDKs.</w:t>
            </w:r>
          </w:p>
        </w:tc>
        <w:tc>
          <w:tcPr>
            <w:tcW w:type="dxa" w:w="1800"/>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Nu</w:t>
            </w:r>
          </w:p>
        </w:tc>
        <w:tc>
          <w:tcPr>
            <w:tcW w:type="dxa" w:w="3312"/>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External developers integrate.</w:t>
            </w:r>
          </w:p>
        </w:tc>
      </w:tr>
      <w:tr>
        <w:trPr>
          <w:cantSplit/>
        </w:trPr>
        <w:tc>
          <w:tcPr>
            <w:tcW w:type="dxa" w:w="864"/>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P3</w:t>
            </w:r>
          </w:p>
        </w:tc>
        <w:tc>
          <w:tcPr>
            <w:tcW w:type="dxa" w:w="3528"/>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Incentivized testnet, attacks, audits.</w:t>
            </w:r>
          </w:p>
        </w:tc>
        <w:tc>
          <w:tcPr>
            <w:tcW w:type="dxa" w:w="1800"/>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Testnet only</w:t>
            </w:r>
          </w:p>
        </w:tc>
        <w:tc>
          <w:tcPr>
            <w:tcW w:type="dxa" w:w="3312"/>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No critical unresolved findings.</w:t>
            </w:r>
          </w:p>
        </w:tc>
      </w:tr>
      <w:tr>
        <w:trPr>
          <w:cantSplit/>
        </w:trPr>
        <w:tc>
          <w:tcPr>
            <w:tcW w:type="dxa" w:w="864"/>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P4</w:t>
            </w:r>
          </w:p>
        </w:tc>
        <w:tc>
          <w:tcPr>
            <w:tcW w:type="dxa" w:w="3528"/>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Restricted beta, capped routes/assets.</w:t>
            </w:r>
          </w:p>
        </w:tc>
        <w:tc>
          <w:tcPr>
            <w:tcW w:type="dxa" w:w="1800"/>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Da, limitat</w:t>
            </w:r>
          </w:p>
        </w:tc>
        <w:tc>
          <w:tcPr>
            <w:tcW w:type="dxa" w:w="3312"/>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Solvency and incident drills pass.</w:t>
            </w:r>
          </w:p>
        </w:tc>
      </w:tr>
      <w:tr>
        <w:trPr>
          <w:cantSplit/>
        </w:trPr>
        <w:tc>
          <w:tcPr>
            <w:tcW w:type="dxa" w:w="864"/>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P5</w:t>
            </w:r>
          </w:p>
        </w:tc>
        <w:tc>
          <w:tcPr>
            <w:tcW w:type="dxa" w:w="3528"/>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Open mainnet, progressive limits.</w:t>
            </w:r>
          </w:p>
        </w:tc>
        <w:tc>
          <w:tcPr>
            <w:tcW w:type="dxa" w:w="1800"/>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Da</w:t>
            </w:r>
          </w:p>
        </w:tc>
        <w:tc>
          <w:tcPr>
            <w:tcW w:type="dxa" w:w="3312"/>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Governance + operations mature.</w:t>
            </w:r>
          </w:p>
        </w:tc>
      </w:tr>
    </w:tbl>
    <w:p>
      <w:pPr>
        <w:spacing w:after="0"/>
      </w:pPr>
    </w:p>
    <w:p>
      <w:pPr>
        <w:pStyle w:val="Heading1"/>
        <w:keepNext/>
      </w:pPr>
      <w:r>
        <w:t>11.16 Operare cu buget minim</w:t>
      </w:r>
    </w:p>
    <w:p>
      <w:pPr/>
      <w:r>
        <w:t>Proiectul poate porni fără servere permanente: dezvoltare locală, CI gratuit/ieftin, public testnet găzduit de voluntari și cloud credits. Costul inițial trebuie concentrat în domeniu, repository, semnare de release-uri și eventual un singur endpoint public. Niciun token public cu bani reali nu este necesar pentru validarea tehnologiei.</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1440"/>
            <w:shd w:fill="203453"/>
            <w:tcMar>
              <w:top w:w="90" w:type="dxa"/>
              <w:start w:w="100" w:type="dxa"/>
              <w:bottom w:w="90" w:type="dxa"/>
              <w:end w:w="100" w:type="dxa"/>
            </w:tcMar>
            <w:vAlign w:val="center"/>
            <w:tcBorders>
              <w:top w:val="single" w:sz="6" w:color="142034"/>
              <w:left w:val="single" w:sz="6" w:color="142034"/>
              <w:bottom w:val="single" w:sz="6" w:color="142034"/>
              <w:right w:val="single" w:sz="6" w:color="142034"/>
            </w:tcBorders>
          </w:tcPr>
          <w:p>
            <w:pPr>
              <w:jc w:val="center"/>
            </w:pPr>
            <w:r>
              <w:rPr>
                <w:rFonts w:ascii="Noto Sans" w:hAnsi="Noto Sans"/>
                <w:b/>
                <w:color w:val="FFFFFF"/>
                <w:sz w:val="16"/>
              </w:rPr>
              <w:t>Etapă</w:t>
            </w:r>
          </w:p>
        </w:tc>
        <w:tc>
          <w:tcPr>
            <w:tcW w:type="dxa" w:w="8064"/>
            <w:shd w:fill="203453"/>
            <w:tcMar>
              <w:top w:w="90" w:type="dxa"/>
              <w:start w:w="100" w:type="dxa"/>
              <w:bottom w:w="90" w:type="dxa"/>
              <w:end w:w="100" w:type="dxa"/>
            </w:tcMar>
            <w:vAlign w:val="center"/>
            <w:tcBorders>
              <w:top w:val="single" w:sz="6" w:color="142034"/>
              <w:left w:val="single" w:sz="6" w:color="142034"/>
              <w:bottom w:val="single" w:sz="6" w:color="142034"/>
              <w:right w:val="single" w:sz="6" w:color="142034"/>
            </w:tcBorders>
          </w:tcPr>
          <w:p>
            <w:pPr>
              <w:jc w:val="center"/>
            </w:pPr>
            <w:r>
              <w:rPr>
                <w:rFonts w:ascii="Noto Sans" w:hAnsi="Noto Sans"/>
                <w:b/>
                <w:color w:val="FFFFFF"/>
                <w:sz w:val="16"/>
              </w:rPr>
              <w:t>Resurse minime</w:t>
            </w:r>
          </w:p>
        </w:tc>
      </w:tr>
      <w:tr>
        <w:trPr>
          <w:cantSplit/>
        </w:trPr>
        <w:tc>
          <w:tcPr>
            <w:tcW w:type="dxa" w:w="1440"/>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P0</w:t>
            </w:r>
          </w:p>
        </w:tc>
        <w:tc>
          <w:tcPr>
            <w:tcW w:type="dxa" w:w="8064"/>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Laptop, Git hosting, documentație și simulator.</w:t>
            </w:r>
          </w:p>
        </w:tc>
      </w:tr>
      <w:tr>
        <w:trPr>
          <w:cantSplit/>
        </w:trPr>
        <w:tc>
          <w:tcPr>
            <w:tcW w:type="dxa" w:w="1440"/>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P1</w:t>
            </w:r>
          </w:p>
        </w:tc>
        <w:tc>
          <w:tcPr>
            <w:tcW w:type="dxa" w:w="8064"/>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Laptop puternic sau 2-4 VM temporare.</w:t>
            </w:r>
          </w:p>
        </w:tc>
      </w:tr>
      <w:tr>
        <w:trPr>
          <w:cantSplit/>
        </w:trPr>
        <w:tc>
          <w:tcPr>
            <w:tcW w:type="dxa" w:w="1440"/>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P2</w:t>
            </w:r>
          </w:p>
        </w:tc>
        <w:tc>
          <w:tcPr>
            <w:tcW w:type="dxa" w:w="8064"/>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Un bootstrap node, explorer, community validators.</w:t>
            </w:r>
          </w:p>
        </w:tc>
      </w:tr>
      <w:tr>
        <w:trPr>
          <w:cantSplit/>
        </w:trPr>
        <w:tc>
          <w:tcPr>
            <w:tcW w:type="dxa" w:w="1440"/>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P3</w:t>
            </w:r>
          </w:p>
        </w:tc>
        <w:tc>
          <w:tcPr>
            <w:tcW w:type="dxa" w:w="8064"/>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Mai mulți operatori independenți și bug bounty.</w:t>
            </w:r>
          </w:p>
        </w:tc>
      </w:tr>
      <w:tr>
        <w:trPr>
          <w:cantSplit/>
        </w:trPr>
        <w:tc>
          <w:tcPr>
            <w:tcW w:type="dxa" w:w="1440"/>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P4</w:t>
            </w:r>
          </w:p>
        </w:tc>
        <w:tc>
          <w:tcPr>
            <w:tcW w:type="dxa" w:w="8064"/>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Audits, legal review, incident response și route collateral.</w:t>
            </w:r>
          </w:p>
        </w:tc>
      </w:tr>
    </w:tbl>
    <w:p>
      <w:pPr>
        <w:spacing w:after="0"/>
      </w:pPr>
    </w:p>
    <w:p>
      <w:pPr>
        <w:pStyle w:val="Heading2"/>
        <w:keepNext/>
      </w:pPr>
      <w:r>
        <w:t>Cerințe normative</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936"/>
            <w:shd w:fill="203453"/>
            <w:tcMar>
              <w:top w:w="90" w:type="dxa"/>
              <w:start w:w="100" w:type="dxa"/>
              <w:bottom w:w="90" w:type="dxa"/>
              <w:end w:w="100" w:type="dxa"/>
            </w:tcMar>
            <w:vAlign w:val="center"/>
            <w:tcBorders>
              <w:top w:val="single" w:sz="6" w:color="142034"/>
              <w:left w:val="single" w:sz="6" w:color="142034"/>
              <w:bottom w:val="single" w:sz="6" w:color="142034"/>
              <w:right w:val="single" w:sz="6" w:color="142034"/>
            </w:tcBorders>
          </w:tcPr>
          <w:p>
            <w:pPr>
              <w:jc w:val="center"/>
            </w:pPr>
            <w:r>
              <w:rPr>
                <w:rFonts w:ascii="Noto Sans" w:hAnsi="Noto Sans"/>
                <w:b/>
                <w:color w:val="FFFFFF"/>
                <w:sz w:val="15"/>
              </w:rPr>
              <w:t>ID</w:t>
            </w:r>
          </w:p>
        </w:tc>
        <w:tc>
          <w:tcPr>
            <w:tcW w:type="dxa" w:w="5328"/>
            <w:shd w:fill="203453"/>
            <w:tcMar>
              <w:top w:w="90" w:type="dxa"/>
              <w:start w:w="100" w:type="dxa"/>
              <w:bottom w:w="90" w:type="dxa"/>
              <w:end w:w="100" w:type="dxa"/>
            </w:tcMar>
            <w:vAlign w:val="center"/>
            <w:tcBorders>
              <w:top w:val="single" w:sz="6" w:color="142034"/>
              <w:left w:val="single" w:sz="6" w:color="142034"/>
              <w:bottom w:val="single" w:sz="6" w:color="142034"/>
              <w:right w:val="single" w:sz="6" w:color="142034"/>
            </w:tcBorders>
          </w:tcPr>
          <w:p>
            <w:pPr>
              <w:jc w:val="center"/>
            </w:pPr>
            <w:r>
              <w:rPr>
                <w:rFonts w:ascii="Noto Sans" w:hAnsi="Noto Sans"/>
                <w:b/>
                <w:color w:val="FFFFFF"/>
                <w:sz w:val="15"/>
              </w:rPr>
              <w:t>Cerință</w:t>
            </w:r>
          </w:p>
        </w:tc>
        <w:tc>
          <w:tcPr>
            <w:tcW w:type="dxa" w:w="3240"/>
            <w:shd w:fill="203453"/>
            <w:tcMar>
              <w:top w:w="90" w:type="dxa"/>
              <w:start w:w="100" w:type="dxa"/>
              <w:bottom w:w="90" w:type="dxa"/>
              <w:end w:w="100" w:type="dxa"/>
            </w:tcMar>
            <w:vAlign w:val="center"/>
            <w:tcBorders>
              <w:top w:val="single" w:sz="6" w:color="142034"/>
              <w:left w:val="single" w:sz="6" w:color="142034"/>
              <w:bottom w:val="single" w:sz="6" w:color="142034"/>
              <w:right w:val="single" w:sz="6" w:color="142034"/>
            </w:tcBorders>
          </w:tcPr>
          <w:p>
            <w:pPr>
              <w:jc w:val="center"/>
            </w:pPr>
            <w:r>
              <w:rPr>
                <w:rFonts w:ascii="Noto Sans" w:hAnsi="Noto Sans"/>
                <w:b/>
                <w:color w:val="FFFFFF"/>
                <w:sz w:val="15"/>
              </w:rPr>
              <w:t>Motivație</w:t>
            </w:r>
          </w:p>
        </w:tc>
      </w:tr>
      <w:tr>
        <w:trPr>
          <w:cantSplit/>
        </w:trPr>
        <w:tc>
          <w:tcPr>
            <w:tcW w:type="dxa" w:w="936"/>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I-01</w:t>
            </w:r>
          </w:p>
        </w:tc>
        <w:tc>
          <w:tcPr>
            <w:tcW w:type="dxa" w:w="5328"/>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The reference implementation MUST expose deterministic test vectors for every state transition.</w:t>
            </w:r>
          </w:p>
        </w:tc>
        <w:tc>
          <w:tcPr>
            <w:tcW w:type="dxa" w:w="3240"/>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Interoperabilitate.</w:t>
            </w:r>
          </w:p>
        </w:tc>
      </w:tr>
      <w:tr>
        <w:trPr>
          <w:cantSplit/>
        </w:trPr>
        <w:tc>
          <w:tcPr>
            <w:tcW w:type="dxa" w:w="936"/>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I-02</w:t>
            </w:r>
          </w:p>
        </w:tc>
        <w:tc>
          <w:tcPr>
            <w:tcW w:type="dxa" w:w="5328"/>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Real-value routes MUST be disabled by default and activated per route after audit.</w:t>
            </w:r>
          </w:p>
        </w:tc>
        <w:tc>
          <w:tcPr>
            <w:tcW w:type="dxa" w:w="3240"/>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Reduce risk.</w:t>
            </w:r>
          </w:p>
        </w:tc>
      </w:tr>
      <w:tr>
        <w:trPr>
          <w:cantSplit/>
        </w:trPr>
        <w:tc>
          <w:tcPr>
            <w:tcW w:type="dxa" w:w="936"/>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I-03</w:t>
            </w:r>
          </w:p>
        </w:tc>
        <w:tc>
          <w:tcPr>
            <w:tcW w:type="dxa" w:w="5328"/>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The simulator MUST test insolvency, circular funding and correlated outages.</w:t>
            </w:r>
          </w:p>
        </w:tc>
        <w:tc>
          <w:tcPr>
            <w:tcW w:type="dxa" w:w="3240"/>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Validează mecanismele originale.</w:t>
            </w:r>
          </w:p>
        </w:tc>
      </w:tr>
      <w:tr>
        <w:trPr>
          <w:cantSplit/>
        </w:trPr>
        <w:tc>
          <w:tcPr>
            <w:tcW w:type="dxa" w:w="936"/>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I-04</w:t>
            </w:r>
          </w:p>
        </w:tc>
        <w:tc>
          <w:tcPr>
            <w:tcW w:type="dxa" w:w="5328"/>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SDKs MUST never require exporting the sovereign root key.</w:t>
            </w:r>
          </w:p>
        </w:tc>
        <w:tc>
          <w:tcPr>
            <w:tcW w:type="dxa" w:w="3240"/>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Autoproprietate.</w:t>
            </w:r>
          </w:p>
        </w:tc>
      </w:tr>
      <w:tr>
        <w:trPr>
          <w:cantSplit/>
        </w:trPr>
        <w:tc>
          <w:tcPr>
            <w:tcW w:type="dxa" w:w="936"/>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I-05</w:t>
            </w:r>
          </w:p>
        </w:tc>
        <w:tc>
          <w:tcPr>
            <w:tcW w:type="dxa" w:w="5328"/>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Every release MUST be reproducible and signed.</w:t>
            </w:r>
          </w:p>
        </w:tc>
        <w:tc>
          <w:tcPr>
            <w:tcW w:type="dxa" w:w="3240"/>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Supply-chain trust.</w:t>
            </w:r>
          </w:p>
        </w:tc>
      </w:tr>
      <w:tr>
        <w:trPr>
          <w:cantSplit/>
        </w:trPr>
        <w:tc>
          <w:tcPr>
            <w:tcW w:type="dxa" w:w="936"/>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I-06</w:t>
            </w:r>
          </w:p>
        </w:tc>
        <w:tc>
          <w:tcPr>
            <w:tcW w:type="dxa" w:w="5328"/>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Phase gates MUST be measurable and publicly reported.</w:t>
            </w:r>
          </w:p>
        </w:tc>
        <w:tc>
          <w:tcPr>
            <w:tcW w:type="dxa" w:w="3240"/>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Previne lansarea prematură.</w:t>
            </w:r>
          </w:p>
        </w:tc>
      </w:tr>
    </w:tbl>
    <w:p>
      <w:pPr>
        <w:spacing w:after="0"/>
      </w:pPr>
    </w:p>
    <w:p>
      <w:pPr>
        <w:pStyle w:val="Heading2"/>
        <w:keepNext/>
      </w:pPr>
      <w:r>
        <w:t>Invariante critice</w:t>
      </w:r>
    </w:p>
    <w:tbl>
      <w:tblPr>
        <w:tblW w:type="auto" w:w="0"/>
        <w:jc w:val="center"/>
        <w:tblLayout w:type="fixed"/>
        <w:tblLook w:firstColumn="1" w:firstRow="1" w:lastColumn="0" w:lastRow="0" w:noHBand="0" w:noVBand="1" w:val="04A0"/>
      </w:tblPr>
      <w:tblGrid>
        <w:gridCol w:w="9994"/>
      </w:tblGrid>
      <w:tr>
        <w:tc>
          <w:tcPr>
            <w:tcW w:type="dxa" w:w="9288"/>
            <w:shd w:fill="F4F6F8"/>
            <w:tcMar>
              <w:top w:w="100" w:type="dxa"/>
              <w:start w:w="120" w:type="dxa"/>
              <w:bottom w:w="100" w:type="dxa"/>
              <w:end w:w="120" w:type="dxa"/>
            </w:tcMar>
            <w:tcBorders>
              <w:top w:val="single" w:sz="6" w:color="B8C2D0"/>
              <w:left w:val="single" w:sz="6" w:color="B8C2D0"/>
              <w:bottom w:val="single" w:sz="6" w:color="B8C2D0"/>
              <w:right w:val="single" w:sz="6" w:color="B8C2D0"/>
            </w:tcBorders>
          </w:tcPr>
          <w:p>
            <w:pPr>
              <w:spacing w:after="0"/>
            </w:pPr>
            <w:r>
              <w:rPr>
                <w:rFonts w:ascii="Noto Sans" w:hAnsi="Noto Sans"/>
                <w:b/>
                <w:color w:val="43526A"/>
                <w:sz w:val="16"/>
              </w:rPr>
              <w:t>Protocol invariants</w:t>
              <w:br/>
            </w:r>
            <w:r>
              <w:rPr>
                <w:rFonts w:ascii="DejaVu Sans Mono" w:hAnsi="DejaVu Sans Mono"/>
                <w:color w:val="26354B"/>
                <w:sz w:val="15"/>
              </w:rPr>
              <w:t>virtual_liquidity != redeemable_assets</w:t>
              <w:br/>
              <w:t>recognized_value &lt;= provably_controlled_value * route_haircut</w:t>
              <w:br/>
              <w:t>external_lineage_id is globally unique</w:t>
              <w:br/>
              <w:t>agent_root_key never leaves sovereign signing boundary</w:t>
              <w:br/>
              <w:t>real_value_route.enabled =&gt; audits_passed &amp;&amp; caps_configured</w:t>
              <w:br/>
              <w:t>upgrade_release =&gt; deterministic_replay(previous_state) succeeds</w:t>
            </w:r>
          </w:p>
        </w:tc>
      </w:tr>
    </w:tbl>
    <w:p>
      <w:pPr>
        <w:spacing w:after="0"/>
      </w:pPr>
    </w:p>
    <w:p>
      <w:pPr>
        <w:pStyle w:val="Heading1"/>
        <w:keepNext/>
      </w:pPr>
      <w:r>
        <w:t>Criterii de acceptare și teste</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936"/>
            <w:shd w:fill="203453"/>
            <w:tcMar>
              <w:top w:w="90" w:type="dxa"/>
              <w:start w:w="100" w:type="dxa"/>
              <w:bottom w:w="90" w:type="dxa"/>
              <w:end w:w="100" w:type="dxa"/>
            </w:tcMar>
            <w:vAlign w:val="center"/>
            <w:tcBorders>
              <w:top w:val="single" w:sz="6" w:color="142034"/>
              <w:left w:val="single" w:sz="6" w:color="142034"/>
              <w:bottom w:val="single" w:sz="6" w:color="142034"/>
              <w:right w:val="single" w:sz="6" w:color="142034"/>
            </w:tcBorders>
          </w:tcPr>
          <w:p>
            <w:pPr>
              <w:jc w:val="center"/>
            </w:pPr>
            <w:r>
              <w:rPr>
                <w:rFonts w:ascii="Noto Sans" w:hAnsi="Noto Sans"/>
                <w:b/>
                <w:color w:val="FFFFFF"/>
                <w:sz w:val="14"/>
              </w:rPr>
              <w:t>ID</w:t>
            </w:r>
          </w:p>
        </w:tc>
        <w:tc>
          <w:tcPr>
            <w:tcW w:type="dxa" w:w="4608"/>
            <w:shd w:fill="203453"/>
            <w:tcMar>
              <w:top w:w="90" w:type="dxa"/>
              <w:start w:w="100" w:type="dxa"/>
              <w:bottom w:w="90" w:type="dxa"/>
              <w:end w:w="100" w:type="dxa"/>
            </w:tcMar>
            <w:vAlign w:val="center"/>
            <w:tcBorders>
              <w:top w:val="single" w:sz="6" w:color="142034"/>
              <w:left w:val="single" w:sz="6" w:color="142034"/>
              <w:bottom w:val="single" w:sz="6" w:color="142034"/>
              <w:right w:val="single" w:sz="6" w:color="142034"/>
            </w:tcBorders>
          </w:tcPr>
          <w:p>
            <w:pPr>
              <w:jc w:val="center"/>
            </w:pPr>
            <w:r>
              <w:rPr>
                <w:rFonts w:ascii="Noto Sans" w:hAnsi="Noto Sans"/>
                <w:b/>
                <w:color w:val="FFFFFF"/>
                <w:sz w:val="14"/>
              </w:rPr>
              <w:t>Scenariu</w:t>
            </w:r>
          </w:p>
        </w:tc>
        <w:tc>
          <w:tcPr>
            <w:tcW w:type="dxa" w:w="3960"/>
            <w:shd w:fill="203453"/>
            <w:tcMar>
              <w:top w:w="90" w:type="dxa"/>
              <w:start w:w="100" w:type="dxa"/>
              <w:bottom w:w="90" w:type="dxa"/>
              <w:end w:w="100" w:type="dxa"/>
            </w:tcMar>
            <w:vAlign w:val="center"/>
            <w:tcBorders>
              <w:top w:val="single" w:sz="6" w:color="142034"/>
              <w:left w:val="single" w:sz="6" w:color="142034"/>
              <w:bottom w:val="single" w:sz="6" w:color="142034"/>
              <w:right w:val="single" w:sz="6" w:color="142034"/>
            </w:tcBorders>
          </w:tcPr>
          <w:p>
            <w:pPr>
              <w:jc w:val="center"/>
            </w:pPr>
            <w:r>
              <w:rPr>
                <w:rFonts w:ascii="Noto Sans" w:hAnsi="Noto Sans"/>
                <w:b/>
                <w:color w:val="FFFFFF"/>
                <w:sz w:val="14"/>
              </w:rPr>
              <w:t>Rezultat obligatoriu</w:t>
            </w:r>
          </w:p>
        </w:tc>
      </w:tr>
      <w:tr>
        <w:trPr>
          <w:cantSplit/>
        </w:trPr>
        <w:tc>
          <w:tcPr>
            <w:tcW w:type="dxa" w:w="936"/>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T11-01</w:t>
            </w:r>
          </w:p>
        </w:tc>
        <w:tc>
          <w:tcPr>
            <w:tcW w:type="dxa" w:w="4608"/>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Create agent -&gt; work -&gt; payment -&gt; earned admission -&gt; depth injection.</w:t>
            </w:r>
          </w:p>
        </w:tc>
        <w:tc>
          <w:tcPr>
            <w:tcW w:type="dxa" w:w="3960"/>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Toate state transitions și provenance sunt verificabile.</w:t>
            </w:r>
          </w:p>
        </w:tc>
      </w:tr>
      <w:tr>
        <w:trPr>
          <w:cantSplit/>
        </w:trPr>
        <w:tc>
          <w:tcPr>
            <w:tcW w:type="dxa" w:w="936"/>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T11-02</w:t>
            </w:r>
          </w:p>
        </w:tc>
        <w:tc>
          <w:tcPr>
            <w:tcW w:type="dxa" w:w="4608"/>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Re-submit same external payment via second adapter.</w:t>
            </w:r>
          </w:p>
        </w:tc>
        <w:tc>
          <w:tcPr>
            <w:tcW w:type="dxa" w:w="3960"/>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Respins ca duplicate lineage.</w:t>
            </w:r>
          </w:p>
        </w:tc>
      </w:tr>
      <w:tr>
        <w:trPr>
          <w:cantSplit/>
        </w:trPr>
        <w:tc>
          <w:tcPr>
            <w:tcW w:type="dxa" w:w="936"/>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T11-03</w:t>
            </w:r>
          </w:p>
        </w:tc>
        <w:tc>
          <w:tcPr>
            <w:tcW w:type="dxa" w:w="4608"/>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Compromise demo agent process and request treasury drain.</w:t>
            </w:r>
          </w:p>
        </w:tc>
        <w:tc>
          <w:tcPr>
            <w:tcW w:type="dxa" w:w="3960"/>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SAG denies above capability/spend limit.</w:t>
            </w:r>
          </w:p>
        </w:tc>
      </w:tr>
      <w:tr>
        <w:trPr>
          <w:cantSplit/>
        </w:trPr>
        <w:tc>
          <w:tcPr>
            <w:tcW w:type="dxa" w:w="936"/>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T11-04</w:t>
            </w:r>
          </w:p>
        </w:tc>
        <w:tc>
          <w:tcPr>
            <w:tcW w:type="dxa" w:w="4608"/>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Terminate active runtime provider.</w:t>
            </w:r>
          </w:p>
        </w:tc>
        <w:tc>
          <w:tcPr>
            <w:tcW w:type="dxa" w:w="3960"/>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Agent resumes from valid checkpoint on replica.</w:t>
            </w:r>
          </w:p>
        </w:tc>
      </w:tr>
      <w:tr>
        <w:trPr>
          <w:cantSplit/>
        </w:trPr>
        <w:tc>
          <w:tcPr>
            <w:tcW w:type="dxa" w:w="936"/>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T11-05</w:t>
            </w:r>
          </w:p>
        </w:tc>
        <w:tc>
          <w:tcPr>
            <w:tcW w:type="dxa" w:w="4608"/>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Mass sell against shallow reserve.</w:t>
            </w:r>
          </w:p>
        </w:tc>
        <w:tc>
          <w:tcPr>
            <w:tcW w:type="dxa" w:w="3960"/>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No negative reserve; quotes respect real redeemability.</w:t>
            </w:r>
          </w:p>
        </w:tc>
      </w:tr>
      <w:tr>
        <w:trPr>
          <w:cantSplit/>
        </w:trPr>
        <w:tc>
          <w:tcPr>
            <w:tcW w:type="dxa" w:w="936"/>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T11-06</w:t>
            </w:r>
          </w:p>
        </w:tc>
        <w:tc>
          <w:tcPr>
            <w:tcW w:type="dxa" w:w="4608"/>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Upgrade with incompatible state migration.</w:t>
            </w:r>
          </w:p>
        </w:tc>
        <w:tc>
          <w:tcPr>
            <w:tcW w:type="dxa" w:w="3960"/>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CI/rehearsal blocks release.</w:t>
            </w:r>
          </w:p>
        </w:tc>
      </w:tr>
    </w:tbl>
    <w:p>
      <w:pPr>
        <w:spacing w:after="0"/>
      </w:pPr>
    </w:p>
    <w:p>
      <w:pPr>
        <w:pStyle w:val="Heading1"/>
        <w:keepNext/>
      </w:pPr>
      <w:r>
        <w:t>Decizii deschise</w:t>
      </w:r>
    </w:p>
    <w:p>
      <w:pPr/>
      <w:r>
        <w:t>Următoarele elemente necesită prototipare, simulare, audit și guvernanță înainte de mainnet:</w:t>
      </w:r>
    </w:p>
    <w:p>
      <w:pPr>
        <w:pStyle w:val="ListBullet"/>
        <w:keepLines/>
      </w:pPr>
      <w:r>
        <w:t>Alegerea finală Cosmos SDK versus un runtime Rust modular.</w:t>
      </w:r>
    </w:p>
    <w:p>
      <w:pPr>
        <w:pStyle w:val="ListBullet"/>
        <w:keepLines/>
      </w:pPr>
      <w:r>
        <w:t>Forma exactă a proof adapters pentru Solana și EVM în beta.</w:t>
      </w:r>
    </w:p>
    <w:p>
      <w:pPr>
        <w:pStyle w:val="ListBullet"/>
        <w:keepLines/>
      </w:pPr>
      <w:r>
        <w:t>Pragurile de caps și haircuts pentru primele active reale.</w:t>
      </w:r>
    </w:p>
    <w:p>
      <w:pPr>
        <w:pStyle w:val="ListBullet"/>
        <w:keepLines/>
      </w:pPr>
      <w:r>
        <w:t>Modelul de finanțare pentru audit și bug bounty.</w:t>
      </w:r>
    </w:p>
    <w:p>
      <w:pPr>
        <w:pStyle w:val="ListBullet"/>
        <w:keepLines/>
      </w:pPr>
      <w:r>
        <w:t>Ce componente devin public-domain specification, open source sau licențiate dual.</w:t>
      </w:r>
    </w:p>
    <w:p>
      <w:pPr>
        <w:pStyle w:val="Heading1"/>
        <w:keepNext/>
      </w:pPr>
      <w:r>
        <w:t>Glosar</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520"/>
            <w:shd w:fill="203453"/>
            <w:tcMar>
              <w:top w:w="90" w:type="dxa"/>
              <w:start w:w="100" w:type="dxa"/>
              <w:bottom w:w="90" w:type="dxa"/>
              <w:end w:w="100" w:type="dxa"/>
            </w:tcMar>
            <w:vAlign w:val="center"/>
            <w:tcBorders>
              <w:top w:val="single" w:sz="6" w:color="142034"/>
              <w:left w:val="single" w:sz="6" w:color="142034"/>
              <w:bottom w:val="single" w:sz="6" w:color="142034"/>
              <w:right w:val="single" w:sz="6" w:color="142034"/>
            </w:tcBorders>
          </w:tcPr>
          <w:p>
            <w:pPr>
              <w:jc w:val="center"/>
            </w:pPr>
            <w:r>
              <w:rPr>
                <w:rFonts w:ascii="Noto Sans" w:hAnsi="Noto Sans"/>
                <w:b/>
                <w:color w:val="FFFFFF"/>
                <w:sz w:val="15"/>
              </w:rPr>
              <w:t>Termen</w:t>
            </w:r>
          </w:p>
        </w:tc>
        <w:tc>
          <w:tcPr>
            <w:tcW w:type="dxa" w:w="6984"/>
            <w:shd w:fill="203453"/>
            <w:tcMar>
              <w:top w:w="90" w:type="dxa"/>
              <w:start w:w="100" w:type="dxa"/>
              <w:bottom w:w="90" w:type="dxa"/>
              <w:end w:w="100" w:type="dxa"/>
            </w:tcMar>
            <w:vAlign w:val="center"/>
            <w:tcBorders>
              <w:top w:val="single" w:sz="6" w:color="142034"/>
              <w:left w:val="single" w:sz="6" w:color="142034"/>
              <w:bottom w:val="single" w:sz="6" w:color="142034"/>
              <w:right w:val="single" w:sz="6" w:color="142034"/>
            </w:tcBorders>
          </w:tcPr>
          <w:p>
            <w:pPr>
              <w:jc w:val="center"/>
            </w:pPr>
            <w:r>
              <w:rPr>
                <w:rFonts w:ascii="Noto Sans" w:hAnsi="Noto Sans"/>
                <w:b/>
                <w:color w:val="FFFFFF"/>
                <w:sz w:val="15"/>
              </w:rPr>
              <w:t>Sens în AEL</w:t>
            </w:r>
          </w:p>
        </w:tc>
      </w:tr>
      <w:tr>
        <w:trPr>
          <w:cantSplit/>
        </w:trPr>
        <w:tc>
          <w:tcPr>
            <w:tcW w:type="dxa" w:w="2520"/>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Executable Protocol Profile</w:t>
            </w:r>
          </w:p>
        </w:tc>
        <w:tc>
          <w:tcPr>
            <w:tcW w:type="dxa" w:w="6984"/>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Subset implementabil și testabil al specificației complete.</w:t>
            </w:r>
          </w:p>
        </w:tc>
      </w:tr>
      <w:tr>
        <w:trPr>
          <w:cantSplit/>
        </w:trPr>
        <w:tc>
          <w:tcPr>
            <w:tcW w:type="dxa" w:w="2520"/>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SAG</w:t>
            </w:r>
          </w:p>
        </w:tc>
        <w:tc>
          <w:tcPr>
            <w:tcW w:type="dxa" w:w="6984"/>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Gateway care verifică și semnează intents în limitele agentului.</w:t>
            </w:r>
          </w:p>
        </w:tc>
      </w:tr>
      <w:tr>
        <w:trPr>
          <w:cantSplit/>
        </w:trPr>
        <w:tc>
          <w:tcPr>
            <w:tcW w:type="dxa" w:w="2520"/>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Proof fixture</w:t>
            </w:r>
          </w:p>
        </w:tc>
        <w:tc>
          <w:tcPr>
            <w:tcW w:type="dxa" w:w="6984"/>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Dovadă externă controlată folosită în testare.</w:t>
            </w:r>
          </w:p>
        </w:tc>
      </w:tr>
      <w:tr>
        <w:trPr>
          <w:cantSplit/>
        </w:trPr>
        <w:tc>
          <w:tcPr>
            <w:tcW w:type="dxa" w:w="2520"/>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Phase gate</w:t>
            </w:r>
          </w:p>
        </w:tc>
        <w:tc>
          <w:tcPr>
            <w:tcW w:type="dxa" w:w="6984"/>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Condiție măsurabilă necesară trecerii la faza următoare.</w:t>
            </w:r>
          </w:p>
        </w:tc>
      </w:tr>
      <w:tr>
        <w:trPr>
          <w:cantSplit/>
        </w:trPr>
        <w:tc>
          <w:tcPr>
            <w:tcW w:type="dxa" w:w="2520"/>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Golden vector</w:t>
            </w:r>
          </w:p>
        </w:tc>
        <w:tc>
          <w:tcPr>
            <w:tcW w:type="dxa" w:w="6984"/>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Input/output canonic pentru compatibilitate cross-language.</w:t>
            </w:r>
          </w:p>
        </w:tc>
      </w:tr>
    </w:tbl>
    <w:p>
      <w:pPr>
        <w:spacing w:after="0"/>
      </w:pPr>
    </w:p>
    <w:sectPr w:rsidR="00FC693F" w:rsidRPr="0006063C" w:rsidSect="00034616">
      <w:headerReference w:type="default" r:id="rId9"/>
      <w:footerReference w:type="default" r:id="rId10"/>
      <w:pgSz w:w="12240" w:h="15840"/>
      <w:pgMar w:top="1037" w:right="1123" w:bottom="1008" w:left="1123"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ayout w:type="fixed"/>
      <w:tblLook w:firstColumn="1" w:firstRow="1" w:lastColumn="0" w:lastRow="0" w:noHBand="0" w:noVBand="1" w:val="04A0"/>
    </w:tblPr>
    <w:tblGrid>
      <w:gridCol w:w="7632"/>
      <w:gridCol w:w="1872"/>
    </w:tblGrid>
    <w:tr>
      <w:tc>
        <w:tcPr>
          <w:tcW w:type="dxa" w:w="4752"/>
          <w:tcMar>
            <w:top w:w="0" w:type="dxa"/>
            <w:start w:w="0" w:type="dxa"/>
            <w:bottom w:w="0" w:type="dxa"/>
            <w:end w:w="0" w:type="dxa"/>
          </w:tcMar>
          <w:tcBorders>
            <w:top w:val="nil" w:sz="0" w:color="FFFFFF"/>
            <w:left w:val="nil" w:sz="0" w:color="FFFFFF"/>
            <w:bottom w:val="nil" w:sz="0" w:color="FFFFFF"/>
            <w:right w:val="nil" w:sz="0" w:color="FFFFFF"/>
          </w:tcBorders>
        </w:tcPr>
        <w:p>
          <w:r>
            <w:rPr>
              <w:rFonts w:ascii="Noto Sans" w:hAnsi="Noto Sans"/>
              <w:color w:val="646F82"/>
              <w:sz w:val="15"/>
            </w:rPr>
            <w:t>Document de lucru • Versiunea 0.11 • 21 iulie 2026</w:t>
          </w:r>
        </w:p>
      </w:tc>
      <w:tc>
        <w:tcPr>
          <w:tcW w:type="dxa" w:w="4752"/>
          <w:tcMar>
            <w:top w:w="0" w:type="dxa"/>
            <w:start w:w="0" w:type="dxa"/>
            <w:bottom w:w="0" w:type="dxa"/>
            <w:end w:w="0" w:type="dxa"/>
          </w:tcMar>
          <w:tcBorders>
            <w:top w:val="nil" w:sz="0" w:color="FFFFFF"/>
            <w:left w:val="nil" w:sz="0" w:color="FFFFFF"/>
            <w:bottom w:val="nil" w:sz="0" w:color="FFFFFF"/>
            <w:right w:val="nil" w:sz="0" w:color="FFFFFF"/>
          </w:tcBorders>
        </w:tcPr>
        <w:p>
          <w:pPr>
            <w:jc w:val="right"/>
          </w:pPr>
          <w:r>
            <w:rPr>
              <w:rFonts w:ascii="Noto Sans" w:hAnsi="Noto Sans"/>
              <w:color w:val="646F82"/>
              <w:sz w:val="15"/>
            </w:rPr>
            <w:fldChar w:fldCharType="begin"/>
            <w:instrText xml:space="preserve"> PAGE </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Noto Sans" w:hAnsi="Noto Sans"/>
        <w:b/>
        <w:color w:val="43526A"/>
        <w:sz w:val="16"/>
      </w:rPr>
      <w:t>AEL NETWORK  |  FIȘĂ TEHNICĂ  |  CAPITOLUL 11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Noto Sans" w:hAnsi="Noto San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Noto Sans" w:hAnsi="Noto Sans"/>
      <w:b/>
      <w:bCs/>
      <w:color w:val="142034"/>
      <w:sz w:val="36"/>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Noto Sans" w:hAnsi="Noto Sans"/>
      <w:b/>
      <w:bCs/>
      <w:color w:val="1A8FA9"/>
      <w:sz w:val="26"/>
      <w:szCs w:val="26"/>
    </w:rPr>
  </w:style>
  <w:style w:type="paragraph" w:styleId="Heading3">
    <w:name w:val="heading 3"/>
    <w:basedOn w:val="Normal"/>
    <w:next w:val="Normal"/>
    <w:link w:val="Heading3Char"/>
    <w:uiPriority w:val="9"/>
    <w:unhideWhenUsed/>
    <w:qFormat/>
    <w:rsid w:val="00FC693F"/>
    <w:pPr>
      <w:keepNext/>
      <w:keepLines/>
      <w:spacing w:before="240" w:after="100"/>
      <w:outlineLvl w:val="2"/>
    </w:pPr>
    <w:rPr>
      <w:rFonts w:asciiTheme="majorHAnsi" w:eastAsiaTheme="majorEastAsia" w:hAnsiTheme="majorHAnsi" w:cstheme="majorBidi" w:ascii="Noto Sans" w:hAnsi="Noto Sans"/>
      <w:b/>
      <w:bCs/>
      <w:color w:val="6756B5"/>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0"/>
      <w:contextualSpacing/>
    </w:pPr>
    <w:rPr>
      <w:rFonts w:asciiTheme="majorHAnsi" w:eastAsiaTheme="majorEastAsia" w:hAnsiTheme="majorHAnsi" w:cstheme="majorBidi" w:ascii="Noto Sans" w:hAnsi="Noto Sans"/>
      <w:b/>
      <w:color w:val="142034"/>
      <w:spacing w:val="5"/>
      <w:kern w:val="28"/>
      <w:sz w:val="6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240" w:after="100"/>
    </w:pPr>
    <w:rPr>
      <w:rFonts w:asciiTheme="majorHAnsi" w:eastAsiaTheme="majorEastAsia" w:hAnsiTheme="majorHAnsi" w:cstheme="majorBidi" w:ascii="Noto Sans" w:hAnsi="Noto Sans"/>
      <w:b w:val="0"/>
      <w:i/>
      <w:iCs/>
      <w:color w:val="526079"/>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Noto Sans" w:hAnsi="Noto Sans"/>
      <w:sz w:val="18"/>
    </w:rPr>
  </w:style>
  <w:style w:type="paragraph" w:styleId="ListBullet2">
    <w:name w:val="List Bullet 2"/>
    <w:basedOn w:val="Normal"/>
    <w:uiPriority w:val="99"/>
    <w:unhideWhenUsed/>
    <w:rsid w:val="00326F90"/>
    <w:pPr>
      <w:numPr>
        <w:numId w:val="2"/>
      </w:numPr>
      <w:contextualSpacing/>
    </w:pPr>
    <w:rPr>
      <w:rFonts w:ascii="Noto Sans" w:hAnsi="Noto Sans"/>
      <w:sz w:val="18"/>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Noto Sans" w:hAnsi="Noto Sans"/>
      <w:sz w:val="18"/>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20"/>
    </w:pPr>
    <w:rPr>
      <w:rFonts w:ascii="Noto Sans" w:hAnsi="Noto Sans"/>
      <w:b w:val="0"/>
      <w:bCs/>
      <w:color w:val="6A7485"/>
      <w:sz w:val="16"/>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ad">
    <w:name w:val="Lead"/>
    <w:basedOn w:val="Normal"/>
    <w:pPr>
      <w:spacing w:after="120"/>
    </w:pPr>
    <w:rPr>
      <w:rFonts w:ascii="Noto Sans" w:hAnsi="Noto Sans"/>
      <w:b w:val="0"/>
      <w:color w:val="27364F"/>
      <w:sz w:val="24"/>
    </w:rPr>
  </w:style>
  <w:style w:type="paragraph" w:customStyle="1" w:styleId="KeyTerm">
    <w:name w:val="Key Term"/>
    <w:basedOn w:val="Normal"/>
    <w:pPr>
      <w:spacing w:after="120"/>
    </w:pPr>
    <w:rPr>
      <w:rFonts w:ascii="Noto Sans" w:hAnsi="Noto Sans"/>
      <w:b/>
      <w:color w:val="6756B5"/>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hyperlink" Target="https://pump.fun/docs/bonding-curve" TargetMode="External"/><Relationship Id="rId15" Type="http://schemas.openxmlformats.org/officeDocument/2006/relationships/hyperlink" Target="https://eips.ethereum.org/EIPS/eip-8004" TargetMode="External"/><Relationship Id="rId16" Type="http://schemas.openxmlformats.org/officeDocument/2006/relationships/hyperlink" Target="https://eips.ethereum.org/EIPS/eip-8183" TargetMode="External"/><Relationship Id="rId17" Type="http://schemas.openxmlformats.org/officeDocument/2006/relationships/hyperlink" Target="https://a2a-protocol.org/latest/specification/" TargetMode="External"/><Relationship Id="rId18" Type="http://schemas.openxmlformats.org/officeDocument/2006/relationships/hyperlink" Target="https://docs.x402.org/introduction" TargetMode="External"/><Relationship Id="rId19" Type="http://schemas.openxmlformats.org/officeDocument/2006/relationships/hyperlink" Target="https://docs.cosmos.network/sdk/latest/learn/intro/sdk-app-architecture" TargetMode="External"/><Relationship Id="rId20" Type="http://schemas.openxmlformats.org/officeDocument/2006/relationships/hyperlink" Target="https://akash.network/docs/learn/core-concepts/providers-leases/" TargetMode="External"/><Relationship Id="rId21" Type="http://schemas.openxmlformats.org/officeDocument/2006/relationships/hyperlink" Target="https://www.intel.com/content/www/us/en/developer/articles/technical/software-security-guidance/technical-documentation/tdx-security-research-and-assurance.html" TargetMode="External"/><Relationship Id="rId22" Type="http://schemas.openxmlformats.org/officeDocument/2006/relationships/hyperlink" Target="https://wormhole.com/docs/products/token-transfers/overview/" TargetMode="External"/><Relationship Id="rId23" Type="http://schemas.openxmlformats.org/officeDocument/2006/relationships/hyperlink" Target="https://docs.cosmos.network/ibc/latest/ibc/overview" TargetMode="External"/><Relationship Id="rId24" Type="http://schemas.openxmlformats.org/officeDocument/2006/relationships/hyperlink" Target="https://www.bittensor.com/docs" TargetMode="External"/><Relationship Id="rId25" Type="http://schemas.openxmlformats.org/officeDocument/2006/relationships/hyperlink" Target="https://docs.gensyn.ai/the-gensyn-protocol" TargetMode="External"/><Relationship Id="rId26" Type="http://schemas.openxmlformats.org/officeDocument/2006/relationships/image" Target="media/image4.png"/><Relationship Id="rId27" Type="http://schemas.openxmlformats.org/officeDocument/2006/relationships/image" Target="media/image5.png"/><Relationship Id="rId28" Type="http://schemas.openxmlformats.org/officeDocument/2006/relationships/image" Target="media/image6.png"/><Relationship Id="rId29" Type="http://schemas.openxmlformats.org/officeDocument/2006/relationships/image" Target="media/image7.png"/><Relationship Id="rId30" Type="http://schemas.openxmlformats.org/officeDocument/2006/relationships/image" Target="media/image8.png"/><Relationship Id="rId31" Type="http://schemas.openxmlformats.org/officeDocument/2006/relationships/image" Target="media/image9.png"/><Relationship Id="rId32" Type="http://schemas.openxmlformats.org/officeDocument/2006/relationships/image" Target="media/image10.png"/><Relationship Id="rId33" Type="http://schemas.openxmlformats.org/officeDocument/2006/relationships/image" Target="media/image11.png"/><Relationship Id="rId34" Type="http://schemas.openxmlformats.org/officeDocument/2006/relationships/image" Target="media/image12.png"/><Relationship Id="rId35" Type="http://schemas.openxmlformats.org/officeDocument/2006/relationships/image" Target="media/image13.png"/><Relationship Id="rId36" Type="http://schemas.openxmlformats.org/officeDocument/2006/relationships/image" Target="media/image14.png"/><Relationship Id="rId37" Type="http://schemas.openxmlformats.org/officeDocument/2006/relationships/image" Target="media/image15.png"/><Relationship Id="rId38" Type="http://schemas.openxmlformats.org/officeDocument/2006/relationships/image" Target="media/image16.png"/><Relationship Id="rId39" Type="http://schemas.openxmlformats.org/officeDocument/2006/relationships/image" Target="media/image17.png"/><Relationship Id="rId40" Type="http://schemas.openxmlformats.org/officeDocument/2006/relationships/image" Target="media/image18.png"/><Relationship Id="rId41" Type="http://schemas.openxmlformats.org/officeDocument/2006/relationships/image" Target="media/image19.png"/><Relationship Id="rId42" Type="http://schemas.openxmlformats.org/officeDocument/2006/relationships/image" Target="media/image20.png"/><Relationship Id="rId43" Type="http://schemas.openxmlformats.org/officeDocument/2006/relationships/image" Target="media/image21.png"/><Relationship Id="rId44" Type="http://schemas.openxmlformats.org/officeDocument/2006/relationships/image" Target="media/image22.png"/><Relationship Id="rId45" Type="http://schemas.openxmlformats.org/officeDocument/2006/relationships/image" Target="media/image23.png"/><Relationship Id="rId46" Type="http://schemas.openxmlformats.org/officeDocument/2006/relationships/image" Target="media/image24.png"/><Relationship Id="rId47" Type="http://schemas.openxmlformats.org/officeDocument/2006/relationships/image" Target="media/image25.png"/><Relationship Id="rId48" Type="http://schemas.openxmlformats.org/officeDocument/2006/relationships/image" Target="media/image26.png"/><Relationship Id="rId49" Type="http://schemas.openxmlformats.org/officeDocument/2006/relationships/image" Target="media/image27.png"/><Relationship Id="rId50" Type="http://schemas.openxmlformats.org/officeDocument/2006/relationships/image" Target="media/image28.png"/><Relationship Id="rId51" Type="http://schemas.openxmlformats.org/officeDocument/2006/relationships/image" Target="media/image2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AEL - Fișă tehnică, Capitolul 11: Implementare de referință, MVP, devnet și testnet</dc:title>
  <dc:subject>Planul executabil pentru transformarea specificației AEL într-un protocol funcțional cu agent SDK, chain local, marketplace, PoEL simulat, interchain adapters și runtime leases testabile.</dc:subject>
  <dc:creator>AEL Network - document de lucru</dc:creator>
  <cp:keywords>AEL, implementation-testnet, autonomous agents, earned liquidity, agent-native L1</cp:keywords>
  <dc:description>Specificație tehnică pentru cercetare, prototip, devnet și testnet.</dc:description>
  <cp:lastModifiedBy/>
  <cp:revision>1</cp:revision>
  <dcterms:created xsi:type="dcterms:W3CDTF">2013-12-23T23:15:00Z</dcterms:created>
  <dcterms:modified xsi:type="dcterms:W3CDTF">2013-12-23T23:15:00Z</dcterms:modified>
  <cp:category/>
</cp:coreProperties>
</file>