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PATENT DRAFTING MASTER CONTROL</w:t>
      </w:r>
    </w:p>
    <w:p>
      <w:pPr>
        <w:jc w:val="center"/>
      </w:pPr>
      <w:r>
        <w:rPr>
          <w:rFonts w:ascii="Times New Roman" w:hAnsi="Times New Roman"/>
          <w:i/>
          <w:sz w:val="21"/>
        </w:rPr>
        <w:t>Recognition-Gated Population Control Platform - v0.2 - 2026-09-03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1. Current patent objective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Prepare a provisional application that is intentionally drafted like a conversion-ready utility application: complete specification arrangement, detailed embodiments, necessary drawings, an overcomplete claim universe, and a source/support record.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Do not impose a claim-count ceiling. Current working universe: 135 exemplary claims, 14 independent claim families and 121 singly dependent claims.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Claims are not a provisional filing requirement and are not the filing gate; they are used now to expose §112(a), §112(b), §112(f), prior-art, restriction, and conversion issues.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At approximately month 10 after filing, begin nonprovisional claim pruning, consolidation, fee/restriction optimization, and prosecution strategy. Missing technical disclosure is not intended to be deferred to that checkpoint.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2. Active invention core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Audio recognition, video recognition, or both identify feral pigs relative to local non-target fauna.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Recognition may use pretrained AI, local-only training, local adaptation/fine-tuning, or combinations.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Repeated observations may be associated with persistent or pseudonymous identities and a machine-maintained local-population registry.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A population-representation criterion and a current population-presence criterion may precede treatment authorization; one key embodiment requires all active registered members to satisfy current presence/confidence criteria.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Population-control treatment is a genus including lethal control, general/non-species-specific toxicant, predetermined toxicant, species-selective toxicant, reproductive control, genetic-modification treatment, feed, feed carrying active agents, conditioning feed, and capture followed by euthanasia.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Selectivity may be supplied by target recognition, physical access, dispensing, exposure location, exposure timing, population-state gating, or combinations.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Attraction/conditioning is part of the platform: feed, edible bait, troughs/feeders, pre-baiting, olfactory attractants, acoustic cues, and repeated return to a monitored station can be used both to learn the local population and to deliver later population control.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Feral swine remain the primary embodiment; a broader target-animal genus is retained for other animal pests where representative technical support is sufficient.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3. Current independent claim families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1 - General feral-pig recognition-gated population control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11 - Local-population learning and completeness-gated administration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21 - General toxicant with recognition-gated selective exposure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31 - Species-selective toxicant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41 - Reproductive control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51 - Genetic-modification population control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61 - Feed-mediated population control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71 - Physical population-control system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81 - AI training and configuration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91 - Computer-readable control logic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101 - Predetermined/specified toxicant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111 - Generic target-animal population control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121 - Attraction/conditioning/trough delivery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131 - KAPUT® / EPA Reg. No. 72500-26 warfarin bait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4. Named treatment embodiments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Warfarin is expressly disclosed and claimed as a predetermined toxicant.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KAPUT® Feral Hog Bait is expressly disclosed and claimed as a narrow named-product embodiment identified by EPA Registration No. 72500-26 and warfarin, avoiding reliance on the trade name alone.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The current EPA product page identifies KAPUT® Feral Hog Bait as registered and identifies warfarin 0.005% as active ingredient; regulatory status and label must be reverified at filing/deployment.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Sodium nitrite is expressly contemplated as another predetermined toxicant research/example branch; field authorization must be separately verified.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GnRH-type immunocontraception, including USDA's GonaCon™ research as a representative technology class, is used to provide concrete reproductive-control context without implying current feral-swine label authorization.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Genetic-modification treatment remains the highest §112(a) branch risk. No AI-generated molecular target, construct, vector, or protocol is to be treated as inventor conception. Concrete inventor-conceived enabling subject matter is required before relying on that branch.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5. MPEP-guided drafting rules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Follow the preferred utility-specification arrangement in 37 CFR 1.77 / MPEP §608.01(a); USPTO recommends the same general format for provisional applications.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Use claims as disclosure probes even though a provisional claim is not required under 35 U.S.C. 111(b).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Use open-ended 'comprising' language where appropriate; keep working dependents singly dependent for clean later pruning.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Functional claim language is permissible, but the specification must supply ascertainable boundaries and concrete structures, states, algorithms, and acts.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Avoid unintended §112(f) treatment by not relying on generic nonce placeholders without disclosed corresponding structure/acts.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For broad genera, supply representative species and common identifying technical characteristics; do not depend on a disconnected laundry list.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Enable the intended full scope without undue experimentation; prophetic examples must not be represented as completed experiments.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Trade names are accompanied by technical/scientific identification where relevant, consistent with MPEP §608.01(v).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Necessary drawings and subject matter must be present at filing because missing disclosure cannot later be added as new matter.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6. Filing-critical technical disclosure work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Inventor-confirm the local-population identity features, matching evidence, registry states, merge/split handling, and operator correction workflow.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Inventor-confirm population-representation and all-active-members-present rules: discovery stabilization, unknown animals, recency windows, active/inactive transitions, and revalidation during treatment access.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Complete concrete selective-access/trough hardware embodiments and draw them.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Confirm inventor-conceived reproductive-control routes and agents, especially any oral/feed-mediated implementation.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Confirm whether species-selective toxicant scope has a concrete inventor-conceived species or adequate identifying characteristics.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Confirm genetic-modification subject matter at an enabling inventor-conceived level or narrow/defer that branch.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Complete representative other-animal embodiments sufficient to support any broader target-animal claim scope ultimately pursued.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Perform element-by-element prior-art charts and a formal USPTO Patent Public Search / Google Patents / professional search.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Obtain licensed patent-attorney review before filing.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7. Required drawings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1 - Overall sensor / AI / population-registry / decision-engine / treatment-controller architecture.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2 - Audio/video sensing, recognition, confidence, unknown-state, and fusion pipeline.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3 - Pretraining, local-only training, and local-adaptation pathways.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4 - Persistent identity and local-population registry data model.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5 - Population-registry state transitions and identity merge/split handling.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6 - Population-discovery and representation-ready assessment.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7 - All-active-members-present / other population-presence determination and revalidation.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8 - Treatment-authorization gate logic, safety vetoes, human/autonomous modes.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9 - Population-control trough/feed station with conditioning and controlled-treatment compartments.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10 - KAPUT®/warfarin and other treatment classes coupled to a common controlled-access interface.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11 - Audit logging, model/configuration versioning, operator override, and treatment-status updates.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FIG. 12 - Generic target-animal adaptation showing sensor/recognition/control interfaces independent of species.</w:t>
      </w:r>
    </w:p>
    <w:p>
      <w:pPr>
        <w:spacing w:before="180" w:after="80"/>
      </w:pPr>
      <w:r>
        <w:rPr>
          <w:rFonts w:ascii="Times New Roman" w:hAnsi="Times New Roman"/>
          <w:b/>
          <w:sz w:val="26"/>
        </w:rPr>
        <w:t>8. Resume / completion protocol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When Robert sends 'Resume', continue from the highest-priority pending patent task without re-asking settled questions.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Work in successive comprehensive passes: specification support -&gt; drawings -&gt; claim/spec cross-check -&gt; prior-art charts -&gt; filing package review. After patent completion, proceed to business-model and grant/partnership documents.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Government funding research will include federal, state, local, tribal/territorial where relevant, Mid-Atlantic/Midwest priority, national sweep, and selected international opportunities where eligibility and IP terms justify review.</w:t>
      </w:r>
    </w:p>
    <w:p>
      <w:pPr>
        <w:spacing w:after="60"/>
        <w:ind w:left="317" w:hanging="230"/>
      </w:pPr>
      <w:r>
        <w:rPr>
          <w:rFonts w:ascii="Times New Roman" w:hAnsi="Times New Roman"/>
          <w:sz w:val="20"/>
        </w:rPr>
        <w:t>• At each declared checkpoint, rebuild the canonical structured archive with only latest versions plus manifest and SHA-256 checksums.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Drafting Master Control v0.2</dc:title>
  <dc:subject/>
  <dc:creator>Project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