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PATENT DRAFTING MASTER CONTROL</w:t>
      </w:r>
    </w:p>
    <w:p>
      <w:pPr>
        <w:jc w:val="center"/>
      </w:pPr>
      <w:r>
        <w:rPr>
          <w:rFonts w:ascii="Times New Roman" w:hAnsi="Times New Roman" w:eastAsia="Times New Roman"/>
        </w:rPr>
        <w:t>Recognition-Gated Population-Control Platform - v0.4 - 2026-09-03</w:t>
      </w:r>
    </w:p>
    <w:p>
      <w:pPr>
        <w:spacing w:before="180" w:after="80"/>
      </w:pPr>
      <w:r>
        <w:rPr>
          <w:rFonts w:ascii="Times New Roman" w:hAnsi="Times New Roman" w:eastAsia="Times New Roman"/>
          <w:b/>
          <w:sz w:val="25"/>
        </w:rPr>
        <w:t>1. Current canonical patent state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Specification v0.3: 280 numbered specification paragraphs, 135 exemplary claims, abstract, FIGS. 1-12 descriptions, and stable reference numerals integrated.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Figures v0.1: twelve patent-style line drawings in separate PNG sheets and a 12-page PDF drawing set.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Claim universe v0.4: 135 working claims across 14 independent families; no claim-count ceiling.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Tracker: Figure Numerals sheet now contains 101 stable reference-numeral entries; patent tasks and §112(a) risk state updated.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Conversion objective remains unchanged: disclose comprehensively now and prune/consolidate around month 10 after filing rather than add missing technical matter.</w:t>
      </w:r>
    </w:p>
    <w:p>
      <w:pPr>
        <w:spacing w:before="180" w:after="80"/>
      </w:pPr>
      <w:r>
        <w:rPr>
          <w:rFonts w:ascii="Times New Roman" w:hAnsi="Times New Roman" w:eastAsia="Times New Roman"/>
          <w:b/>
          <w:sz w:val="25"/>
        </w:rPr>
        <w:t>2. Figure architecture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1 / 100-series - overall sensing, processing, registry, authorization, controller, delivery, operator and audit architecture.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2 / 200-series - audio/video recognition pipeline.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3 / 300-series - pretraining, local training/adaptation, validation and rollback.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4 / 400-series - persistent identity and population-registry data structure.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5 / 500-series - candidate/active/inactive/removed/unknown registry state machine.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6 / 600-series - population discovery and representation-ready assessment.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7 / 700-series - all-active-members-present / population-presence evaluation.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8 / 800-series - authorization gates, safety vetoes, arm/execute/disarm.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9 / 900-series - monitored population-control trough/feed station.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10 / 1000-series - common treatment interface and treatment classes.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11 / 1100-series - event logging, configuration/version and post-event updates.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FIG. 12 / 1200-series - broader target-animal adaptation.</w:t>
      </w:r>
    </w:p>
    <w:p>
      <w:pPr>
        <w:spacing w:before="180" w:after="80"/>
      </w:pPr>
      <w:r>
        <w:rPr>
          <w:rFonts w:ascii="Times New Roman" w:hAnsi="Times New Roman" w:eastAsia="Times New Roman"/>
          <w:b/>
          <w:sz w:val="25"/>
        </w:rPr>
        <w:t>3. §112(a) status by critical branch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Population completeness - materially strengthened. v0.3 provides candidate/active/unknown states, discovery stabilization, recency, revalidation and a non-limiting N_active/N_present formalization. Inventor confirmation of the chosen operational algorithm remains required.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Reproductive control - strengthened with concrete public technical classes including GnRH/GonaCon, PZP and diazacon, and separate injectable versus compatible oral-delivery architecture. Inventor confirmation of actually contemplated agents/routes remains required.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General/predetermined toxicants - supported by warfarin/KAPUT and sodium-nitrite examples, with selective access/timing architecture.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Species-selective toxicant - still open. Sodium nitrite is treated as differential susceptibility rather than proof of exclusive species specificity. A concrete inventor-conceived species or adequate identifying characteristics are still needed for strong broad reliance.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Genetic modification - still blocking for broad reliance. Public genetic-biocontrol classes are described only as background/representative context; no AI-generated molecular target, sequence, vector or protocol is treated as inventor conception.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Broader target-animal genus - strengthened with terrestrial-mammal, bird, reptile/amphibian, aquatic-vertebrate and arthropod representative implementations tied to common core 1210. Inventor/counsel confirmation and enablement assessment remain required.</w:t>
      </w:r>
    </w:p>
    <w:p>
      <w:pPr>
        <w:spacing w:before="180" w:after="80"/>
      </w:pPr>
      <w:r>
        <w:rPr>
          <w:rFonts w:ascii="Times New Roman" w:hAnsi="Times New Roman" w:eastAsia="Times New Roman"/>
          <w:b/>
          <w:sz w:val="25"/>
        </w:rPr>
        <w:t>4. Next patent work order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</w:rPr>
        <w:t>• Visual QA of specification v0.3 and FIGS. 1-12 is complete. Next perform the figure-to-spec numeral and claim-to-spec support audits, followed by inventor-confirmation gap closure.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Perform figure-to-spec reference-numeral audit and claim-to-spec support audit for all 14 independent families.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Resolve inventor-confirmation questions for local identity/completeness, species-selective toxicant, reproductive-control routes, genetic modification and broader target-animal embodiments.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Run formal element-by-element prior-art claim charts and USPTO Patent Public Search / Google Patents / professional search.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Revise claims/specification from those findings while preserving supported fallback ladders.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Assemble counsel-review filing package including drawings, specification, claims/support probes, source/risk record and inventorship/disclosure records.</w:t>
      </w:r>
    </w:p>
    <w:p>
      <w:pPr>
        <w:spacing w:before="180" w:after="80"/>
      </w:pPr>
      <w:r>
        <w:rPr>
          <w:rFonts w:ascii="Times New Roman" w:hAnsi="Times New Roman" w:eastAsia="Times New Roman"/>
          <w:b/>
          <w:sz w:val="25"/>
        </w:rPr>
        <w:t>5. Resume protocol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When Robert sends 'Resume', continue from the highest-priority pending patent task without re-asking settled questions.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At each declared checkpoint rebuild a fossil-free canonical archive containing only latest current versions, figures/source materials, manifest and SHA-256 hashes.</w:t>
      </w:r>
    </w:p>
    <w:p>
      <w:pPr>
        <w:spacing w:after="60"/>
        <w:ind w:left="331" w:hanging="230"/>
      </w:pPr>
      <w:r>
        <w:rPr>
          <w:rFonts w:ascii="Times New Roman" w:hAnsi="Times New Roman" w:eastAsia="Times New Roman"/>
          <w:sz w:val="20"/>
        </w:rPr>
        <w:t>• After patent completion, proceed to business model, government grant/procurement, partnership, regulatory and commercialization documents using the patent architecture as the technical foundation.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Drafting Master Control v0.4</dc:title>
  <dc:subject/>
  <dc:creator>Project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