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eastAsia="Times New Roman"/>
          <w:b w:val="0"/>
          <w:i/>
          <w:sz w:val="21"/>
        </w:rPr>
        <w:t>Working Draft v0.6 -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sz w:val="22"/>
        </w:rPr>
        <w:t>[0001] 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sz w:val="22"/>
        </w:rPr>
        <w:t>[0002] 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sz w:val="22"/>
        </w:rPr>
        <w:t>[0003] 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sz w:val="22"/>
        </w:rPr>
        <w:t>[0004] 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sz w:val="22"/>
        </w:rPr>
        <w:t>[0005] 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sz w:val="22"/>
        </w:rPr>
        <w:t>[0006] 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sz w:val="22"/>
        </w:rPr>
        <w:t>[0007] 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sz w:val="22"/>
        </w:rPr>
        <w:t>[0008] 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sz w:val="22"/>
        </w:rPr>
        <w:t>[0009] 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sz w:val="22"/>
        </w:rPr>
        <w:t>[0010] 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sz w:val="22"/>
        </w:rPr>
        <w:t>[0011] 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sz w:val="22"/>
        </w:rPr>
        <w:t>[0012] 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sz w:val="22"/>
        </w:rPr>
        <w:t>[0013] 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sz w:val="22"/>
        </w:rPr>
        <w:t>[0014] 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sz w:val="22"/>
        </w:rPr>
        <w:t>[0015] 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sz w:val="22"/>
        </w:rPr>
        <w:t>[0016] 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sz w:val="22"/>
        </w:rPr>
        <w:t>[0017] 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sz w:val="22"/>
        </w:rPr>
        <w:t>[0018] 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sz w:val="22"/>
        </w:rPr>
        <w:t>[0019] 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sz w:val="22"/>
        </w:rPr>
        <w:t>[0020] 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sz w:val="22"/>
        </w:rPr>
        <w:t>[0021] 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sz w:val="22"/>
        </w:rPr>
        <w:t>[0022] 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sz w:val="22"/>
        </w:rPr>
        <w:t>[0023] FIG. 1 is a functional block diagram of an example recognition-gated population-control system 100 including a sensor subsystem 110 having camera 112, microphone 114, and optional other sensor 116; processing subsystem 120 having edge processor 122 and remote processor 124; model/configuration store 130; population registry 140; decision engine 150; treatment controller 160; delivery assembly 170; operator interface 180; and event log 190.</w:t>
      </w:r>
    </w:p>
    <w:p>
      <w:pPr>
        <w:spacing w:after="80" w:line="259" w:lineRule="auto"/>
        <w:ind w:left="490" w:hanging="490"/>
      </w:pPr>
      <w:r>
        <w:rPr>
          <w:rFonts w:ascii="Times New Roman" w:hAnsi="Times New Roman" w:eastAsia="Times New Roman"/>
          <w:sz w:val="22"/>
        </w:rPr>
        <w:t>[0024] FIG. 2 is a flow diagram of an example recognition pipeline 200 including sensor-data acquisition 210, preprocessing 220, detection/tracking 230, target/non-target classification 240, identity/re-identification 250, evidence fusion 260, audio evidence 262, video evidence 264, confidence/unknown processing 270, and recognition output 280.</w:t>
      </w:r>
    </w:p>
    <w:p>
      <w:pPr>
        <w:spacing w:after="80" w:line="259" w:lineRule="auto"/>
        <w:ind w:left="490" w:hanging="490"/>
      </w:pPr>
      <w:r>
        <w:rPr>
          <w:rFonts w:ascii="Times New Roman" w:hAnsi="Times New Roman" w:eastAsia="Times New Roman"/>
          <w:sz w:val="22"/>
        </w:rPr>
        <w:t>[0025] FIG. 3 is a flow diagram of an example training architecture 300 including a training corpus 310, positive feral-pig examples 312, negative non-target examples 314, pretraining 320, local observations 330, fine-tuning/calibration 340, validation 350, deployed model 360, and rollback model 370.</w:t>
      </w:r>
    </w:p>
    <w:p>
      <w:pPr>
        <w:spacing w:after="80" w:line="259" w:lineRule="auto"/>
        <w:ind w:left="490" w:hanging="490"/>
      </w:pPr>
      <w:r>
        <w:rPr>
          <w:rFonts w:ascii="Times New Roman" w:hAnsi="Times New Roman" w:eastAsia="Times New Roman"/>
          <w:sz w:val="22"/>
        </w:rPr>
        <w:t>[0026] FIG. 4 is a schematic representation of a local-population registry 410 including identity records 420 having persistent identifiers 422, visual features 424, audio features 426, morphology/behavior features 428, first/last-seen information 430, group association 432, treatment status 434, and confidence/evidence 436; active working set 440; candidate/unknown set 450; and inactive/removed set 460.</w:t>
      </w:r>
    </w:p>
    <w:p>
      <w:pPr>
        <w:spacing w:after="80" w:line="259" w:lineRule="auto"/>
        <w:ind w:left="490" w:hanging="490"/>
      </w:pPr>
      <w:r>
        <w:rPr>
          <w:rFonts w:ascii="Times New Roman" w:hAnsi="Times New Roman" w:eastAsia="Times New Roman"/>
          <w:sz w:val="22"/>
        </w:rPr>
        <w:t>[0027] FIG. 5 is a state diagram of example population-registry states including candidate state 510, active state 520, inactive state 530, removed state 540, and unknown/unresolved state 550.</w:t>
      </w:r>
    </w:p>
    <w:p>
      <w:pPr>
        <w:spacing w:after="80" w:line="259" w:lineRule="auto"/>
        <w:ind w:left="490" w:hanging="490"/>
      </w:pPr>
      <w:r>
        <w:rPr>
          <w:rFonts w:ascii="Times New Roman" w:hAnsi="Times New Roman" w:eastAsia="Times New Roman"/>
          <w:sz w:val="22"/>
        </w:rPr>
        <w:t>[0028] FIG. 6 is a flow diagram of an example population-discovery process 600 including discovery mode 610, new-identity discovery assessment 620, re-observation/coverage assessment 630, representation criterion 640, representation-ready state 650, and unknown/new-pig event 660.</w:t>
      </w:r>
    </w:p>
    <w:p>
      <w:pPr>
        <w:spacing w:after="80" w:line="259" w:lineRule="auto"/>
        <w:ind w:left="490" w:hanging="490"/>
      </w:pPr>
      <w:r>
        <w:rPr>
          <w:rFonts w:ascii="Times New Roman" w:hAnsi="Times New Roman" w:eastAsia="Times New Roman"/>
          <w:sz w:val="22"/>
        </w:rPr>
        <w:t>[0029] FIG. 7 is a flow diagram of an example population-presence process 700 including active-member set 710, current observations 720, identity/recency matching 730, required-member test 740, unknown/non-target veto 750, authorization state 760, and inhibition/additional-evidence state 770.</w:t>
      </w:r>
    </w:p>
    <w:p>
      <w:pPr>
        <w:spacing w:after="80" w:line="259" w:lineRule="auto"/>
        <w:ind w:left="490" w:hanging="490"/>
      </w:pPr>
      <w:r>
        <w:rPr>
          <w:rFonts w:ascii="Times New Roman" w:hAnsi="Times New Roman" w:eastAsia="Times New Roman"/>
          <w:sz w:val="22"/>
        </w:rPr>
        <w:t>[0030] FIG. 8 is a logic diagram of treatment authorization 800 including target gate 810, population gate 820, location/schedule gate 830, safety-veto gate 840, equipment-health gate 850, human/autonomous authorization mode 860, arm state 870, execute state 880, and disarm/restrict state 890.</w:t>
      </w:r>
    </w:p>
    <w:p>
      <w:pPr>
        <w:spacing w:after="80" w:line="259" w:lineRule="auto"/>
        <w:ind w:left="490" w:hanging="490"/>
      </w:pPr>
      <w:r>
        <w:rPr>
          <w:rFonts w:ascii="Times New Roman" w:hAnsi="Times New Roman" w:eastAsia="Times New Roman"/>
          <w:sz w:val="22"/>
        </w:rPr>
        <w:t>[0031] FIG. 9 is a schematic diagram of a population-control station 900 including camera 910, microphone 920, trough 930, conditioning-feed region 932, treatment-feed region 934, access member 940, actuator/dispenser 950, controller 960, and position/health sensor 970.</w:t>
      </w:r>
    </w:p>
    <w:p>
      <w:pPr>
        <w:spacing w:after="80" w:line="259" w:lineRule="auto"/>
        <w:ind w:left="490" w:hanging="490"/>
      </w:pPr>
      <w:r>
        <w:rPr>
          <w:rFonts w:ascii="Times New Roman" w:hAnsi="Times New Roman" w:eastAsia="Times New Roman"/>
          <w:sz w:val="22"/>
        </w:rPr>
        <w:t>[0032] FIG. 10 is a functional interface diagram of a common controller 1000 coupled through treatment interface 1080 to alternative treatments including general toxicant 1010, predetermined toxicant 1020, species-selective toxicant 1030, reproductive control 1040, genetic-modification control 1050, conditioning/feed 1060, and capture/euthanasia 1070.</w:t>
      </w:r>
    </w:p>
    <w:p>
      <w:pPr>
        <w:spacing w:after="80" w:line="259" w:lineRule="auto"/>
        <w:ind w:left="490" w:hanging="490"/>
      </w:pPr>
      <w:r>
        <w:rPr>
          <w:rFonts w:ascii="Times New Roman" w:hAnsi="Times New Roman" w:eastAsia="Times New Roman"/>
          <w:sz w:val="22"/>
        </w:rPr>
        <w:t>[0033] FIG. 11 is a data-flow diagram of event logging 1100 including event logger 1110, sensor data 1120, recognition outputs 1130, population state 1140, authorization state 1150, operator action 1160, actuator feedback 1170, model/configuration version 1180, and registry/treatment-status update 1190.</w:t>
      </w:r>
    </w:p>
    <w:p>
      <w:pPr>
        <w:ind w:left="490" w:hanging="490"/>
        <w:spacing w:after="80" w:line="259" w:lineRule="auto"/>
      </w:pPr>
      <w:r>
        <w:rPr>
          <w:rFonts w:ascii="Times New Roman" w:hAnsi="Times New Roman" w:eastAsia="Times New Roman"/>
          <w:sz w:val="22"/>
        </w:rPr>
        <w:t>[0034] FIG. 12 is a functional diagram of a generic target-animal adaptation 1200 having a common sensor-recognition-authorization-control core 1210, representative terrestrial-mammal module 1220, bird module 1230, reptile/amphibian module 1240, aquatic-vertebrate module 1250, arthropod module 1260, sensor adaptation 1270, treatment adaptation 1280, and non-target/regulatory configuration 1290.</w:t>
      </w:r>
    </w:p>
    <w:p>
      <w:pPr>
        <w:spacing w:before="200" w:after="100"/>
      </w:pPr>
      <w:r>
        <w:rPr>
          <w:rFonts w:ascii="Times New Roman" w:hAnsi="Times New Roman" w:eastAsia="Times New Roman"/>
          <w:b/>
          <w:i w:val="0"/>
          <w:sz w:val="22"/>
        </w:rPr>
        <w:t>DETAILED DESCRIPTION</w:t>
      </w:r>
    </w:p>
    <w:p>
      <w:pPr>
        <w:spacing w:before="180" w:after="90"/>
      </w:pPr>
      <w:r>
        <w:rPr>
          <w:rFonts w:ascii="Times New Roman" w:hAnsi="Times New Roman"/>
          <w:b/>
        </w:rPr>
        <w:t xml:space="preserve">REFERENCE NUMERAL CONVENTION</w:t>
      </w:r>
    </w:p>
    <w:p>
      <w:pPr>
        <w:ind w:left="490" w:hanging="490"/>
        <w:spacing w:after="80" w:line="259" w:lineRule="auto"/>
      </w:pPr>
      <w:r>
        <w:rPr>
          <w:rFonts w:ascii="Times New Roman" w:hAnsi="Times New Roman" w:eastAsia="Times New Roman"/>
          <w:sz w:val="22"/>
        </w:rPr>
        <w:t>[0035] FIG. 1 provides the principal architecture reference. System 100 receives sensor information at sensor subsystem 110, which can include camera 112, microphone 114, and optional other sensor 116. Processing subsystem 120 can include edge processor 122 and remote processor 124. Processing uses model/configuration information 130, optionally updates population registry 140, evaluates conditions at decision engine 150, and controls population-control delivery assembly 170 through treatment controller 160. Operator interface 180 and event log 190 provide review, authorization, and audit functions.</w:t>
      </w:r>
    </w:p>
    <w:p>
      <w:pPr>
        <w:ind w:left="490" w:hanging="490"/>
        <w:spacing w:after="80" w:line="259" w:lineRule="auto"/>
      </w:pPr>
      <w:r>
        <w:rPr>
          <w:rFonts w:ascii="Times New Roman" w:hAnsi="Times New Roman" w:eastAsia="Times New Roman"/>
          <w:sz w:val="22"/>
        </w:rPr>
        <w:t>[0036] FIG. 2 provides recognition-pipeline references. Acquisition 210 and preprocessing 220 supply candidate observations to detection/tracking 230 and target/non-target classification 240. Identity/re-identification 250 and evidence fusion 260 may use audio evidence 262, video evidence 264, or both, and can supply confidence and unknown-state processing 270 before recognition output 280 is made available to decision engine 150.</w:t>
      </w:r>
    </w:p>
    <w:p>
      <w:pPr>
        <w:ind w:left="490" w:hanging="490"/>
        <w:spacing w:after="80" w:line="259" w:lineRule="auto"/>
      </w:pPr>
      <w:r>
        <w:rPr>
          <w:rFonts w:ascii="Times New Roman" w:hAnsi="Times New Roman" w:eastAsia="Times New Roman"/>
          <w:sz w:val="22"/>
        </w:rPr>
        <w:t>[0037] FIG. 3 provides training references. Training corpus 310 can include positive target examples 312 and negative non-target examples 314. Pretraining 320 can precede local observations 330 and local fine-tuning/calibration 340. Validation 350 gates deployment of model 360, and rollback model 370 may be retained.</w:t>
      </w:r>
    </w:p>
    <w:p>
      <w:pPr>
        <w:ind w:left="490" w:hanging="490"/>
        <w:spacing w:after="80" w:line="259" w:lineRule="auto"/>
      </w:pPr>
      <w:r>
        <w:rPr>
          <w:rFonts w:ascii="Times New Roman" w:hAnsi="Times New Roman" w:eastAsia="Times New Roman"/>
          <w:sz w:val="22"/>
        </w:rPr>
        <w:t>[0038] FIGS. 4-7 provide local-population references. Population registry 410 may contain identity records 420 and organize entries into active working set 440, candidate/unknown set 450, and inactive/removed set 460. Candidate 510, active 520, inactive 530, removed 540, and unknown 550 states can be used during population discovery 610 and representation assessment 640. Current observations 720 are matched at 730 against active members 710 before required-member test 740 and unknown/non-target veto 750 produce authorization 760 or inhibition 770.</w:t>
      </w:r>
    </w:p>
    <w:p>
      <w:pPr>
        <w:ind w:left="490" w:hanging="490"/>
        <w:spacing w:after="80" w:line="259" w:lineRule="auto"/>
      </w:pPr>
      <w:r>
        <w:rPr>
          <w:rFonts w:ascii="Times New Roman" w:hAnsi="Times New Roman" w:eastAsia="Times New Roman"/>
          <w:sz w:val="22"/>
        </w:rPr>
        <w:t>[0039] FIG. 8 provides authorization references. Target gate 810, population gate 820, location/schedule gate 830, safety gate 840, and equipment-health gate 850 feed authorization mode 860. A treatment can transition through arm state 870 and execute state 880 and return to disarm/restrict state 890.</w:t>
      </w:r>
    </w:p>
    <w:p>
      <w:pPr>
        <w:ind w:left="490" w:hanging="490"/>
        <w:spacing w:after="80" w:line="259" w:lineRule="auto"/>
      </w:pPr>
      <w:r>
        <w:rPr>
          <w:rFonts w:ascii="Times New Roman" w:hAnsi="Times New Roman" w:eastAsia="Times New Roman"/>
          <w:sz w:val="22"/>
        </w:rPr>
        <w:t>[0040] FIG. 9 provides a representative trough/feed-station embodiment. Population-control station 900 includes monitored trough 930 having conditioning-feed region 932 and treatment-feed region 934, together with recognition-controlled access member 940 and actuator/dispenser 950.</w:t>
      </w:r>
    </w:p>
    <w:p>
      <w:pPr>
        <w:ind w:left="490" w:hanging="490"/>
        <w:spacing w:after="80" w:line="259" w:lineRule="auto"/>
      </w:pPr>
      <w:r>
        <w:rPr>
          <w:rFonts w:ascii="Times New Roman" w:hAnsi="Times New Roman" w:eastAsia="Times New Roman"/>
          <w:sz w:val="22"/>
        </w:rPr>
        <w:t>[0041] FIG. 10 illustrates that the recognition and authorization platform is not limited to one treatment chemistry. Common controller 1000 and treatment interface 1080 may operate the representative treatment classes 1010-1070.</w:t>
      </w:r>
    </w:p>
    <w:p>
      <w:pPr>
        <w:ind w:left="490" w:hanging="490"/>
        <w:spacing w:after="80" w:line="259" w:lineRule="auto"/>
      </w:pPr>
      <w:r>
        <w:rPr>
          <w:rFonts w:ascii="Times New Roman" w:hAnsi="Times New Roman" w:eastAsia="Times New Roman"/>
          <w:sz w:val="22"/>
        </w:rPr>
        <w:t>[0042] FIG. 11 illustrates auditability. Event logger 1110 can associate sensor data 1120, recognition output 1130, population state 1140, authorization state 1150, operator action 1160, actuator feedback 1170, and model/configuration version 1180, and can trigger post-event registry or treatment-status update 1190.</w:t>
      </w:r>
    </w:p>
    <w:p>
      <w:pPr>
        <w:ind w:left="490" w:hanging="490"/>
        <w:spacing w:after="80" w:line="259" w:lineRule="auto"/>
      </w:pPr>
      <w:r>
        <w:rPr>
          <w:rFonts w:ascii="Times New Roman" w:hAnsi="Times New Roman" w:eastAsia="Times New Roman"/>
          <w:sz w:val="22"/>
        </w:rPr>
        <w:t>[0043] FIG. 12 illustrates the broader target-animal genus. Common core 1210 can be adapted through target-class sensor configuration 1270, treatment adaptation 1280, and non-target/regulatory configuration 1290 to representative target-animal modules 1220-1260.</w:t>
      </w:r>
    </w:p>
    <w:p>
      <w:pPr>
        <w:spacing w:before="180" w:after="90"/>
      </w:pPr>
      <w:r>
        <w:rPr>
          <w:b/>
        </w:rPr>
        <w:t>DEFINITIONS AND INTERPRETIVE FRAMEWORK</w:t>
      </w:r>
    </w:p>
    <w:p>
      <w:pPr>
        <w:spacing w:after="80" w:line="259" w:lineRule="auto"/>
        <w:ind w:left="490" w:hanging="490"/>
      </w:pPr>
      <w:r>
        <w:rPr>
          <w:rFonts w:ascii="Times New Roman" w:hAnsi="Times New Roman" w:eastAsia="Times New Roman"/>
          <w:sz w:val="22"/>
        </w:rPr>
        <w:t>[0044] 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sz w:val="22"/>
        </w:rPr>
        <w:t>[0045] 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sz w:val="22"/>
        </w:rPr>
        <w:t>[0046] 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sz w:val="22"/>
        </w:rPr>
        <w:t>[0047] 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sz w:val="22"/>
        </w:rPr>
        <w:t>[0048] 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sz w:val="22"/>
        </w:rPr>
        <w:t>[0049] 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sz w:val="22"/>
        </w:rPr>
        <w:t>[0050] 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sz w:val="22"/>
        </w:rPr>
        <w:t>[0051] 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sz w:val="22"/>
        </w:rPr>
        <w:t>[0052] 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sz w:val="22"/>
        </w:rPr>
        <w:t>[0053] 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[0054] 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sz w:val="22"/>
        </w:rPr>
        <w:t>[0055] "Recognition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sz w:val="22"/>
        </w:rPr>
        <w:t>[0056] 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sz w:val="22"/>
        </w:rPr>
        <w:t>[0057] 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sz w:val="22"/>
        </w:rPr>
        <w:t>[0058] 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sz w:val="22"/>
        </w:rPr>
        <w:t>[0059] 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sz w:val="22"/>
        </w:rPr>
        <w:t>[0060] "Selective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sz w:val="22"/>
        </w:rPr>
        <w:t>[0061] 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sz w:val="22"/>
        </w:rPr>
        <w:t>[0062] 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sz w:val="22"/>
        </w:rPr>
        <w:t>[0063] 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sz w:val="22"/>
        </w:rPr>
        <w:t>[0064] 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sz w:val="22"/>
        </w:rPr>
        <w:t>[0065] 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sz w:val="22"/>
        </w:rPr>
        <w:t>[0066] 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sz w:val="22"/>
        </w:rPr>
        <w:t>[0067] 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sz w:val="22"/>
        </w:rPr>
        <w:t>[0068] 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sz w:val="22"/>
        </w:rPr>
        <w:t>[0069] 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sz w:val="22"/>
        </w:rPr>
        <w:t>[0070] 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sz w:val="22"/>
        </w:rPr>
        <w:t>[0071] 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sz w:val="22"/>
        </w:rPr>
        <w:t>[0072] 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sz w:val="22"/>
        </w:rPr>
        <w:t>[0073] 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sz w:val="22"/>
        </w:rPr>
        <w:t>[0074] 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sz w:val="22"/>
        </w:rPr>
        <w:t>[0075] 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sz w:val="22"/>
        </w:rPr>
        <w:t>[0076] 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sz w:val="22"/>
        </w:rPr>
        <w:t>[0077] 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sz w:val="22"/>
        </w:rPr>
        <w:t>[0078] 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sz w:val="22"/>
        </w:rPr>
        <w:t>[0079] 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sz w:val="22"/>
        </w:rPr>
        <w:t>[0080] 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sz w:val="22"/>
        </w:rPr>
        <w:t>[0081] 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sz w:val="22"/>
        </w:rPr>
        <w:t>[0082] 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sz w:val="22"/>
        </w:rPr>
        <w:t>[0083] 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sz w:val="22"/>
        </w:rPr>
        <w:t>[0084] 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sz w:val="22"/>
        </w:rPr>
        <w:t>[0085] 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sz w:val="22"/>
        </w:rPr>
        <w:t>[0086] 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sz w:val="22"/>
        </w:rPr>
        <w:t>[0087] 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sz w:val="22"/>
        </w:rPr>
        <w:t>[0088] 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[0089] 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sz w:val="22"/>
        </w:rPr>
        <w:t>[0090] 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sz w:val="22"/>
        </w:rPr>
        <w:t>[0091] 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sz w:val="22"/>
        </w:rPr>
        <w:t>[0092] 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sz w:val="22"/>
        </w:rPr>
        <w:t>[0093] 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sz w:val="22"/>
        </w:rPr>
        <w:t>[0094] 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sz w:val="22"/>
        </w:rPr>
        <w:t>[0095] 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sz w:val="22"/>
        </w:rPr>
        <w:t>[0096] 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sz w:val="22"/>
        </w:rPr>
        <w:t>[0097] 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sz w:val="22"/>
        </w:rPr>
        <w:t>[0098] 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sz w:val="22"/>
        </w:rPr>
        <w:t>[0099] 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sz w:val="22"/>
        </w:rPr>
        <w:t>[0100] 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[0101] 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sz w:val="22"/>
        </w:rPr>
        <w:t>[0102] 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sz w:val="22"/>
        </w:rPr>
        <w:t>[0103] 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sz w:val="22"/>
        </w:rPr>
        <w:t>[0104] 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sz w:val="22"/>
        </w:rPr>
        <w:t>[0105] 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sz w:val="22"/>
        </w:rPr>
        <w:t>[0106] 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sz w:val="22"/>
        </w:rPr>
        <w:t>[0107] 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sz w:val="22"/>
        </w:rPr>
        <w:t>[0108] 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sz w:val="22"/>
        </w:rPr>
        <w:t>[0109] 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sz w:val="22"/>
        </w:rPr>
        <w:t>[0110] 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sz w:val="22"/>
        </w:rPr>
        <w:t>[0111] 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sz w:val="22"/>
        </w:rPr>
        <w:t>[0112] 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sz w:val="22"/>
        </w:rPr>
        <w:t>[0113] 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[0114] 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180" w:after="90"/>
      </w:pPr>
      <w:r>
        <w:rPr>
          <w:rFonts w:ascii="Times New Roman" w:hAnsi="Times New Roman"/>
          <w:b/>
        </w:rPr>
        <w:t xml:space="preserve">NON-LIMITING COMPUTATIONAL POPULATION-STATE EXAMPLE</w:t>
      </w:r>
    </w:p>
    <w:p>
      <w:pPr>
        <w:ind w:left="490" w:hanging="490"/>
        <w:spacing w:after="80" w:line="259" w:lineRule="auto"/>
      </w:pPr>
      <w:r>
        <w:rPr>
          <w:rFonts w:ascii="Times New Roman" w:hAnsi="Times New Roman" w:eastAsia="Times New Roman"/>
          <w:sz w:val="22"/>
        </w:rPr>
        <w:t>[0115] In one non-limiting implementation, registry 410 maintains an active-member count N_active, while current-observation matching 730 determines a current-present count N_present for active identities whose most-recent qualifying observation lies within a configured recency window W and satisfies species-confidence and identity-confidence criteria.</w:t>
      </w:r>
    </w:p>
    <w:p>
      <w:pPr>
        <w:ind w:left="490" w:hanging="490"/>
        <w:spacing w:after="80" w:line="259" w:lineRule="auto"/>
      </w:pPr>
      <w:r>
        <w:rPr>
          <w:rFonts w:ascii="Times New Roman" w:hAnsi="Times New Roman" w:eastAsia="Times New Roman"/>
          <w:sz w:val="22"/>
        </w:rPr>
        <w:t>[0116] For an all-active-members-present mode, required-member test 740 may evaluate COMPLETE = TRUE when N_present equals N_active, no unresolved target-animal candidate is assigned unknown/unresolved state 550 within the treatment zone, safety gate 840 is clear, and the registry state is not stale. The expression is an implementation example rather than a required mathematical form.</w:t>
      </w:r>
    </w:p>
    <w:p>
      <w:pPr>
        <w:ind w:left="490" w:hanging="490"/>
        <w:spacing w:after="80" w:line="259" w:lineRule="auto"/>
      </w:pPr>
      <w:r>
        <w:rPr>
          <w:rFonts w:ascii="Times New Roman" w:hAnsi="Times New Roman" w:eastAsia="Times New Roman"/>
          <w:sz w:val="22"/>
        </w:rPr>
        <w:t>[0117] A representation-ready rule can separately require a configured combination of discovery-stabilization evidence before the COMPLETE state is even eligible for use. Representative evidence includes no newly activated identity during a selected number of recent observation sessions, repeated observation of each active member over temporally separated visits, coverage of designated sensor regions or time periods, and operator review.</w:t>
      </w:r>
    </w:p>
    <w:p>
      <w:pPr>
        <w:ind w:left="490" w:hanging="490"/>
        <w:spacing w:after="80" w:line="259" w:lineRule="auto"/>
      </w:pPr>
      <w:r>
        <w:rPr>
          <w:rFonts w:ascii="Times New Roman" w:hAnsi="Times New Roman" w:eastAsia="Times New Roman"/>
          <w:sz w:val="22"/>
        </w:rPr>
        <w:t>[0118] A candidate first observed during a current treatment window can be treated conservatively: the candidate is entered into state 510 or 550, COMPLETE is invalidated, and population discovery 610 resumes until the candidate is associated with an existing identity or promoted/rejected under configured rules.</w:t>
      </w:r>
    </w:p>
    <w:p>
      <w:pPr>
        <w:ind w:left="490" w:hanging="490"/>
        <w:spacing w:after="80" w:line="259" w:lineRule="auto"/>
      </w:pPr>
      <w:r>
        <w:rPr>
          <w:rFonts w:ascii="Times New Roman" w:hAnsi="Times New Roman" w:eastAsia="Times New Roman"/>
          <w:sz w:val="22"/>
        </w:rPr>
        <w:t>[0119] The recency window W may be common to all members or member-specific. It can be shortened when animals can rapidly leave the treatment-access region or lengthened when the physical station constrains movement. Revalidation may be performed continuously, once per sensor frame group, periodically, immediately before actuation, or at multiple points.</w:t>
      </w:r>
    </w:p>
    <w:p>
      <w:pPr>
        <w:ind w:left="490" w:hanging="490"/>
        <w:spacing w:after="80" w:line="259" w:lineRule="auto"/>
        <w:shd w:fill="FFF2CC"/>
        <w:shd w:fill="FFF2CC"/>
        <w:shd w:fill="FFF2CC"/>
        <w:shd w:fill="FFF2CC"/>
      </w:pPr>
      <w:r>
        <w:rPr>
          <w:rFonts w:ascii="Times New Roman" w:hAnsi="Times New Roman" w:eastAsia="Times New Roman"/>
          <w:i/>
          <w:sz w:val="22"/>
        </w:rPr>
        <w:t>[0120] INVENTOR CONFIRMATION REQUIRED: the foregoing N_active/N_present formulation is a non-limiting formalization of the disclosed 'all local members' concept. Before filing, the inventors should confirm or revise the intended operational completeness rule, discovery-stabilization rule, unknown-animal rule, and active/inactive transition logic.</w:t>
      </w:r>
    </w:p>
    <w:p>
      <w:pPr>
        <w:spacing w:before="180" w:after="90"/>
      </w:pPr>
      <w:r>
        <w:rPr>
          <w:rFonts w:ascii="Times New Roman" w:hAnsi="Times New Roman"/>
          <w:b/>
        </w:rPr>
        <w:t xml:space="preserve">LONGITUDINAL POPULATION-MEMBERSHIP INFERENCE, COVERAGE, AND VERSIONED AUTHORIZATION</w:t>
      </w:r>
    </w:p>
    <w:p>
      <w:pPr>
        <w:ind w:left="490" w:hanging="490"/>
        <w:spacing w:after="80" w:line="259" w:lineRule="auto"/>
      </w:pPr>
      <w:r>
        <w:rPr>
          <w:rFonts w:ascii="Times New Roman" w:hAnsi="Times New Roman" w:eastAsia="Times New Roman"/>
          <w:sz w:val="22"/>
        </w:rPr>
        <w:t>[0121] In some embodiments, the population-control decision is divided into at least two logically distinct determinations: a population-representation determination concerning whether the system has accumulated enough longitudinal evidence to use a working population set for a selected group-directed operation, and a current-completeness determination concerning whether the members required by that working population set are sufficiently represented in current sensor observations. Separating these determinations prevents a single crowded observation from being treated as proof that the local population has been adequately learned.</w:t>
      </w:r>
    </w:p>
    <w:p>
      <w:pPr>
        <w:ind w:left="490" w:hanging="490"/>
        <w:spacing w:after="80" w:line="259" w:lineRule="auto"/>
      </w:pPr>
      <w:r>
        <w:rPr>
          <w:rFonts w:ascii="Times New Roman" w:hAnsi="Times New Roman" w:eastAsia="Times New Roman"/>
          <w:sz w:val="22"/>
        </w:rPr>
        <w:t>[0122] An observation session may be defined by a continuous sensing interval, a visit to the population-control station, a time-bounded sequence of related detections, a period beginning when a first feral pig enters a monitored region and ending after a selected absence interval, or another configured session boundary. For each session, the system may store a session identifier, sensor identifiers, time information, environmental or illumination information, sensor-health information, a coverage descriptor, detected tracks, candidate identity associations, unresolved detections, and a reference to the model and configuration version used to process the session.</w:t>
      </w:r>
    </w:p>
    <w:p>
      <w:pPr>
        <w:ind w:left="490" w:hanging="490"/>
        <w:spacing w:after="80" w:line="259" w:lineRule="auto"/>
      </w:pPr>
      <w:r>
        <w:rPr>
          <w:rFonts w:ascii="Times New Roman" w:hAnsi="Times New Roman" w:eastAsia="Times New Roman"/>
          <w:sz w:val="22"/>
        </w:rPr>
        <w:t>[0123] A session can be designated a qualifying observation opportunity only when the sensor information is sufficient for the population-state inference intended to use the session. In one example, a qualifying opportunity requires that one or more designated observation regions are within sensor coverage, required sensors are healthy, image or audio quality exceeds a selected quality criterion, and an obstruction, communication failure, or other condition does not materially prevent target-animal observation. A nonqualifying session may still be logged and used for other purposes but need not count as evidence that a previously learned member was absent.</w:t>
      </w:r>
    </w:p>
    <w:p>
      <w:pPr>
        <w:ind w:left="490" w:hanging="490"/>
        <w:spacing w:after="80" w:line="259" w:lineRule="auto"/>
      </w:pPr>
      <w:r>
        <w:rPr>
          <w:rFonts w:ascii="Times New Roman" w:hAnsi="Times New Roman" w:eastAsia="Times New Roman"/>
          <w:sz w:val="22"/>
        </w:rPr>
        <w:t>[0124] For individual association, the system may generate, for each observed feral-pig track, an identity evidence vector including one or more visual features, acoustic features, morphological features, behavioral features, spatial features, temporal features, group-association features, or combinations thereof. A candidate association score may be generated between the observed track and each eligible identity record. The system may then apply a one-to-one association rule such that one current track is not simultaneously used to satisfy two different active identity records and two conflicting tracks are not silently collapsed into a single identity merely because each exceeds an independent pairwise threshold.</w:t>
      </w:r>
    </w:p>
    <w:p>
      <w:pPr>
        <w:ind w:left="490" w:hanging="490"/>
        <w:spacing w:after="80" w:line="259" w:lineRule="auto"/>
      </w:pPr>
      <w:r>
        <w:rPr>
          <w:rFonts w:ascii="Times New Roman" w:hAnsi="Times New Roman" w:eastAsia="Times New Roman"/>
          <w:sz w:val="22"/>
        </w:rPr>
        <w:t>[0125] Where multiple cameras, microphones, or overlapping sensor regions observe the same animal, the system may reconcile temporally and spatially compatible tracks before determining the number of currently observed members. Track reconciliation may use time synchronization, location estimates, direction of travel, appearance embeddings, acoustic localization, shared event identifiers, or other correlation evidence. This can reduce double counting when the same feral pig is observed by more than one sensor and can reduce false completeness findings caused by duplicate detections.</w:t>
      </w:r>
    </w:p>
    <w:p>
      <w:pPr>
        <w:ind w:left="490" w:hanging="490"/>
        <w:spacing w:after="80" w:line="259" w:lineRule="auto"/>
      </w:pPr>
      <w:r>
        <w:rPr>
          <w:rFonts w:ascii="Times New Roman" w:hAnsi="Times New Roman" w:eastAsia="Times New Roman"/>
          <w:sz w:val="22"/>
        </w:rPr>
        <w:t>[0126] Population registry 410 may be maintained as a versioned data structure. A registry version can identify a particular set of active identity records together with the membership and status information used by a population-presence determination. A material change such as activation of a new identity, inactivation or removal of an identity, merge or split of identity records, correction of a mistaken association, or change of a required-member designation can increment or otherwise change the registry version.</w:t>
      </w:r>
    </w:p>
    <w:p>
      <w:pPr>
        <w:ind w:left="490" w:hanging="490"/>
        <w:spacing w:after="80" w:line="259" w:lineRule="auto"/>
      </w:pPr>
      <w:r>
        <w:rPr>
          <w:rFonts w:ascii="Times New Roman" w:hAnsi="Times New Roman" w:eastAsia="Times New Roman"/>
          <w:sz w:val="22"/>
        </w:rPr>
        <w:t>[0127] In one non-limiting representation-ready implementation, the system does not permit an exact-completeness authorization until a configured number of qualifying observation opportunities has occurred and the discovery of new recurring identities has stabilized. Stabilization can be evaluated using one or more conditions such as no newly activated identity during a selected number of recent qualifying sessions, repeated observation of each active identity during temporally separated sessions, observation across selected time periods or sensor regions, a declining new-identity discovery rate, or operator confirmation. No particular numeric count is required unless selected for a particular deployment.</w:t>
      </w:r>
    </w:p>
    <w:p>
      <w:pPr>
        <w:ind w:left="490" w:hanging="490"/>
        <w:spacing w:after="80" w:line="259" w:lineRule="auto"/>
      </w:pPr>
      <w:r>
        <w:rPr>
          <w:rFonts w:ascii="Times New Roman" w:hAnsi="Times New Roman" w:eastAsia="Times New Roman"/>
          <w:sz w:val="22"/>
        </w:rPr>
        <w:t>[0128] An identity can transition from active state 520 to inactive state 530 based on evidence stronger than mere elapsed time. For example, the system may require repeated absence during qualifying observation opportunities in which the member reasonably would have been observable, evidence of removal or mortality, sustained change in group association, operator confirmation, or a combination thereof. Conversely, a candidate or inactive identity can be activated or reactivated when later observations satisfy configured association and membership criteria.</w:t>
      </w:r>
    </w:p>
    <w:p>
      <w:pPr>
        <w:ind w:left="490" w:hanging="490"/>
        <w:spacing w:after="80" w:line="259" w:lineRule="auto"/>
      </w:pPr>
      <w:r>
        <w:rPr>
          <w:rFonts w:ascii="Times New Roman" w:hAnsi="Times New Roman" w:eastAsia="Times New Roman"/>
          <w:sz w:val="22"/>
        </w:rPr>
        <w:t>[0129] After the representation-ready state has been established, current observations 720 can be processed into a current-present set P(t) and compared with an active-member set A(v) associated with registry version v. In an exact-completeness mode, the system may determine COMPLETE(v,t)=TRUE only when every required identity in A(v) has a distinct associated current observation satisfying a selected recency rule, no unresolved feral-pig observation is present in a treatment zone, required sensor coverage and equipment health are satisfactory, and no applicable non-target veto is active. This expression is an implementation example and does not require literal use of the stated notation.</w:t>
      </w:r>
    </w:p>
    <w:p>
      <w:pPr>
        <w:ind w:left="490" w:hanging="490"/>
        <w:spacing w:after="80" w:line="259" w:lineRule="auto"/>
      </w:pPr>
      <w:r>
        <w:rPr>
          <w:rFonts w:ascii="Times New Roman" w:hAnsi="Times New Roman" w:eastAsia="Times New Roman"/>
          <w:sz w:val="22"/>
        </w:rPr>
        <w:t>[0130] A recency rule may be global or member-specific. For example, an identity can remain current for a selected interval after a qualifying observation when the physical geometry of the treatment station makes it unlikely that the animal has left the treatment-access region, whereas a shorter interval or continuous observation can be required where an animal can rapidly enter or leave the region. The system may use position tracking or geofenced subregions to determine whether a previously matched member remains within the area relevant to treatment authorization.</w:t>
      </w:r>
    </w:p>
    <w:p>
      <w:pPr>
        <w:ind w:left="490" w:hanging="490"/>
        <w:spacing w:after="80" w:line="259" w:lineRule="auto"/>
      </w:pPr>
      <w:r>
        <w:rPr>
          <w:rFonts w:ascii="Times New Roman" w:hAnsi="Times New Roman" w:eastAsia="Times New Roman"/>
          <w:sz w:val="22"/>
        </w:rPr>
        <w:t>[0131] An observed feral pig that cannot be associated with an existing active identity at a required confidence can be designated unresolved and placed in candidate/unknown set 450 or state 550. In an exact-completeness mode, presence of such an unresolved feral pig can inhibit treatment even when all previously active identities are otherwise matched. The system may collect additional evidence, request operator review, associate the observation with an existing identity, create a new identity record, or return to population-discovery mode before later reevaluating completeness.</w:t>
      </w:r>
    </w:p>
    <w:p>
      <w:pPr>
        <w:ind w:left="490" w:hanging="490"/>
        <w:spacing w:after="80" w:line="259" w:lineRule="auto"/>
      </w:pPr>
      <w:r>
        <w:rPr>
          <w:rFonts w:ascii="Times New Roman" w:hAnsi="Times New Roman" w:eastAsia="Times New Roman"/>
          <w:sz w:val="22"/>
        </w:rPr>
        <w:t>[0132] When the completeness condition is satisfied, decision engine 150 may create a treatment-authorization record or token associated with at least the registry version used for the determination. The record may additionally identify the population criterion version, recognition-model version, configuration version, monitored location, treatment interface, time of authorization, required-member set, safety state, or operator authorization. Treatment controller 160 can refuse execution if the current registry version or another required authorization field no longer matches the state on which authorization was based.</w:t>
      </w:r>
    </w:p>
    <w:p>
      <w:pPr>
        <w:ind w:left="490" w:hanging="490"/>
        <w:spacing w:after="80" w:line="259" w:lineRule="auto"/>
      </w:pPr>
      <w:r>
        <w:rPr>
          <w:rFonts w:ascii="Times New Roman" w:hAnsi="Times New Roman" w:eastAsia="Times New Roman"/>
          <w:sz w:val="22"/>
        </w:rPr>
        <w:t>[0133] Authorization can be revalidated at multiple stages, including before arming, immediately before opening or dispensing, periodically during an exposure interval, and before a subsequent dispensing event. Revalidation may invalidate or revoke authorization when a required member leaves the relevant region, a new or unresolved pig appears, a non-target animal enters the region, a sensor becomes unavailable, a model or configuration changes, a population-record correction changes the required-member set, an actuator-health condition fails, or another configured veto occurs. A fail-safe implementation returns the delivery assembly to a restricted or inhibited state upon revocation.</w:t>
      </w:r>
    </w:p>
    <w:p>
      <w:pPr>
        <w:ind w:left="490" w:hanging="490"/>
        <w:spacing w:after="80" w:line="259" w:lineRule="auto"/>
      </w:pPr>
      <w:r>
        <w:rPr>
          <w:rFonts w:ascii="Times New Roman" w:hAnsi="Times New Roman" w:eastAsia="Times New Roman"/>
          <w:sz w:val="22"/>
        </w:rPr>
        <w:t>[0134] The same population-state architecture can support modes other than exact all-active-members-present treatment. A configured operation may instead require a designated subgroup, a selected treated-status subset, a minimum fraction, a minimum number, or a member-specific treatment schedule. The mode used for a particular control operation can be stored as part of the criterion configuration so that a claim or embodiment directed to exact completeness is not confused with embodiments using another population-state rule.</w:t>
      </w:r>
    </w:p>
    <w:p>
      <w:pPr>
        <w:ind w:left="490" w:hanging="490"/>
        <w:spacing w:after="80" w:line="259" w:lineRule="auto"/>
      </w:pPr>
      <w:r>
        <w:rPr>
          <w:rFonts w:ascii="Times New Roman" w:hAnsi="Times New Roman" w:eastAsia="Times New Roman"/>
          <w:sz w:val="22"/>
        </w:rPr>
        <w:t>[0135] Event logger 1110 may retain the registry version, identity associations, unresolved observations, coverage result, completeness result, authorization record, actuator state, sensor-health state, and later population-registry changes for a treatment event. These records can permit later reconstruction of why treatment was enabled or inhibited and can provide evidence for recalibration, correction of identity associations, population-registry maintenance, and operator review.</w:t>
      </w:r>
    </w:p>
    <w:p>
      <w:pPr>
        <w:ind w:left="490" w:hanging="490"/>
        <w:spacing w:after="80" w:line="259" w:lineRule="auto"/>
        <w:shd w:fill="FFF2CC"/>
        <w:shd w:fill="FFF2CC"/>
      </w:pPr>
      <w:r>
        <w:rPr>
          <w:rFonts w:ascii="Times New Roman" w:hAnsi="Times New Roman" w:eastAsia="Times New Roman"/>
          <w:i/>
          <w:sz w:val="22"/>
        </w:rPr>
        <w:t>[0136] INVENTOR CONFIRMATION REQUIRED: the specific session, observation-opportunity, one-to-one association, registry-version, stabilization, active/inactive transition, COMPLETE(v,t), authorization-record, and revalidation examples above are drafting formalizations of the inventor-directed concept of learning a local feral-pig population over time and treating only after a population condition is satisfied. Before filing, the inventors should confirm which of these mechanisms reflect their actual conception, revise any mechanism that does not, and identify any different operational rule actually contemplated.</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sz w:val="22"/>
        </w:rPr>
        <w:t>[0137] 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sz w:val="22"/>
        </w:rPr>
        <w:t>[0138] 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sz w:val="22"/>
        </w:rPr>
        <w:t>[0139] 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sz w:val="22"/>
        </w:rPr>
        <w:t>[0140] 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sz w:val="22"/>
        </w:rPr>
        <w:t>[0141] 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sz w:val="22"/>
        </w:rPr>
        <w:t>[0142] 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sz w:val="22"/>
        </w:rPr>
        <w:t>[0143] 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sz w:val="22"/>
        </w:rPr>
        <w:t>[0144] 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sz w:val="22"/>
        </w:rPr>
        <w:t>[0145] 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sz w:val="22"/>
        </w:rPr>
        <w:t>[0146] 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sz w:val="22"/>
        </w:rPr>
        <w:t>[0147] 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sz w:val="22"/>
        </w:rPr>
        <w:t>[0148] 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sz w:val="22"/>
        </w:rPr>
        <w:t>[0149] 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sz w:val="22"/>
        </w:rPr>
        <w:t>[0150] 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[0151] 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sz w:val="22"/>
        </w:rPr>
        <w:t>[0152] 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sz w:val="22"/>
        </w:rPr>
        <w:t>[0153] 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sz w:val="22"/>
        </w:rPr>
        <w:t>[0154] 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[0155] 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[0156] 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sz w:val="22"/>
        </w:rPr>
        <w:t>[0157] 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sz w:val="22"/>
        </w:rPr>
        <w:t>[0158] 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sz w:val="22"/>
        </w:rPr>
        <w:t>[0159] 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sz w:val="22"/>
        </w:rPr>
        <w:t>[0160] 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[0161] 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180" w:after="90"/>
      </w:pPr>
      <w:r>
        <w:rPr>
          <w:rFonts w:ascii="Times New Roman" w:hAnsi="Times New Roman"/>
          <w:b/>
        </w:rPr>
        <w:t xml:space="preserve">ADDITIONAL TREATMENT-SPECIES SUPPORT AND LIMITATIONS</w:t>
      </w:r>
    </w:p>
    <w:p>
      <w:pPr>
        <w:ind w:left="490" w:hanging="490"/>
        <w:spacing w:after="80" w:line="259" w:lineRule="auto"/>
      </w:pPr>
      <w:r>
        <w:rPr>
          <w:rFonts w:ascii="Times New Roman" w:hAnsi="Times New Roman" w:eastAsia="Times New Roman"/>
          <w:sz w:val="22"/>
        </w:rPr>
        <w:t>[0162] Sodium nitrite is a concrete predetermined-toxicant example for feral-swine control research. Published feral-swine literature reports that pigs can exhibit greater susceptibility to sodium-nitrite-induced methemoglobinemia than a number of other wildlife species, while also recognizing material non-target risk. Accordingly, sodium nitrite is disclosed here as a predetermined toxicant and as an example of differential target susceptibility, but it is not relied upon as proof that a toxicant is intrinsically exclusive to feral pigs.</w:t>
      </w:r>
    </w:p>
    <w:p>
      <w:pPr>
        <w:ind w:left="490" w:hanging="490"/>
        <w:spacing w:after="80" w:line="259" w:lineRule="auto"/>
      </w:pPr>
      <w:r>
        <w:rPr>
          <w:rFonts w:ascii="Times New Roman" w:hAnsi="Times New Roman" w:eastAsia="Times New Roman"/>
          <w:sz w:val="22"/>
        </w:rPr>
        <w:t>[0163] A species-selective-toxicant embodiment 1030 is therefore broader conceptually than sodium nitrite and requires an adequately identified toxicant or treatment class whose biological, metabolic, activation, receptor, enzymatic, formulation, or other property produces a materially different toxic effect in the target species under intended use conditions. Recognition-gated physical access can be combined with such toxicological selectivity.</w:t>
      </w:r>
    </w:p>
    <w:p>
      <w:pPr>
        <w:ind w:left="490" w:hanging="490"/>
        <w:spacing w:after="80" w:line="259" w:lineRule="auto"/>
      </w:pPr>
      <w:r>
        <w:rPr>
          <w:rFonts w:ascii="Times New Roman" w:hAnsi="Times New Roman" w:eastAsia="Times New Roman"/>
          <w:sz w:val="22"/>
        </w:rPr>
        <w:t>[0164] USDA wildlife-population research provides concrete reproductive-control examples relevant to treatment class 1040. Representative classes include GnRH immunocontraception, porcine zona pellucida immunocontraception, and chemical fertility-control approaches such as diazacon. A recognition-gated system can support these treatments by selecting target animals, maintaining treatment-status records, scheduling repeat treatment opportunities, and excluding non-target animals.</w:t>
      </w:r>
    </w:p>
    <w:p>
      <w:pPr>
        <w:ind w:left="490" w:hanging="490"/>
        <w:spacing w:after="80" w:line="259" w:lineRule="auto"/>
      </w:pPr>
      <w:r>
        <w:rPr>
          <w:rFonts w:ascii="Times New Roman" w:hAnsi="Times New Roman" w:eastAsia="Times New Roman"/>
          <w:sz w:val="22"/>
        </w:rPr>
        <w:t>[0165] A GnRH immunocontraceptive embodiment may use a treatment that induces antibodies against gonadotropin-releasing hormone and thereby suppresses reproductive endocrine signaling. USDA has reported GnRH/GonaCon technology in domestic and feral swine as well as other wildlife. The patent architecture is not limited to GonaCon or to an injection route.</w:t>
      </w:r>
    </w:p>
    <w:p>
      <w:pPr>
        <w:ind w:left="490" w:hanging="490"/>
        <w:spacing w:after="80" w:line="259" w:lineRule="auto"/>
      </w:pPr>
      <w:r>
        <w:rPr>
          <w:rFonts w:ascii="Times New Roman" w:hAnsi="Times New Roman" w:eastAsia="Times New Roman"/>
          <w:sz w:val="22"/>
        </w:rPr>
        <w:t>[0166] Where an injectable reproductive-control treatment is selected, population registry 410 and operator interface 180 can support identification, capture, operator-directed administration, and later treatment-status update 1190. Where a compatible orally deliverable reproductive-control treatment is selected, trough 930 and treatment-feed region 934 may provide recognition-gated access.</w:t>
      </w:r>
    </w:p>
    <w:p>
      <w:pPr>
        <w:ind w:left="490" w:hanging="490"/>
        <w:spacing w:after="80" w:line="259" w:lineRule="auto"/>
        <w:shd w:fill="FFF2CC"/>
        <w:shd w:fill="FFF2CC"/>
        <w:shd w:fill="FFF2CC"/>
        <w:shd w:fill="FFF2CC"/>
      </w:pPr>
      <w:r>
        <w:rPr>
          <w:rFonts w:ascii="Times New Roman" w:hAnsi="Times New Roman" w:eastAsia="Times New Roman"/>
          <w:i/>
          <w:sz w:val="22"/>
        </w:rPr>
        <w:t>[0167] INVENTOR CONFIRMATION REQUIRED: oral or nasal GnRH delivery and other reproductive-control chemistries are active research areas. The filing should not represent a particular oral formulation, dose, efficacy result, or field protocol as inventor-developed unless the inventors actually conceived and can enable it.</w:t>
      </w:r>
    </w:p>
    <w:p>
      <w:pPr>
        <w:ind w:left="490" w:hanging="490"/>
        <w:spacing w:after="80" w:line="259" w:lineRule="auto"/>
      </w:pPr>
      <w:r>
        <w:rPr>
          <w:rFonts w:ascii="Times New Roman" w:hAnsi="Times New Roman" w:eastAsia="Times New Roman"/>
          <w:sz w:val="22"/>
        </w:rPr>
        <w:t>[0168] Genetic-modification treatment 1050 is retained as a population-control branch because the inventor expressly contemplated genetic modification as a population-control means. Public genetic-biocontrol literature describes broad population-suppression concepts including fertility reduction, inheritance bias, sex-ratio alteration, and gene-expression modification in pest populations.</w:t>
      </w:r>
    </w:p>
    <w:p>
      <w:pPr>
        <w:ind w:left="490" w:hanging="490"/>
        <w:spacing w:after="80" w:line="259" w:lineRule="auto"/>
      </w:pPr>
      <w:r>
        <w:rPr>
          <w:rFonts w:ascii="Times New Roman" w:hAnsi="Times New Roman" w:eastAsia="Times New Roman"/>
          <w:sz w:val="22"/>
        </w:rPr>
        <w:t>[0169] For this working draft, genetic-modification treatment 1050 may therefore encompass a somatic treatment that alters expression in a treated animal, a heritable treatment intended to reduce fertility or viability, or a genetic-biocontrol strategy intended to change inheritance or sex ratio. No particular nuclease sequence, guide sequence, vector, target locus, molecular construct, dose, or release protocol is supplied solely by this AI-assisted drafting process.</w:t>
      </w:r>
    </w:p>
    <w:p>
      <w:pPr>
        <w:ind w:left="490" w:hanging="490"/>
        <w:spacing w:after="80" w:line="259" w:lineRule="auto"/>
        <w:shd w:fill="FFF2CC"/>
        <w:shd w:fill="FFF2CC"/>
        <w:shd w:fill="FFF2CC"/>
        <w:shd w:fill="FFF2CC"/>
      </w:pPr>
      <w:r>
        <w:rPr>
          <w:rFonts w:ascii="Times New Roman" w:hAnsi="Times New Roman" w:eastAsia="Times New Roman"/>
          <w:i/>
          <w:sz w:val="22"/>
        </w:rPr>
        <w:t>[0170] INVENTOR CONFIRMATION REQUIRED - BLOCKING FOR BROAD GENETIC CLAIMS: before relying on the genetic-modification branch for an early filing date, the inventors should identify the actual genetic-control mechanism they conceived, the biological effect to be produced, a technically plausible delivery route, and enough implementation detail to show possession and enablement of the scope intended for later claims. Otherwise, the branch should remain explicitly provisional/speculative or be deferred to a later-supported filing.</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sz w:val="22"/>
        </w:rPr>
        <w:t>[0171] 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sz w:val="22"/>
        </w:rPr>
        <w:t>[0172] 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sz w:val="22"/>
        </w:rPr>
        <w:t>[0173] 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sz w:val="22"/>
        </w:rPr>
        <w:t>[0174] 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sz w:val="22"/>
        </w:rPr>
        <w:t>[0175] 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sz w:val="22"/>
        </w:rPr>
        <w:t>[0176] 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sz w:val="22"/>
        </w:rPr>
        <w:t>[0177] 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sz w:val="22"/>
        </w:rPr>
        <w:t>[0178] 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sz w:val="22"/>
        </w:rPr>
        <w:t>[0179] 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sz w:val="22"/>
        </w:rPr>
        <w:t>[0180] 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sz w:val="22"/>
        </w:rPr>
        <w:t>[0181] 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sz w:val="22"/>
        </w:rPr>
        <w:t>[0182] 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sz w:val="22"/>
        </w:rPr>
        <w:t>[0183] 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sz w:val="22"/>
        </w:rPr>
        <w:t>[0184] 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sz w:val="22"/>
        </w:rPr>
        <w:t>[0185] 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sz w:val="22"/>
        </w:rPr>
        <w:t>[0186] 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sz w:val="22"/>
        </w:rPr>
        <w:t>[0187] 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sz w:val="22"/>
        </w:rPr>
        <w:t>[0188] 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sz w:val="22"/>
        </w:rPr>
        <w:t>[0189] 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sz w:val="22"/>
        </w:rPr>
        <w:t>[0190] 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sz w:val="22"/>
        </w:rPr>
        <w:t>[0191] 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sz w:val="22"/>
        </w:rPr>
        <w:t>[0192] 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sz w:val="22"/>
        </w:rPr>
        <w:t>[0193] 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sz w:val="22"/>
        </w:rPr>
        <w:t>[0194] 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sz w:val="22"/>
        </w:rPr>
        <w:t>[0195] 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sz w:val="22"/>
        </w:rPr>
        <w:t>[0196] 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sz w:val="22"/>
        </w:rPr>
        <w:t>[0197] 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sz w:val="22"/>
        </w:rPr>
        <w:t>[0198] 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sz w:val="22"/>
        </w:rPr>
        <w:t>[0199] 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sz w:val="22"/>
        </w:rPr>
        <w:t>[0200] 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sz w:val="22"/>
        </w:rPr>
        <w:t>[0201] 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sz w:val="22"/>
        </w:rPr>
        <w:t>[0202] 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[0203] 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sz w:val="22"/>
        </w:rPr>
        <w:t>[0204] 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sz w:val="22"/>
        </w:rPr>
        <w:t>[0205] 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sz w:val="22"/>
        </w:rPr>
        <w:t>[0206] 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[0207] 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sz w:val="22"/>
        </w:rPr>
        <w:t>[0208] 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sz w:val="22"/>
        </w:rPr>
        <w:t>[0209] 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sz w:val="22"/>
        </w:rPr>
        <w:t>[0210] 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sz w:val="22"/>
        </w:rPr>
        <w:t>[0211] 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sz w:val="22"/>
        </w:rPr>
        <w:t>[0212] 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sz w:val="22"/>
        </w:rPr>
        <w:t>[0213] 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sz w:val="22"/>
        </w:rPr>
        <w:t>[0214] 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sz w:val="22"/>
        </w:rPr>
        <w:t>[0215] 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sz w:val="22"/>
        </w:rPr>
        <w:t>[0216] 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sz w:val="22"/>
        </w:rPr>
        <w:t>[0217] 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sz w:val="22"/>
        </w:rPr>
        <w:t>[0218] 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sz w:val="22"/>
        </w:rPr>
        <w:t>[0219] 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sz w:val="22"/>
        </w:rPr>
        <w:t>[0220] 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sz w:val="22"/>
        </w:rPr>
        <w:t>[0221] 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sz w:val="22"/>
        </w:rPr>
        <w:t>[0222] 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sz w:val="22"/>
        </w:rPr>
        <w:t>[0223] 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sz w:val="22"/>
        </w:rPr>
        <w:t>[0224] 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sz w:val="22"/>
        </w:rPr>
        <w:t>[0225] 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sz w:val="22"/>
        </w:rPr>
        <w:t>[0226] 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sz w:val="22"/>
        </w:rPr>
        <w:t>[0227] 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sz w:val="22"/>
        </w:rPr>
        <w:t>[0228] 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sz w:val="22"/>
        </w:rPr>
        <w:t>[0229] 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sz w:val="22"/>
        </w:rPr>
        <w:t>[0230] 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sz w:val="22"/>
        </w:rPr>
        <w:t>[0231] 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sz w:val="22"/>
        </w:rPr>
        <w:t>[0232] 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sz w:val="22"/>
        </w:rPr>
        <w:t>[0233] 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sz w:val="22"/>
        </w:rPr>
        <w:t>[0234] 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sz w:val="22"/>
        </w:rPr>
        <w:t>[0235] 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sz w:val="22"/>
        </w:rPr>
        <w:t>[0236] 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sz w:val="22"/>
        </w:rPr>
        <w:t>[0237] 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sz w:val="22"/>
        </w:rPr>
        <w:t>[0238] 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sz w:val="22"/>
        </w:rPr>
        <w:t>[0239] 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sz w:val="22"/>
        </w:rPr>
        <w:t>[0240] 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sz w:val="22"/>
        </w:rPr>
        <w:t>[0241] 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sz w:val="22"/>
        </w:rPr>
        <w:t>[0242] 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sz w:val="22"/>
        </w:rPr>
        <w:t>[0243] 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rPr>
          <w:rFonts w:ascii="Times New Roman" w:hAnsi="Times New Roman" w:eastAsia="Times New Roman"/>
          <w:sz w:val="22"/>
        </w:rPr>
        <w:t>[0244] 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rPr>
          <w:rFonts w:ascii="Times New Roman" w:hAnsi="Times New Roman" w:eastAsia="Times New Roman"/>
          <w:sz w:val="22"/>
        </w:rPr>
        <w:t>[0245] 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rPr>
          <w:rFonts w:ascii="Times New Roman" w:hAnsi="Times New Roman" w:eastAsia="Times New Roman"/>
          <w:sz w:val="22"/>
        </w:rPr>
        <w:t>[0246] 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rPr>
          <w:rFonts w:ascii="Times New Roman" w:hAnsi="Times New Roman" w:eastAsia="Times New Roman"/>
          <w:sz w:val="22"/>
        </w:rPr>
        <w:t>[0247] 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rPr>
          <w:rFonts w:ascii="Times New Roman" w:hAnsi="Times New Roman" w:eastAsia="Times New Roman"/>
          <w:sz w:val="22"/>
        </w:rPr>
        <w:t>[0248] 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rPr>
          <w:rFonts w:ascii="Times New Roman" w:hAnsi="Times New Roman" w:eastAsia="Times New Roman"/>
          <w:sz w:val="22"/>
        </w:rPr>
        <w:t>[0249] 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rPr>
          <w:rFonts w:ascii="Times New Roman" w:hAnsi="Times New Roman" w:eastAsia="Times New Roman"/>
          <w:sz w:val="22"/>
        </w:rPr>
        <w:t>[0250] 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rPr>
          <w:rFonts w:ascii="Times New Roman" w:hAnsi="Times New Roman" w:eastAsia="Times New Roman"/>
          <w:sz w:val="22"/>
        </w:rPr>
        <w:t>[0251] 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rPr>
          <w:rFonts w:ascii="Times New Roman" w:hAnsi="Times New Roman" w:eastAsia="Times New Roman"/>
          <w:sz w:val="22"/>
        </w:rPr>
        <w:t>[0252] 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rPr>
          <w:rFonts w:ascii="Times New Roman" w:hAnsi="Times New Roman" w:eastAsia="Times New Roman"/>
          <w:sz w:val="22"/>
        </w:rPr>
        <w:t>[0253] 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rPr>
          <w:rFonts w:ascii="Times New Roman" w:hAnsi="Times New Roman" w:eastAsia="Times New Roman"/>
          <w:sz w:val="22"/>
        </w:rPr>
        <w:t>[0254] 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rPr>
          <w:rFonts w:ascii="Times New Roman" w:hAnsi="Times New Roman" w:eastAsia="Times New Roman"/>
          <w:sz w:val="22"/>
        </w:rPr>
        <w:t>[0255] 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rPr>
          <w:rFonts w:ascii="Times New Roman" w:hAnsi="Times New Roman" w:eastAsia="Times New Roman"/>
          <w:sz w:val="22"/>
        </w:rPr>
        <w:t>[0256] 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rPr>
          <w:rFonts w:ascii="Times New Roman" w:hAnsi="Times New Roman" w:eastAsia="Times New Roman"/>
          <w:sz w:val="22"/>
        </w:rPr>
        <w:t>[0257] 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rPr>
          <w:rFonts w:ascii="Times New Roman" w:hAnsi="Times New Roman" w:eastAsia="Times New Roman"/>
          <w:sz w:val="22"/>
        </w:rPr>
        <w:t>[0258] 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rPr>
          <w:rFonts w:ascii="Times New Roman" w:hAnsi="Times New Roman" w:eastAsia="Times New Roman"/>
          <w:sz w:val="22"/>
        </w:rPr>
        <w:t>[0259] 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rPr>
          <w:rFonts w:ascii="Times New Roman" w:hAnsi="Times New Roman" w:eastAsia="Times New Roman"/>
          <w:sz w:val="22"/>
        </w:rPr>
        <w:t>[0260] 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rPr>
          <w:rFonts w:ascii="Times New Roman" w:hAnsi="Times New Roman" w:eastAsia="Times New Roman"/>
          <w:sz w:val="22"/>
        </w:rPr>
        <w:t>[0261] 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rPr>
          <w:rFonts w:ascii="Times New Roman" w:hAnsi="Times New Roman" w:eastAsia="Times New Roman"/>
          <w:sz w:val="22"/>
        </w:rPr>
        <w:t>[0262] 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rPr>
          <w:rFonts w:ascii="Times New Roman" w:hAnsi="Times New Roman" w:eastAsia="Times New Roman"/>
          <w:sz w:val="22"/>
        </w:rPr>
        <w:t>[0263] 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rPr>
          <w:rFonts w:ascii="Times New Roman" w:hAnsi="Times New Roman" w:eastAsia="Times New Roman"/>
          <w:sz w:val="22"/>
        </w:rPr>
        <w:t>[0264] 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rPr>
          <w:rFonts w:ascii="Times New Roman" w:hAnsi="Times New Roman" w:eastAsia="Times New Roman"/>
          <w:sz w:val="22"/>
        </w:rPr>
        <w:t>[0265] 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rPr>
          <w:rFonts w:ascii="Times New Roman" w:hAnsi="Times New Roman" w:eastAsia="Times New Roman"/>
          <w:sz w:val="22"/>
        </w:rPr>
        <w:t>[0266] 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rPr>
          <w:rFonts w:ascii="Times New Roman" w:hAnsi="Times New Roman" w:eastAsia="Times New Roman"/>
          <w:sz w:val="22"/>
        </w:rPr>
        <w:t>[0267] 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rPr>
          <w:rFonts w:ascii="Times New Roman" w:hAnsi="Times New Roman" w:eastAsia="Times New Roman"/>
          <w:sz w:val="22"/>
        </w:rPr>
        <w:t>[0268] 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rPr>
          <w:rFonts w:ascii="Times New Roman" w:hAnsi="Times New Roman" w:eastAsia="Times New Roman"/>
          <w:sz w:val="22"/>
        </w:rPr>
        <w:t>[0269] 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rPr>
          <w:rFonts w:ascii="Times New Roman" w:hAnsi="Times New Roman" w:eastAsia="Times New Roman"/>
          <w:sz w:val="22"/>
        </w:rPr>
        <w:t>[0270] 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rPr>
          <w:rFonts w:ascii="Times New Roman" w:hAnsi="Times New Roman" w:eastAsia="Times New Roman"/>
          <w:sz w:val="22"/>
        </w:rPr>
        <w:t>[0271] 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rPr>
          <w:rFonts w:ascii="Times New Roman" w:hAnsi="Times New Roman" w:eastAsia="Times New Roman"/>
          <w:sz w:val="22"/>
        </w:rPr>
        <w:t>[0272] 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rPr>
          <w:rFonts w:ascii="Times New Roman" w:hAnsi="Times New Roman" w:eastAsia="Times New Roman"/>
          <w:sz w:val="22"/>
        </w:rPr>
        <w:t>[0273] 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rPr>
          <w:rFonts w:ascii="Times New Roman" w:hAnsi="Times New Roman" w:eastAsia="Times New Roman"/>
          <w:sz w:val="22"/>
        </w:rPr>
        <w:t>[0274] 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rPr>
          <w:rFonts w:ascii="Times New Roman" w:hAnsi="Times New Roman" w:eastAsia="Times New Roman"/>
          <w:sz w:val="22"/>
        </w:rPr>
        <w:t>[0275] 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rPr>
          <w:rFonts w:ascii="Times New Roman" w:hAnsi="Times New Roman" w:eastAsia="Times New Roman"/>
          <w:sz w:val="22"/>
        </w:rPr>
        <w:t>[0276] 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rPr>
          <w:rFonts w:ascii="Times New Roman" w:hAnsi="Times New Roman" w:eastAsia="Times New Roman"/>
          <w:sz w:val="22"/>
        </w:rPr>
        <w:t>[0277] 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rPr>
          <w:rFonts w:ascii="Times New Roman" w:hAnsi="Times New Roman" w:eastAsia="Times New Roman"/>
          <w:sz w:val="22"/>
        </w:rPr>
        <w:t>[0278] 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rPr>
          <w:rFonts w:ascii="Times New Roman" w:hAnsi="Times New Roman" w:eastAsia="Times New Roman"/>
          <w:sz w:val="22"/>
        </w:rPr>
        <w:t>[0279] 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rPr>
          <w:rFonts w:ascii="Times New Roman" w:hAnsi="Times New Roman" w:eastAsia="Times New Roman"/>
          <w:sz w:val="22"/>
        </w:rPr>
        <w:t>[0280] 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shd w:fill="FFF2CC"/>
        <w:shd w:fill="FFF2CC"/>
        <w:shd w:fill="FFF2CC"/>
        <w:shd w:fill="FFF2CC"/>
      </w:pPr>
      <w:r>
        <w:rPr>
          <w:rFonts w:ascii="Times New Roman" w:hAnsi="Times New Roman" w:eastAsia="Times New Roman"/>
          <w:i/>
          <w:sz w:val="22"/>
        </w:rPr>
        <w:t>[0281] 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rPr>
          <w:rFonts w:ascii="Times New Roman" w:hAnsi="Times New Roman" w:eastAsia="Times New Roman"/>
          <w:sz w:val="22"/>
        </w:rPr>
        <w:t>[0282] 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rPr>
          <w:rFonts w:ascii="Times New Roman" w:hAnsi="Times New Roman" w:eastAsia="Times New Roman"/>
          <w:sz w:val="22"/>
        </w:rPr>
        <w:t>[0283] 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rPr>
          <w:rFonts w:ascii="Times New Roman" w:hAnsi="Times New Roman" w:eastAsia="Times New Roman"/>
          <w:sz w:val="22"/>
        </w:rPr>
        <w:t>[0284] 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rPr>
          <w:rFonts w:ascii="Times New Roman" w:hAnsi="Times New Roman" w:eastAsia="Times New Roman"/>
          <w:sz w:val="22"/>
        </w:rPr>
        <w:t>[0285] 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rPr>
          <w:rFonts w:ascii="Times New Roman" w:hAnsi="Times New Roman" w:eastAsia="Times New Roman"/>
          <w:sz w:val="22"/>
        </w:rPr>
        <w:t>[0286] 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rPr>
          <w:rFonts w:ascii="Times New Roman" w:hAnsi="Times New Roman" w:eastAsia="Times New Roman"/>
          <w:sz w:val="22"/>
        </w:rPr>
        <w:t>[0287] 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rPr>
          <w:rFonts w:ascii="Times New Roman" w:hAnsi="Times New Roman" w:eastAsia="Times New Roman"/>
          <w:sz w:val="22"/>
        </w:rPr>
        <w:t>[0288] 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shd w:fill="FFF2CC"/>
        <w:shd w:fill="FFF2CC"/>
        <w:shd w:fill="FFF2CC"/>
      </w:pPr>
      <w:r>
        <w:rPr>
          <w:rFonts w:ascii="Times New Roman" w:hAnsi="Times New Roman" w:eastAsia="Times New Roman"/>
          <w:sz w:val="22"/>
        </w:rPr>
        <w:t>[0289] 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180" w:after="90"/>
      </w:pPr>
      <w:r>
        <w:rPr>
          <w:rFonts w:ascii="Times New Roman" w:hAnsi="Times New Roman"/>
          <w:b/>
        </w:rPr>
        <w:t xml:space="preserve">REPRESENTATIVE OTHER-ANIMAL IMPLEMENTATIONS</w:t>
      </w:r>
    </w:p>
    <w:p>
      <w:pPr>
        <w:ind w:left="490" w:hanging="490"/>
        <w:spacing w:after="80" w:line="259" w:lineRule="auto"/>
      </w:pPr>
      <w:r>
        <w:rPr>
          <w:rFonts w:ascii="Times New Roman" w:hAnsi="Times New Roman" w:eastAsia="Times New Roman"/>
          <w:sz w:val="22"/>
        </w:rPr>
        <w:t>[0290] Terrestrial-mammal example. In an agricultural structure or other bounded site, a target rodent or other invasive mammal can be monitored using visible, infrared, or thermal sensing. A target/non-target model adapted to the site can control access to a protected feed/treatment station. The shared core includes target recognition, unknown-state rejection, authorization, selective access, and event logging; scale, enclosure geometry, and treatment hardware are adapted to the target.</w:t>
      </w:r>
    </w:p>
    <w:p>
      <w:pPr>
        <w:ind w:left="490" w:hanging="490"/>
        <w:spacing w:after="80" w:line="259" w:lineRule="auto"/>
      </w:pPr>
      <w:r>
        <w:rPr>
          <w:rFonts w:ascii="Times New Roman" w:hAnsi="Times New Roman" w:eastAsia="Times New Roman"/>
          <w:sz w:val="22"/>
        </w:rPr>
        <w:t>[0291] Bird example. At a monitored feeding, roosting, or access location, video tracking and optional acoustic classification can distinguish a target bird population from protected or non-target birds. The system can selectively enable feed, trap access, exclusion hardware, or another legally authorized population-control interface while protected-species detection functions as a veto.</w:t>
      </w:r>
    </w:p>
    <w:p>
      <w:pPr>
        <w:ind w:left="490" w:hanging="490"/>
        <w:spacing w:after="80" w:line="259" w:lineRule="auto"/>
      </w:pPr>
      <w:r>
        <w:rPr>
          <w:rFonts w:ascii="Times New Roman" w:hAnsi="Times New Roman" w:eastAsia="Times New Roman"/>
          <w:sz w:val="22"/>
        </w:rPr>
        <w:t>[0292] Reptile/amphibian example. A trail, enclosure, shoreline, or other constrained habitat can be monitored using video and, where useful, thermal sensing. Recognition and location gating can authorize a capture gate, trap, or other control interface sized and configured for the target while withholding actuation for non-target fauna or uncertain classifications.</w:t>
      </w:r>
    </w:p>
    <w:p>
      <w:pPr>
        <w:ind w:left="490" w:hanging="490"/>
        <w:spacing w:after="80" w:line="259" w:lineRule="auto"/>
      </w:pPr>
      <w:r>
        <w:rPr>
          <w:rFonts w:ascii="Times New Roman" w:hAnsi="Times New Roman" w:eastAsia="Times New Roman"/>
          <w:sz w:val="22"/>
        </w:rPr>
        <w:t>[0293] Aquatic-vertebrate example. At a bounded fish passage, intake, trap, or treatment zone, underwater optical sensing, acoustic sensing, or both can provide target recognition and localization. Common core 1210 can authorize a species-appropriate capture, sorting, exclusion, or other legally permitted population-control operation through treatment adaptation 1280.</w:t>
      </w:r>
    </w:p>
    <w:p>
      <w:pPr>
        <w:ind w:left="490" w:hanging="490"/>
        <w:spacing w:after="80" w:line="259" w:lineRule="auto"/>
      </w:pPr>
      <w:r>
        <w:rPr>
          <w:rFonts w:ascii="Times New Roman" w:hAnsi="Times New Roman" w:eastAsia="Times New Roman"/>
          <w:sz w:val="22"/>
        </w:rPr>
        <w:t>[0294] Arthropod example. In a localized monitoring station, close-range optical sensing, motion features, wingbeat/acoustic features, or combinations can distinguish a target arthropod class. The authorization layer can enable a localized trap or treatment zone while non-target classification inhibits the event.</w:t>
      </w:r>
    </w:p>
    <w:p>
      <w:pPr>
        <w:ind w:left="490" w:hanging="490"/>
        <w:spacing w:after="80" w:line="259" w:lineRule="auto"/>
      </w:pPr>
      <w:r>
        <w:rPr>
          <w:rFonts w:ascii="Times New Roman" w:hAnsi="Times New Roman" w:eastAsia="Times New Roman"/>
          <w:sz w:val="22"/>
        </w:rPr>
        <w:t>[0295] These representative classes illustrate the common identifying technical characteristics underlying the broader target-animal genus: sensor acquisition of a bounded target region, trained target/non-target recognition, an uncertainty or non-target veto, an authorization state, a target-class-adapted population-control interface, and event or state logging. They do not imply that one identical sensor or treatment mechanism is suitable for all animal classes.</w:t>
      </w:r>
    </w:p>
    <w:p>
      <w:pPr>
        <w:ind w:left="490" w:hanging="490"/>
        <w:spacing w:after="80" w:line="259" w:lineRule="auto"/>
        <w:shd w:fill="FFF2CC"/>
        <w:shd w:fill="FFF2CC"/>
        <w:shd w:fill="FFF2CC"/>
      </w:pPr>
      <w:r>
        <w:rPr>
          <w:rFonts w:ascii="Times New Roman" w:hAnsi="Times New Roman" w:eastAsia="Times New Roman"/>
          <w:sz w:val="22"/>
        </w:rPr>
        <w:t>[0296] INVENTOR/COUNSEL CONFIRMATION REQUIRED: the other-animal embodiments are included to preserve the inventor-directed broader pest-control perspective. Before pursuing genus claims spanning these classes, confirm that the inventors actually contemplated the representative adaptations and that the filing provides enough technical detail for the breadth to be enabled without undue experimentation.</w:t>
      </w:r>
    </w:p>
    <w:p>
      <w:pPr>
        <w:spacing w:before="180" w:after="90"/>
      </w:pPr>
      <w:r>
        <w:rPr>
          <w:rFonts w:ascii="Times New Roman" w:hAnsi="Times New Roman" w:eastAsia="Times New Roman"/>
          <w:sz w:val="24"/>
          <w:b/>
        </w:rPr>
        <w:t xml:space="preserve">PRE-TREATMENT POPULATION DISCOVERY AND CONTEMPORANEOUS COMPLETENESS</w:t>
      </w:r>
    </w:p>
    <w:p>
      <w:pPr>
        <w:ind w:left="490" w:hanging="490"/>
        <w:spacing w:after="80" w:line="259" w:lineRule="auto"/>
      </w:pPr>
      <w:r>
        <w:rPr>
          <w:rFonts w:ascii="Times New Roman" w:hAnsi="Times New Roman" w:eastAsia="Times New Roman"/>
          <w:sz w:val="22"/>
        </w:rPr>
        <w:t xml:space="preserve">[0297] In some embodiments, population discovery begins without a complete pre-enrolled roster of the local feral-pig population and without requiring that the pigs carry externally assigned physical identifiers. The system can initialize an empty, partial, provisional, or uncertain working population set and progressively create, merge, split, activate, inactivate, or revise identity records from repeated sensor observations. External tags, collars, electronic identifiers, or operator-supplied identity information may optionally be used for validation or reconciliation but are not required in such embodiments.</w:t>
      </w:r>
    </w:p>
    <w:p>
      <w:pPr>
        <w:ind w:left="490" w:hanging="490"/>
        <w:spacing w:after="80" w:line="259" w:lineRule="auto"/>
      </w:pPr>
      <w:r>
        <w:rPr>
          <w:rFonts w:ascii="Times New Roman" w:hAnsi="Times New Roman" w:eastAsia="Times New Roman"/>
          <w:sz w:val="22"/>
        </w:rPr>
        <w:t xml:space="preserve">[0298] Population-representation readiness is a pre-treatment inference about whether the system has accumulated sufficient evidence to use the working population set for a group-directed control decision. It is distinct from a retrospective determination that a percentage or subset of an already enumerated population has previously visited a treatment station or received treatment. In an exact-completeness embodiment, no irreversible population-control treatment need be administered while the representation-ready criterion remains unsatisfied. Conditioning feed, non-treatment attractant, observation-only access, or other reversible/non-control interactions may occur during this period.</w:t>
      </w:r>
    </w:p>
    <w:p>
      <w:pPr>
        <w:ind w:left="490" w:hanging="490"/>
        <w:spacing w:after="80" w:line="259" w:lineRule="auto"/>
      </w:pPr>
      <w:r>
        <w:rPr>
          <w:rFonts w:ascii="Times New Roman" w:hAnsi="Times New Roman" w:eastAsia="Times New Roman"/>
          <w:sz w:val="22"/>
        </w:rPr>
        <w:t xml:space="preserve">[0299] A contemporaneous completeness determination can require that every required active identity be represented by a distinct qualifying observation within a common treatment-evaluation interval and within a treatment zone or other region relevant to the impending treatment event. The required observations may overlap in time or remain valid under the selected recency rules described herein, provided the controller determines that the respective animals remain within the region relevant to treatment authorization. This current-state determination is different from a historical compliance calculation based merely on whether respective animals were treated at different earlier times.</w:t>
      </w:r>
    </w:p>
    <w:p>
      <w:pPr>
        <w:ind w:left="490" w:hanging="490"/>
        <w:spacing w:after="80" w:line="259" w:lineRule="auto"/>
      </w:pPr>
      <w:r>
        <w:rPr>
          <w:rFonts w:ascii="Times New Roman" w:hAnsi="Times New Roman" w:eastAsia="Times New Roman"/>
          <w:sz w:val="22"/>
        </w:rPr>
        <w:t xml:space="preserve">[0300] Discovery can be reopened after representation readiness. If a new or unresolved feral-pig observation appears before an irreversible treatment action, the controller can cancel or invalidate the current completeness result, return the registry to discovery or reconciliation processing, and require a new representation/completeness determination before treatment. The same response can occur after an identity merge, identity split, activation, reactivation, inactivation, or correction that changes the required-member set.</w:t>
      </w:r>
    </w:p>
    <w:p>
      <w:pPr>
        <w:ind w:left="490" w:hanging="490"/>
        <w:spacing w:after="80" w:line="259" w:lineRule="auto"/>
      </w:pPr>
      <w:r>
        <w:rPr>
          <w:rFonts w:ascii="Times New Roman" w:hAnsi="Times New Roman" w:eastAsia="Times New Roman"/>
          <w:sz w:val="22"/>
        </w:rPr>
        <w:t xml:space="preserve">[0301] In untagged embodiments, identity association across observation sessions can rely on sensor-derived evidence rather than an externally assigned animal identifier. The evidence can include visual appearance, morphology, size, scars or markings, gait, movement, vocalization, acoustic characteristics, spatial behavior, temporal behavior, recurring co-occurrence, group association, or combinations thereof. The system can preserve uncertainty and can refuse to use an ambiguous association to satisfy a required-member condition.</w:t>
      </w:r>
    </w:p>
    <w:p>
      <w:pPr>
        <w:ind w:left="490" w:hanging="490"/>
        <w:spacing w:after="80" w:line="259" w:lineRule="auto"/>
      </w:pPr>
      <w:r>
        <w:rPr>
          <w:rFonts w:ascii="Times New Roman" w:hAnsi="Times New Roman" w:eastAsia="Times New Roman"/>
          <w:sz w:val="22"/>
        </w:rPr>
        <w:t xml:space="preserve">[0302] After exact completeness is established, a group-directed population-control treatment can be enabled for a common exposure event or common exposure interval in which the treatment is made available to the required currently present members under the same authorization state. This differs from embodiments in which animals are treated serially over separate visits and a later database process merely determines whether enough members have already received treatment. A common exposure event can include a shared feeder or trough access interval, coordinated dispensing to multiple access locations, a capture/euthanasia event, or another group-directed control action.</w:t>
      </w:r>
    </w:p>
    <w:p>
      <w:pPr>
        <w:ind w:left="490" w:hanging="490"/>
        <w:spacing w:after="80" w:line="259" w:lineRule="auto"/>
      </w:pPr>
      <w:r>
        <w:rPr>
          <w:rFonts w:ascii="Times New Roman" w:hAnsi="Times New Roman" w:eastAsia="Times New Roman"/>
          <w:sz w:val="22"/>
        </w:rPr>
        <w:t xml:space="preserve">[0303] A treatment authorization may therefore be understood as depending on a snapshot of the population state used to make the decision. The snapshot may be represented by the registry version described above, a population-state identifier, a criterion/version combination, or another stored indication sufficient to determine whether the membership or authorization basis has materially changed. If the controlling population state changes after authorization and before or during an irreversible treatment action, the controller can require a fresh completeness determination rather than relying on the prior authorization.</w:t>
      </w:r>
    </w:p>
    <w:p>
      <w:pPr>
        <w:ind w:left="490" w:hanging="490"/>
        <w:spacing w:after="80" w:line="259" w:lineRule="auto"/>
        <w:shd w:fill="FFF2CC"/>
      </w:pPr>
      <w:r>
        <w:rPr>
          <w:rFonts w:ascii="Times New Roman" w:hAnsi="Times New Roman" w:eastAsia="Times New Roman"/>
          <w:sz w:val="22"/>
          <w:i/>
        </w:rPr>
        <w:t xml:space="preserve">[0304] INVENTOR CONFIRMATION REQUIRED: paragraphs [0297]-[0303] are prior-art-directed drafting formalizations intended to distinguish pre-treatment discovery and contemporaneous group completeness from systems that begin with preassigned animal identifiers, retrospectively assess treatment compliance, or merely perform generic multi-object assignment. Before filing, the inventors should confirm whether the contemplated invention in fact includes an initially incomplete or unknown local-member set, treatment withholding during discovery, contemporaneous/common-zone completeness, discovery reopening upon a new or unresolved pig, untagged identity inference, a common group-directed exposure event, and population-state-bound authorization. Revise or remove any formalization that does not reflect inventor conception.</w:t>
      </w:r>
    </w:p>
    <w:p>
      <w:pPr>
        <w:spacing w:before="200" w:after="100"/>
      </w:pPr>
      <w:r>
        <w:rPr>
          <w:rFonts w:ascii="Times New Roman" w:hAnsi="Times New Roman" w:eastAsia="Times New Roman"/>
          <w:b/>
          <w:i w:val="0"/>
          <w:sz w:val="22"/>
        </w:rPr>
        <w:t>CLAIMS</w:t>
      </w:r>
    </w:p>
    <w:p>
      <w:pPr>
        <w:ind w:left="490" w:hanging="490"/>
        <w:spacing w:after="65" w:line="250" w:lineRule="auto"/>
      </w:pPr>
      <w:r>
        <w:rPr>
          <w:b/>
        </w:rPr>
        <w:t>1. </w:t>
      </w:r>
      <w:r>
        <w:t xml:space="preserve">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b/>
        </w:rPr>
        <w:t>2. </w:t>
      </w:r>
      <w:r>
        <w:t xml:space="preserve">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b/>
        </w:rPr>
        <w:t>3. </w:t>
      </w:r>
      <w:r>
        <w:t xml:space="preserve">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b/>
        </w:rPr>
        <w:t>4. </w:t>
      </w:r>
      <w:r>
        <w:t xml:space="preserve">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b/>
        </w:rPr>
        <w:t>5. </w:t>
      </w:r>
      <w:r>
        <w:t xml:space="preserve">The method of claim 1, wherein the population-control treatment is a lethal treatment configured to kill at least one feral pig receiving the lethal treatment.</w:t>
      </w:r>
    </w:p>
    <w:p>
      <w:pPr>
        <w:ind w:left="490" w:hanging="490"/>
        <w:spacing w:after="65" w:line="250" w:lineRule="auto"/>
      </w:pPr>
      <w:r>
        <w:rPr>
          <w:b/>
        </w:rPr>
        <w:t>6. </w:t>
      </w:r>
      <w:r>
        <w:t xml:space="preserve">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b/>
        </w:rPr>
        <w:t>7. </w:t>
      </w:r>
      <w:r>
        <w:t xml:space="preserve">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8. </w:t>
      </w:r>
      <w:r>
        <w:t xml:space="preserve">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b/>
        </w:rPr>
        <w:t>9. </w:t>
      </w:r>
      <w:r>
        <w:t xml:space="preserve">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b/>
        </w:rPr>
        <w:t>10. </w:t>
      </w:r>
      <w:r>
        <w:t xml:space="preserve">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b/>
        </w:rPr>
        <w:t>11. </w:t>
      </w:r>
      <w:r>
        <w:t xml:space="preserve">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b/>
        </w:rPr>
        <w:t>12. </w:t>
      </w:r>
      <w:r>
        <w:t xml:space="preserve">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b/>
        </w:rPr>
        <w:t>13. </w:t>
      </w:r>
      <w:r>
        <w:t xml:space="preserve">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b/>
        </w:rPr>
        <w:t>14. </w:t>
      </w:r>
      <w:r>
        <w:t xml:space="preserve">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b/>
        </w:rPr>
        <w:t>15. </w:t>
      </w:r>
      <w:r>
        <w:t xml:space="preserve">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b/>
        </w:rPr>
        <w:t>16. </w:t>
      </w:r>
      <w:r>
        <w:t xml:space="preserve">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b/>
        </w:rPr>
        <w:t>17. </w:t>
      </w:r>
      <w:r>
        <w:t xml:space="preserve">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b/>
        </w:rPr>
        <w:t>18. </w:t>
      </w:r>
      <w:r>
        <w:t xml:space="preserve">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b/>
        </w:rPr>
        <w:t>19. </w:t>
      </w:r>
      <w:r>
        <w:t xml:space="preserve">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b/>
        </w:rPr>
        <w:t>20. </w:t>
      </w:r>
      <w:r>
        <w:t xml:space="preserve">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b/>
        </w:rPr>
        <w:t>21. </w:t>
      </w:r>
      <w:r>
        <w:t xml:space="preserve">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b/>
        </w:rPr>
        <w:t>22. </w:t>
      </w:r>
      <w:r>
        <w:t xml:space="preserve">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b/>
        </w:rPr>
        <w:t>23. </w:t>
      </w:r>
      <w:r>
        <w:t xml:space="preserve">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b/>
        </w:rPr>
        <w:t>24. </w:t>
      </w:r>
      <w:r>
        <w:t xml:space="preserve">The method of claim 21, wherein the toxicant is carried by, mixed with, coated on, encapsulated in, or otherwise associated with a feed or bait presented in the access region.</w:t>
      </w:r>
    </w:p>
    <w:p>
      <w:pPr>
        <w:ind w:left="490" w:hanging="490"/>
        <w:spacing w:after="65" w:line="250" w:lineRule="auto"/>
      </w:pPr>
      <w:r>
        <w:rPr>
          <w:b/>
        </w:rPr>
        <w:t>25. </w:t>
      </w:r>
      <w:r>
        <w:t xml:space="preserve">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b/>
        </w:rPr>
        <w:t>26. </w:t>
      </w:r>
      <w:r>
        <w:t xml:space="preserve">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b/>
        </w:rPr>
        <w:t>27. </w:t>
      </w:r>
      <w:r>
        <w:t xml:space="preserve">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b/>
        </w:rPr>
        <w:t>28. </w:t>
      </w:r>
      <w:r>
        <w:t xml:space="preserve">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b/>
        </w:rPr>
        <w:t>29. </w:t>
      </w:r>
      <w:r>
        <w:t xml:space="preserve">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b/>
        </w:rPr>
        <w:t>30. </w:t>
      </w:r>
      <w:r>
        <w:t xml:space="preserve">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b/>
        </w:rPr>
        <w:t>31. </w:t>
      </w:r>
      <w:r>
        <w:t xml:space="preserve">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b/>
        </w:rPr>
        <w:t>32. </w:t>
      </w:r>
      <w:r>
        <w:t xml:space="preserve">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b/>
        </w:rPr>
        <w:t>33. </w:t>
      </w:r>
      <w:r>
        <w:t xml:space="preserve">The method of claim 31, wherein the species-selective toxicant is carried by, mixed with, coated on, encapsulated in, or otherwise associated with a feed or bait.</w:t>
      </w:r>
    </w:p>
    <w:p>
      <w:pPr>
        <w:ind w:left="490" w:hanging="490"/>
        <w:spacing w:after="65" w:line="250" w:lineRule="auto"/>
      </w:pPr>
      <w:r>
        <w:rPr>
          <w:b/>
        </w:rPr>
        <w:t>34. </w:t>
      </w:r>
      <w:r>
        <w:t xml:space="preserve">The method of claim 31, wherein determining that the at least one feral pig is present is based on a combination of audio recognition and video recognition.</w:t>
      </w:r>
    </w:p>
    <w:p>
      <w:pPr>
        <w:ind w:left="490" w:hanging="490"/>
        <w:spacing w:after="65" w:line="250" w:lineRule="auto"/>
      </w:pPr>
      <w:r>
        <w:rPr>
          <w:b/>
        </w:rPr>
        <w:t>35. </w:t>
      </w:r>
      <w:r>
        <w:t xml:space="preserve">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b/>
        </w:rPr>
        <w:t>36. </w:t>
      </w:r>
      <w:r>
        <w:t xml:space="preserve">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b/>
        </w:rPr>
        <w:t>37. </w:t>
      </w:r>
      <w:r>
        <w:t xml:space="preserve">The method of claim 31, wherein administration is inhibited when the recognition technology detects a non-target animal or produces an unknown classification within a treatment zone.</w:t>
      </w:r>
    </w:p>
    <w:p>
      <w:pPr>
        <w:ind w:left="490" w:hanging="490"/>
        <w:spacing w:after="65" w:line="250" w:lineRule="auto"/>
      </w:pPr>
      <w:r>
        <w:rPr>
          <w:b/>
        </w:rPr>
        <w:t>38. </w:t>
      </w:r>
      <w:r>
        <w:t xml:space="preserve">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b/>
        </w:rPr>
        <w:t>39. </w:t>
      </w:r>
      <w:r>
        <w:t xml:space="preserve">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b/>
        </w:rPr>
        <w:t>40. </w:t>
      </w:r>
      <w:r>
        <w:t xml:space="preserve">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b/>
        </w:rPr>
        <w:t>41. </w:t>
      </w:r>
      <w:r>
        <w:t xml:space="preserve">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b/>
        </w:rPr>
        <w:t>42. </w:t>
      </w:r>
      <w:r>
        <w:t xml:space="preserve">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b/>
        </w:rPr>
        <w:t>43. </w:t>
      </w:r>
      <w:r>
        <w:t xml:space="preserve">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b/>
        </w:rPr>
        <w:t>44. </w:t>
      </w:r>
      <w:r>
        <w:t xml:space="preserve">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b/>
        </w:rPr>
        <w:t>45. </w:t>
      </w:r>
      <w:r>
        <w:t xml:space="preserve">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b/>
        </w:rPr>
        <w:t>46. </w:t>
      </w:r>
      <w:r>
        <w:t xml:space="preserve">The method of claim 41, further comprising maintaining a working population set representing feral pigs repeatedly observed in the geographic area.</w:t>
      </w:r>
    </w:p>
    <w:p>
      <w:pPr>
        <w:ind w:left="490" w:hanging="490"/>
        <w:spacing w:after="65" w:line="250" w:lineRule="auto"/>
      </w:pPr>
      <w:r>
        <w:rPr>
          <w:b/>
        </w:rPr>
        <w:t>47. </w:t>
      </w:r>
      <w:r>
        <w:t xml:space="preserve">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b/>
        </w:rPr>
        <w:t>48. </w:t>
      </w:r>
      <w:r>
        <w:t xml:space="preserve">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b/>
        </w:rPr>
        <w:t>49. </w:t>
      </w:r>
      <w:r>
        <w:t xml:space="preserve">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b/>
        </w:rPr>
        <w:t>50. </w:t>
      </w:r>
      <w:r>
        <w:t xml:space="preserve">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b/>
        </w:rPr>
        <w:t>51. </w:t>
      </w:r>
      <w:r>
        <w:t xml:space="preserve">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b/>
        </w:rPr>
        <w:t>52. </w:t>
      </w:r>
      <w:r>
        <w:t xml:space="preserve">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b/>
        </w:rPr>
        <w:t>53. </w:t>
      </w:r>
      <w:r>
        <w:t xml:space="preserve">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b/>
        </w:rPr>
        <w:t>54. </w:t>
      </w:r>
      <w:r>
        <w:t xml:space="preserve">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b/>
        </w:rPr>
        <w:t>55. </w:t>
      </w:r>
      <w:r>
        <w:t xml:space="preserve">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b/>
        </w:rPr>
        <w:t>56. </w:t>
      </w:r>
      <w:r>
        <w:t xml:space="preserve">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b/>
        </w:rPr>
        <w:t>57. </w:t>
      </w:r>
      <w:r>
        <w:t xml:space="preserve">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b/>
        </w:rPr>
        <w:t>58. </w:t>
      </w:r>
      <w:r>
        <w:t xml:space="preserve">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b/>
        </w:rPr>
        <w:t>59. </w:t>
      </w:r>
      <w:r>
        <w:t xml:space="preserve">The method of claim 51, wherein the genetic-modification treatment is administered in combination or in temporal sequence with a reproductive-control treatment.</w:t>
      </w:r>
    </w:p>
    <w:p>
      <w:pPr>
        <w:ind w:left="490" w:hanging="490"/>
        <w:spacing w:after="65" w:line="250" w:lineRule="auto"/>
      </w:pPr>
      <w:r>
        <w:rPr>
          <w:b/>
        </w:rPr>
        <w:t>60. </w:t>
      </w:r>
      <w:r>
        <w:t xml:space="preserve">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b/>
        </w:rPr>
        <w:t>61. </w:t>
      </w:r>
      <w:r>
        <w:t xml:space="preserve">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b/>
        </w:rPr>
        <w:t>62. </w:t>
      </w:r>
      <w:r>
        <w:t xml:space="preserve">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b/>
        </w:rPr>
        <w:t>63. </w:t>
      </w:r>
      <w:r>
        <w:t xml:space="preserve">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b/>
        </w:rPr>
        <w:t>64. </w:t>
      </w:r>
      <w:r>
        <w:t xml:space="preserve">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65. </w:t>
      </w:r>
      <w:r>
        <w:t xml:space="preserve">The method of claim 61, wherein the feed contains or carries a reproductive-control treatment configured to reduce fertility or reproductive success of feral pigs.</w:t>
      </w:r>
    </w:p>
    <w:p>
      <w:pPr>
        <w:ind w:left="490" w:hanging="490"/>
        <w:spacing w:after="65" w:line="250" w:lineRule="auto"/>
      </w:pPr>
      <w:r>
        <w:rPr>
          <w:b/>
        </w:rPr>
        <w:t>66. </w:t>
      </w:r>
      <w:r>
        <w:t xml:space="preserve">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b/>
        </w:rPr>
        <w:t>67. </w:t>
      </w:r>
      <w:r>
        <w:t xml:space="preserve">The method of claim 61, wherein the feed contains or is administered with two or more population-control agents having different population-control mechanisms.</w:t>
      </w:r>
    </w:p>
    <w:p>
      <w:pPr>
        <w:ind w:left="490" w:hanging="490"/>
        <w:spacing w:after="65" w:line="250" w:lineRule="auto"/>
      </w:pPr>
      <w:r>
        <w:rPr>
          <w:b/>
        </w:rPr>
        <w:t>68. </w:t>
      </w:r>
      <w:r>
        <w:t xml:space="preserve">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b/>
        </w:rPr>
        <w:t>69. </w:t>
      </w:r>
      <w:r>
        <w:t xml:space="preserve">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b/>
        </w:rPr>
        <w:t>70. </w:t>
      </w:r>
      <w:r>
        <w:t xml:space="preserve">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b/>
        </w:rPr>
        <w:t>71. </w:t>
      </w:r>
      <w:r>
        <w:t xml:space="preserve">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b/>
        </w:rPr>
        <w:t>72. </w:t>
      </w:r>
      <w:r>
        <w:t xml:space="preserve">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b/>
        </w:rPr>
        <w:t>73. </w:t>
      </w:r>
      <w:r>
        <w:t xml:space="preserve">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b/>
        </w:rPr>
        <w:t>74. </w:t>
      </w:r>
      <w:r>
        <w:t xml:space="preserve">The system of claim 71, wherein the memory stores a population registry containing respective identifiers or identity records for feral pigs repeatedly observed at the monitored area.</w:t>
      </w:r>
    </w:p>
    <w:p>
      <w:pPr>
        <w:ind w:left="490" w:hanging="490"/>
        <w:spacing w:after="65" w:line="250" w:lineRule="auto"/>
      </w:pPr>
      <w:r>
        <w:rPr>
          <w:b/>
        </w:rPr>
        <w:t>75. </w:t>
      </w:r>
      <w:r>
        <w:t xml:space="preserve">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b/>
        </w:rPr>
        <w:t>76. </w:t>
      </w:r>
      <w:r>
        <w:t xml:space="preserve">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b/>
        </w:rPr>
        <w:t>77. </w:t>
      </w:r>
      <w:r>
        <w:t xml:space="preserve">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b/>
        </w:rPr>
        <w:t>78. </w:t>
      </w:r>
      <w:r>
        <w:t xml:space="preserve">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b/>
        </w:rPr>
        <w:t>79. </w:t>
      </w:r>
      <w:r>
        <w:t xml:space="preserve">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b/>
        </w:rPr>
        <w:t>80. </w:t>
      </w:r>
      <w:r>
        <w:t xml:space="preserve">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b/>
        </w:rPr>
        <w:t>81. </w:t>
      </w:r>
      <w:r>
        <w:t xml:space="preserve">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b/>
        </w:rPr>
        <w:t>82. </w:t>
      </w:r>
      <w:r>
        <w:t xml:space="preserve">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b/>
        </w:rPr>
        <w:t>83. </w:t>
      </w:r>
      <w:r>
        <w:t xml:space="preserve">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b/>
        </w:rPr>
        <w:t>84. </w:t>
      </w:r>
      <w:r>
        <w:t xml:space="preserve">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b/>
        </w:rPr>
        <w:t>85. </w:t>
      </w:r>
      <w:r>
        <w:t xml:space="preserve">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b/>
        </w:rPr>
        <w:t>86. </w:t>
      </w:r>
      <w:r>
        <w:t xml:space="preserve">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b/>
        </w:rPr>
        <w:t>87. </w:t>
      </w:r>
      <w:r>
        <w:t xml:space="preserve">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b/>
        </w:rPr>
        <w:t>88. </w:t>
      </w:r>
      <w:r>
        <w:t xml:space="preserve">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b/>
        </w:rPr>
        <w:t>89. </w:t>
      </w:r>
      <w:r>
        <w:t xml:space="preserve">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b/>
        </w:rPr>
        <w:t>90. </w:t>
      </w:r>
      <w:r>
        <w:t xml:space="preserve">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b/>
        </w:rPr>
        <w:t>91. </w:t>
      </w:r>
      <w:r>
        <w:t xml:space="preserve">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b/>
        </w:rPr>
        <w:t>92. </w:t>
      </w:r>
      <w:r>
        <w:t xml:space="preserve">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b/>
        </w:rPr>
        <w:t>93. </w:t>
      </w:r>
      <w:r>
        <w:t xml:space="preserve">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b/>
        </w:rPr>
        <w:t>94. </w:t>
      </w:r>
      <w:r>
        <w:t xml:space="preserve">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b/>
        </w:rPr>
        <w:t>95. </w:t>
      </w:r>
      <w:r>
        <w:t xml:space="preserve">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b/>
        </w:rPr>
        <w:t>96. </w:t>
      </w:r>
      <w:r>
        <w:t xml:space="preserve">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b/>
        </w:rPr>
        <w:t>97. </w:t>
      </w:r>
      <w:r>
        <w:t xml:space="preserve">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b/>
        </w:rPr>
        <w:t>98. </w:t>
      </w:r>
      <w:r>
        <w:t xml:space="preserve">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b/>
        </w:rPr>
        <w:t>99. </w:t>
      </w:r>
      <w:r>
        <w:t xml:space="preserve">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b/>
        </w:rPr>
        <w:t>100. </w:t>
      </w:r>
      <w:r>
        <w:t xml:space="preserve">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b/>
        </w:rPr>
        <w:t>101. </w:t>
      </w:r>
      <w:r>
        <w:t xml:space="preserve">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b/>
        </w:rPr>
        <w:t>102. </w:t>
      </w:r>
      <w:r>
        <w:t xml:space="preserve">The method of claim 101, wherein the predetermined toxic active ingredient comprises warfarin.</w:t>
      </w:r>
    </w:p>
    <w:p>
      <w:pPr>
        <w:ind w:left="490" w:hanging="490"/>
        <w:spacing w:after="65" w:line="250" w:lineRule="auto"/>
      </w:pPr>
      <w:r>
        <w:rPr>
          <w:b/>
        </w:rPr>
        <w:t>103. </w:t>
      </w:r>
      <w:r>
        <w:t xml:space="preserve">The method of claim 101, wherein the predetermined toxic active ingredient comprises sodium nitrite.</w:t>
      </w:r>
    </w:p>
    <w:p>
      <w:pPr>
        <w:ind w:left="490" w:hanging="490"/>
        <w:spacing w:after="65" w:line="250" w:lineRule="auto"/>
      </w:pPr>
      <w:r>
        <w:rPr>
          <w:b/>
        </w:rPr>
        <w:t>104. </w:t>
      </w:r>
      <w:r>
        <w:t xml:space="preserve">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b/>
        </w:rPr>
        <w:t>105. </w:t>
      </w:r>
      <w:r>
        <w:t xml:space="preserve">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b/>
        </w:rPr>
        <w:t>106. </w:t>
      </w:r>
      <w:r>
        <w:t xml:space="preserve">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b/>
        </w:rPr>
        <w:t>107. </w:t>
      </w:r>
      <w:r>
        <w:t xml:space="preserve">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b/>
        </w:rPr>
        <w:t>108. </w:t>
      </w:r>
      <w:r>
        <w:t xml:space="preserve">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b/>
        </w:rPr>
        <w:t>109. </w:t>
      </w:r>
      <w:r>
        <w:t xml:space="preserve">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b/>
        </w:rPr>
        <w:t>110. </w:t>
      </w:r>
      <w:r>
        <w:t xml:space="preserve">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b/>
        </w:rPr>
        <w:t>111. </w:t>
      </w:r>
      <w:r>
        <w:t xml:space="preserve">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b/>
        </w:rPr>
        <w:t>112. </w:t>
      </w:r>
      <w:r>
        <w:t xml:space="preserve">The method of claim 111, wherein the target animals comprise an invasive, feral, nuisance, overabundant, agricultural-damage, disease-vector, or otherwise controlled animal population.</w:t>
      </w:r>
    </w:p>
    <w:p>
      <w:pPr>
        <w:ind w:left="490" w:hanging="490"/>
        <w:spacing w:after="65" w:line="250" w:lineRule="auto"/>
      </w:pPr>
      <w:r>
        <w:rPr>
          <w:b/>
        </w:rPr>
        <w:t>113. </w:t>
      </w:r>
      <w:r>
        <w:t xml:space="preserve">The method of claim 111, wherein the target animals comprise terrestrial mammals.</w:t>
      </w:r>
    </w:p>
    <w:p>
      <w:pPr>
        <w:ind w:left="490" w:hanging="490"/>
        <w:spacing w:after="65" w:line="250" w:lineRule="auto"/>
      </w:pPr>
      <w:r>
        <w:rPr>
          <w:b/>
        </w:rPr>
        <w:t>114. </w:t>
      </w:r>
      <w:r>
        <w:t xml:space="preserve">The method of claim 111, wherein the target animals comprise birds.</w:t>
      </w:r>
    </w:p>
    <w:p>
      <w:pPr>
        <w:ind w:left="490" w:hanging="490"/>
        <w:spacing w:after="65" w:line="250" w:lineRule="auto"/>
      </w:pPr>
      <w:r>
        <w:rPr>
          <w:b/>
        </w:rPr>
        <w:t>115. </w:t>
      </w:r>
      <w:r>
        <w:t xml:space="preserve">The method of claim 111, wherein the target animals comprise reptiles or amphibians.</w:t>
      </w:r>
    </w:p>
    <w:p>
      <w:pPr>
        <w:ind w:left="490" w:hanging="490"/>
        <w:spacing w:after="65" w:line="250" w:lineRule="auto"/>
      </w:pPr>
      <w:r>
        <w:rPr>
          <w:b/>
        </w:rPr>
        <w:t>116. </w:t>
      </w:r>
      <w:r>
        <w:t xml:space="preserve">The method of claim 111, wherein the target animals comprise aquatic vertebrates.</w:t>
      </w:r>
    </w:p>
    <w:p>
      <w:pPr>
        <w:ind w:left="490" w:hanging="490"/>
        <w:spacing w:after="65" w:line="250" w:lineRule="auto"/>
      </w:pPr>
      <w:r>
        <w:rPr>
          <w:b/>
        </w:rPr>
        <w:t>117. </w:t>
      </w:r>
      <w:r>
        <w:t xml:space="preserve">The method of claim 111, wherein the target animals comprise arthropods.</w:t>
      </w:r>
    </w:p>
    <w:p>
      <w:pPr>
        <w:ind w:left="490" w:hanging="490"/>
        <w:spacing w:after="65" w:line="250" w:lineRule="auto"/>
      </w:pPr>
      <w:r>
        <w:rPr>
          <w:b/>
        </w:rPr>
        <w:t>118. </w:t>
      </w:r>
      <w:r>
        <w:t xml:space="preserve">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b/>
        </w:rPr>
        <w:t>119. </w:t>
      </w:r>
      <w:r>
        <w:t xml:space="preserve">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b/>
        </w:rPr>
        <w:t>120. </w:t>
      </w:r>
      <w:r>
        <w:t xml:space="preserve">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b/>
        </w:rPr>
        <w:t>121. </w:t>
      </w:r>
      <w:r>
        <w:t xml:space="preserve">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b/>
        </w:rPr>
        <w:t>122. </w:t>
      </w:r>
      <w:r>
        <w:t xml:space="preserve">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b/>
        </w:rPr>
        <w:t>123. </w:t>
      </w:r>
      <w:r>
        <w:t xml:space="preserve">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b/>
        </w:rPr>
        <w:t>124. </w:t>
      </w:r>
      <w:r>
        <w:t xml:space="preserve">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b/>
        </w:rPr>
        <w:t>125. </w:t>
      </w:r>
      <w:r>
        <w:t xml:space="preserve">The method of claim 121, wherein the attractant further comprises an olfactory attractant, flavorant, scent source, or other nonlethal lure used in combination with feed or edible bait.</w:t>
      </w:r>
    </w:p>
    <w:p>
      <w:pPr>
        <w:ind w:left="490" w:hanging="490"/>
        <w:spacing w:after="65" w:line="250" w:lineRule="auto"/>
      </w:pPr>
      <w:r>
        <w:rPr>
          <w:b/>
        </w:rPr>
        <w:t>126. </w:t>
      </w:r>
      <w:r>
        <w:t xml:space="preserve">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b/>
        </w:rPr>
        <w:t>127. </w:t>
      </w:r>
      <w:r>
        <w:t xml:space="preserve">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b/>
        </w:rPr>
        <w:t>128. </w:t>
      </w:r>
      <w:r>
        <w:t xml:space="preserve">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b/>
        </w:rPr>
        <w:t>129. </w:t>
      </w:r>
      <w:r>
        <w:t xml:space="preserve">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b/>
        </w:rPr>
        <w:t>130. </w:t>
      </w:r>
      <w:r>
        <w:t xml:space="preserve">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b/>
        </w:rPr>
        <w:t>131. </w:t>
      </w:r>
      <w:r>
        <w:t xml:space="preserve">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b/>
        </w:rPr>
        <w:t>132. </w:t>
      </w:r>
      <w:r>
        <w:t xml:space="preserve">The method of claim 131, wherein the bait comprises warfarin at 0.005 percent active ingredient as identified in an EPA-accepted label for EPA Registration No. 72500-26.</w:t>
      </w:r>
    </w:p>
    <w:p>
      <w:pPr>
        <w:ind w:left="490" w:hanging="490"/>
        <w:spacing w:after="65" w:line="250" w:lineRule="auto"/>
      </w:pPr>
      <w:r>
        <w:rPr>
          <w:b/>
        </w:rPr>
        <w:t>133. </w:t>
      </w:r>
      <w:r>
        <w:t xml:space="preserve">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b/>
        </w:rPr>
        <w:t>134. </w:t>
      </w:r>
      <w:r>
        <w:t xml:space="preserve">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b/>
        </w:rPr>
        <w:t>135. </w:t>
      </w:r>
      <w:r>
        <w:t xml:space="preserve">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rPr>
        <w:t xml:space="preserve">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rPr>
        <w:t xml:space="preserve">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rPr>
        <w:t xml:space="preserve">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rPr>
        <w:t xml:space="preserve">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rPr>
        <w:t xml:space="preserve">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rPr>
        <w:t xml:space="preserve">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rPr>
        <w:t xml:space="preserve">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rPr>
        <w:t xml:space="preserve">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rPr>
        <w:t xml:space="preserve">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rPr>
        <w:t xml:space="preserve">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p>
      <w:pPr>
        <w:ind w:left="490" w:hanging="490"/>
        <w:spacing w:after="80" w:line="259" w:lineRule="auto"/>
      </w:pPr>
      <w:r>
        <w:rPr>
          <w:rFonts w:ascii="Times New Roman" w:hAnsi="Times New Roman" w:eastAsia="Times New Roman"/>
          <w:sz w:val="22"/>
        </w:rPr>
        <w:t xml:space="preserve">146. The method of claim 11, wherein establishing and maintaining the working population set does not require a complete pre-enrolled membership list or a physical identifier assigned to each feral pig before the observation period, and wherein respective identity representations are created or revised from repeated sensor observations.</w:t>
      </w:r>
    </w:p>
    <w:p>
      <w:pPr>
        <w:ind w:left="490" w:hanging="490"/>
        <w:spacing w:after="80" w:line="259" w:lineRule="auto"/>
      </w:pPr>
      <w:r>
        <w:rPr>
          <w:rFonts w:ascii="Times New Roman" w:hAnsi="Times New Roman" w:eastAsia="Times New Roman"/>
          <w:sz w:val="22"/>
        </w:rPr>
        <w:t xml:space="preserve">147. The method of claim 11, wherein an irreversible population-control treatment is withheld throughout at least a discovery portion of the observation period until a representation-ready criterion indicates that the working population set is sufficiently mature for use in the population-presence criterion.</w:t>
      </w:r>
    </w:p>
    <w:p>
      <w:pPr>
        <w:ind w:left="490" w:hanging="490"/>
        <w:spacing w:after="80" w:line="259" w:lineRule="auto"/>
      </w:pPr>
      <w:r>
        <w:rPr>
          <w:rFonts w:ascii="Times New Roman" w:hAnsi="Times New Roman" w:eastAsia="Times New Roman"/>
          <w:sz w:val="22"/>
        </w:rPr>
        <w:t xml:space="preserve">148. The method of claim 11, wherein the population-presence criterion requires each required active member of the working population set to be represented by a distinct qualifying current observation within a common treatment-evaluation interval and within a treatment zone associated with an impending treatment event.</w:t>
      </w:r>
    </w:p>
    <w:p>
      <w:pPr>
        <w:ind w:left="490" w:hanging="490"/>
        <w:spacing w:after="80" w:line="259" w:lineRule="auto"/>
      </w:pPr>
      <w:r>
        <w:rPr>
          <w:rFonts w:ascii="Times New Roman" w:hAnsi="Times New Roman" w:eastAsia="Times New Roman"/>
          <w:sz w:val="22"/>
        </w:rPr>
        <w:t xml:space="preserve">149. The method of claim 11, further comprising, after the population-presence criterion has been satisfied and before the population-control treatment is irreversibly administered, detecting a feral pig that cannot be associated with an existing required active member at a selected confidence, invalidating the population-presence determination, and resuming population discovery or identity reconciliation before reevaluating the population-presence criterion.</w:t>
      </w:r>
    </w:p>
    <w:p>
      <w:pPr>
        <w:ind w:left="490" w:hanging="490"/>
        <w:spacing w:after="80" w:line="259" w:lineRule="auto"/>
      </w:pPr>
      <w:r>
        <w:rPr>
          <w:rFonts w:ascii="Times New Roman" w:hAnsi="Times New Roman" w:eastAsia="Times New Roman"/>
          <w:sz w:val="22"/>
        </w:rPr>
        <w:t xml:space="preserve">150. The method of claim 11, wherein, after the population-presence criterion is satisfied, the population-control treatment is made available to the required currently present members during a common exposure event or common exposure interval rather than determining authorization solely from a retrospective record that respective members received treatment during separate earlier visits.</w:t>
      </w:r>
    </w:p>
    <w:p>
      <w:pPr>
        <w:ind w:left="490" w:hanging="490"/>
        <w:spacing w:after="80" w:line="259" w:lineRule="auto"/>
      </w:pPr>
      <w:r>
        <w:rPr>
          <w:rFonts w:ascii="Times New Roman" w:hAnsi="Times New Roman" w:eastAsia="Times New Roman"/>
          <w:sz w:val="22"/>
        </w:rPr>
        <w:t xml:space="preserve">151. The method of claim 136, wherein the versioned working population set is learned without requiring a complete preassigned roster or a physical identification device uniquely assigned to each feral pig before the plurality of temporally separated observation sessions.</w:t>
      </w:r>
    </w:p>
    <w:p>
      <w:pPr>
        <w:ind w:left="490" w:hanging="490"/>
        <w:spacing w:after="80" w:line="259" w:lineRule="auto"/>
      </w:pPr>
      <w:r>
        <w:rPr>
          <w:rFonts w:ascii="Times New Roman" w:hAnsi="Times New Roman" w:eastAsia="Times New Roman"/>
          <w:sz w:val="22"/>
        </w:rPr>
        <w:t xml:space="preserve">152. The method of claim 136, wherein satisfaction of the population-representation criterion is distinct from a retrospective treatment-compliance determination, and wherein no irreversible population-control treatment is enabled before the population-representation criterion is satisfied.</w:t>
      </w:r>
    </w:p>
    <w:p>
      <w:pPr>
        <w:ind w:left="490" w:hanging="490"/>
        <w:spacing w:after="80" w:line="259" w:lineRule="auto"/>
      </w:pPr>
      <w:r>
        <w:rPr>
          <w:rFonts w:ascii="Times New Roman" w:hAnsi="Times New Roman" w:eastAsia="Times New Roman"/>
          <w:sz w:val="22"/>
        </w:rPr>
        <w:t xml:space="preserve">153. The method of claim 136, wherein the exact-completeness condition requires each required active identity record to be represented by a distinct qualifying observation within a common treatment zone during a common treatment-evaluation interval under the selected recency rule.</w:t>
      </w:r>
    </w:p>
    <w:p>
      <w:pPr>
        <w:ind w:left="490" w:hanging="490"/>
        <w:spacing w:after="80" w:line="259" w:lineRule="auto"/>
      </w:pPr>
      <w:r>
        <w:rPr>
          <w:rFonts w:ascii="Times New Roman" w:hAnsi="Times New Roman" w:eastAsia="Times New Roman"/>
          <w:sz w:val="22"/>
        </w:rPr>
        <w:t xml:space="preserve">154. The method of claim 136, wherein, after generation of the treatment-authorization state and before an irreversible treatment action, a change to membership of the versioned working population set or appearance of a new or unresolved feral-pig observation invalidates the treatment-authorization state and requires a fresh exact-completeness determination.</w:t>
      </w:r>
    </w:p>
    <w:p>
      <w:pPr>
        <w:ind w:left="490" w:hanging="490"/>
        <w:spacing w:after="80" w:line="259" w:lineRule="auto"/>
      </w:pPr>
      <w:r>
        <w:rPr>
          <w:rFonts w:ascii="Times New Roman" w:hAnsi="Times New Roman" w:eastAsia="Times New Roman"/>
          <w:sz w:val="22"/>
        </w:rPr>
        <w:t xml:space="preserve">155. The method of claim 136, wherein the population-control treatment is enabled as a group-directed common exposure event or common exposure interval for the required currently present members after the exact-completeness condition is satisfied.</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Working specification v0.6; prior-art-directed pre-treatment population discovery and contemporaneous completeness support</dc:subject>
  <dc:creator>Project Working Draft</dc:creator>
  <cp:keywords/>
  <dc:description>Draft work product. Inventor confirmation and licensed patent-counsel review required.</dc:description>
  <cp:lastModifiedBy/>
  <cp:revision>1</cp:revision>
  <dcterms:created xsi:type="dcterms:W3CDTF">2013-12-23T23:15:00Z</dcterms:created>
  <dcterms:modified xsi:type="dcterms:W3CDTF">2013-12-23T23:15:00Z</dcterms:modified>
  <cp:category/>
</cp:coreProperties>
</file>