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PATENT DRAFTING MASTER CONTROL</w:t>
      </w:r>
    </w:p>
    <w:p>
      <w:pPr>
        <w:jc w:val="center"/>
      </w:pPr>
      <w:r>
        <w:rPr>
          <w:rFonts w:ascii="Times New Roman" w:hAnsi="Times New Roman"/>
          <w:i/>
          <w:sz w:val="21"/>
        </w:rPr>
        <w:t>Recognition-Gated Population-Control Platform - v0.5 - 2026-09-03</w:t>
      </w:r>
    </w:p>
    <w:p>
      <w:pPr>
        <w:spacing w:before="160" w:after="80"/>
      </w:pPr>
      <w:r>
        <w:rPr>
          <w:rFonts w:ascii="Times New Roman" w:hAnsi="Times New Roman"/>
          <w:b/>
          <w:sz w:val="25"/>
        </w:rPr>
        <w:t>1. Canonical patent state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Specification v0.4: 280 numbered specification paragraphs, 135 claims, abstract, corrected FIGS. 1-12 reference-numeral integration, and restored Definitions heading; visual QA passed.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Figures v0.2: twelve patent-style line drawings; FIG. 4 identity-record label and FIG. 9 sensor-label defects corrected; visual QA passed.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Claims v0.4: 135 working claims across 14 independent claim families; no claim-count ceiling.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Patent Support and Figure Audit v0.2: figure audit passes and 63 independent-claim limitation rows map exact paragraph/figure support and blocking status.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Inventor Confirmation Questionnaire v0.1: prepared as a non-leading conception/support instrument; inventor responses are pending.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Tracker: Figure Numerals, Figure-Spec Audit, Detailed Claim-Spec Audit, Independent Family Audit and current task state are synchronized.</w:t>
      </w:r>
    </w:p>
    <w:p>
      <w:pPr>
        <w:spacing w:before="160" w:after="80"/>
      </w:pPr>
      <w:r>
        <w:rPr>
          <w:rFonts w:ascii="Times New Roman" w:hAnsi="Times New Roman"/>
          <w:b/>
          <w:sz w:val="25"/>
        </w:rPr>
        <w:t>2. Blocking support branches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Claim 11/local population: written support is extensive, but inventor confirmation remains required for re-identification, population representation, COMPLETE rule, unknown handling, active/inactive transitions and revalidation.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Claim 31/species-selective toxicant: architecture is supported; a concrete inventor-conceived toxicant species/class and selectivity basis remain required for broad early-priority reliance.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Claim 41/reproductive control: representative GnRH/PZP/diazacon context exists; inventor confirmation of actually contemplated agent(s), route(s), and protocol remains required.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Claim 51/genetic modification: broad reliance remains blocked until the inventors provide a concrete mechanism, biological effect, delivery route and enabling implementation or the branch is narrowed/deferred.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Claim 111/broad target-animal genus: representative implementations are disclosed, but inventor confirmation and full-scope enablement analysis remain required for the widest genus.</w:t>
      </w:r>
    </w:p>
    <w:p>
      <w:pPr>
        <w:spacing w:before="160" w:after="80"/>
      </w:pPr>
      <w:r>
        <w:rPr>
          <w:rFonts w:ascii="Times New Roman" w:hAnsi="Times New Roman"/>
          <w:b/>
          <w:sz w:val="25"/>
        </w:rPr>
        <w:t>3. Work that proceeds without waiting for inventor answers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Formal element-by-element prior-art charting of all 14 independent families.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USPTO Patent Public Search / Google Patents / citation-family search expansion and search-log capture.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Functional-language / §112(f) audit of system/software claims against disclosed structure and algorithms.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Claim dependency and redundancy analysis for the current 135-claim universe, without pruning the provisional-stage disclosure.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Attorney-review issue list and filing-package organization.</w:t>
      </w:r>
    </w:p>
    <w:p>
      <w:pPr>
        <w:spacing w:before="160" w:after="80"/>
      </w:pPr>
      <w:r>
        <w:rPr>
          <w:rFonts w:ascii="Times New Roman" w:hAnsi="Times New Roman"/>
          <w:b/>
          <w:sz w:val="25"/>
        </w:rPr>
        <w:t>4. MPEP control points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Current MPEP §2163: textual presence alone does not establish adequate written description; genus support must convey possession through representative species or common identifying characteristics appropriate to the scope.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Current MPEP §2164: enablement must reach the claimed scope without undue experimentation.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Current MPEP §2173: functional limitations are not inherently improper but definiteness depends on context and the disclosure.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Current MPEP §2181: generic placeholders coupled to function can invoke §112(f) if sufficient structure/acts are not recited or disclosed.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Claims remain provisional-stage support/patentability probes, not a filing gate or ceiling.</w:t>
      </w:r>
    </w:p>
    <w:p>
      <w:pPr>
        <w:spacing w:before="160" w:after="80"/>
      </w:pPr>
      <w:r>
        <w:rPr>
          <w:rFonts w:ascii="Times New Roman" w:hAnsi="Times New Roman"/>
          <w:b/>
          <w:sz w:val="25"/>
        </w:rPr>
        <w:t>5. Resume protocol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When Robert sends 'Resume', continue from the highest-priority task that can be advanced without waiting for an unanswered inventor question.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Current next executable task is PAT-042 formal prior-art claim charting. PAT-041 inventor responses remain a parallel dependency for confirmation-gated §112(a) branches.</w:t>
      </w:r>
    </w:p>
    <w:p>
      <w:pPr>
        <w:spacing w:after="60"/>
        <w:ind w:left="317" w:hanging="216"/>
      </w:pPr>
      <w:r>
        <w:rPr>
          <w:rFonts w:ascii="Times New Roman" w:hAnsi="Times New Roman"/>
          <w:sz w:val="20"/>
        </w:rPr>
        <w:t>• At each material checkpoint rebuild the fossil-free canonical archive with current files, manifest and SHA-256 hashes.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Drafting Master Control v0.5</dc:title>
  <dc:subject/>
  <dc:creator>Project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