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0"/>
          <w:szCs w:val="30"/>
        </w:rPr>
        <w:t xml:space="preserve">Memo ejecutivo — CareSignal MVP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Para:</w:t>
      </w:r>
      <w:r>
        <w:rPr>
          <w:sz w:val="20"/>
          <w:szCs w:val="20"/>
        </w:rPr>
        <w:t xml:space="preserve"> Comité Directivo / inversionista ángel [nombre por confirmar]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De:</w:t>
      </w:r>
      <w:r>
        <w:rPr>
          <w:sz w:val="20"/>
          <w:szCs w:val="20"/>
        </w:rPr>
        <w:t xml:space="preserve"> Panel integrado (gestión de proyecto, costos, producto, mercado), por encargo de Roberto García, Fundador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15 de octubre de 2026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Asunto:</w:t>
      </w:r>
      <w:r>
        <w:rPr>
          <w:sz w:val="20"/>
          <w:szCs w:val="20"/>
        </w:rPr>
        <w:t xml:space="preserve"> Estado, costo, valor y mercado de CareSignal; decisiones de esta semana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Clasificación:</w:t>
      </w:r>
      <w:r>
        <w:rPr>
          <w:sz w:val="20"/>
          <w:szCs w:val="20"/>
        </w:rPr>
        <w:t xml:space="preserve"> Confidencial, uso interno. MVP operacional, no dispositivo médico. Datos ficticios.</w:t>
      </w:r>
    </w:p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1. Resumen ejecutivo</w:t>
      </w:r>
    </w:p>
    <w:p>
      <w:pPr>
        <w:spacing w:after="80"/>
      </w:pPr>
      <w:r>
        <w:rPr>
          <w:sz w:val="20"/>
          <w:szCs w:val="20"/>
        </w:rPr>
        <w:t xml:space="preserve">El producto base (v0.1.0-workshop) está terminado y aprobado: 20 de 20 pruebas de aceptación y cero hallazgos bloqueantes. El riesgo principal es comercial: no existen clientes, pilotos ni testimonios; la tracción es de producto, no de mercado. La oportunidad principal es un hueco confirmado: los sistemas competidores administran expedientes, pero ninguno modela el ciclo de ronda operativa con estados formales. El costo actual de nube es marginal (estimado en cero a pocos dólares al mes; no hay facturación real que lo confirme). El próximo hito es cerrar la capa L-03 (aplicación instalable) y obtener tres pilotos antes del 30 de noviembre de 2026.</w:t>
      </w:r>
    </w:p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2. Estado de entrega (Gestión de proyecto)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Completado:</w:t>
      </w:r>
      <w:r>
        <w:rPr>
          <w:sz w:val="20"/>
          <w:szCs w:val="20"/>
        </w:rPr>
        <w:t xml:space="preserve"> las 8 fases del producto con aprobación humana; 59 pruebas automatizadas (corte al 4 de octubre); integración continua con revisión de accesibilidad; acceso con cuenta Google; Firebase Hosting en línea; materiales comerciales (presentación, dossier, guion).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Capas de demostración (Fase E5):</w:t>
      </w:r>
      <w:r>
        <w:rPr>
          <w:sz w:val="20"/>
          <w:szCs w:val="20"/>
        </w:rPr>
        <w:t xml:space="preserve"> el panel recibió el contexto con las cuatro capas pendientes; el repositorio indica otra cosa.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523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L-01 Avisos (toasts)</w:t>
            </w:r>
          </w:p>
        </w:tc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Aprobada, 4 oct 2026</w:t>
            </w:r>
          </w:p>
        </w:tc>
      </w:tr>
      <w:tr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L-02 Métricas</w:t>
            </w:r>
          </w:p>
        </w:tc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Aprobada, 4 oct 2026</w:t>
            </w:r>
          </w:p>
        </w:tc>
      </w:tr>
      <w:tr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L-03 App instalable (PWA)</w:t>
            </w:r>
          </w:p>
        </w:tc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 desarrollo; meta: Lighthouse ≥ 80</w:t>
            </w:r>
          </w:p>
        </w:tc>
      </w:tr>
      <w:tr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L-04 Calendario</w:t>
            </w:r>
          </w:p>
        </w:tc>
        <w:tc>
          <w:tcPr>
            <w:tcW w:type="dxa" w:w="52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Aprobada, 5 oct 2026</w:t>
            </w:r>
          </w:p>
        </w:tc>
      </w:tr>
    </w:tbl>
    <w:p/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Deuda técnica priorizada: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Permisos (IAM) del despliegue de Cloud Functions, aún pendientes.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 de 4 minutos sin grabar (guion listo).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docs/RESUME.md desactualizado (corte 4 oct).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Protección de ramas bloqueada por plan gratuito con repositorio privado.</w:t>
      </w:r>
    </w:p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3. Análisis de costos (Analista de costos)</w:t>
      </w:r>
    </w:p>
    <w:p>
      <w:pPr>
        <w:ind w:left="360"/>
      </w:pPr>
      <w:r>
        <w:rPr>
          <w:b/>
          <w:bCs/>
          <w:i/>
          <w:iCs/>
          <w:sz w:val="20"/>
          <w:szCs w:val="20"/>
        </w:rPr>
        <w:t xml:space="preserve">Advertencia:</w:t>
      </w:r>
      <w:r>
        <w:rPr>
          <w:i/>
          <w:iCs/>
          <w:sz w:val="20"/>
          <w:szCs w:val="20"/>
        </w:rPr>
        <w:t xml:space="preserve"> no hay cifras de facturación reales. Lo siguiente es estimación del panel con tarifas públicas de lista, a validar contra la consola de facturación. Costos mensuales en USD; adopción temprana = 50 residencias, ~1,000 usuarios/mes.</w:t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261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Hoy (demo, 0 usuarios)</w:t>
            </w:r>
          </w:p>
        </w:tc>
        <w:tc>
          <w:tcPr>
            <w:tcW w:type="dxa" w:w="261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 meses (adopción temprana)</w:t>
            </w:r>
          </w:p>
        </w:tc>
        <w:tc>
          <w:tcPr>
            <w:tcW w:type="dxa" w:w="261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 meses (adopción temprana)</w:t>
            </w:r>
          </w:p>
        </w:tc>
      </w:tr>
      <w:tr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Hosting (alojamiento web)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0–2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 (acceso con Google)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0–5</w:t>
            </w:r>
          </w:p>
        </w:tc>
      </w:tr>
      <w:tr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Firestore (base de datos)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3–10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8–25</w:t>
            </w:r>
          </w:p>
        </w:tc>
      </w:tr>
      <w:tr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Functions (lógica en servidor)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2–8</w:t>
            </w:r>
          </w:p>
        </w:tc>
      </w:tr>
      <w:tr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≈ 5–15</w:t>
            </w:r>
          </w:p>
        </w:tc>
        <w:tc>
          <w:tcPr>
            <w:tcW w:type="dxa" w:w="26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≈ 10–40</w:t>
            </w:r>
          </w:p>
        </w:tc>
      </w:tr>
    </w:tbl>
    <w:p/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Umbral de alerta:</w:t>
      </w:r>
      <w:r>
        <w:rPr>
          <w:sz w:val="20"/>
          <w:szCs w:val="20"/>
        </w:rPr>
        <w:t xml:space="preserve"> tope de USD 25/mes con avisos al 50 % y 90 % en Facturación de Google Cloud. </w:t>
      </w:r>
      <w:r>
        <w:rPr>
          <w:b/>
          <w:bCs/>
          <w:i w:val="false"/>
          <w:iCs w:val="false"/>
          <w:sz w:val="20"/>
          <w:szCs w:val="20"/>
        </w:rPr>
        <w:t xml:space="preserve">Optimización:</w:t>
      </w:r>
      <w:r>
        <w:rPr>
          <w:sz w:val="20"/>
          <w:szCs w:val="20"/>
        </w:rPr>
        <w:t xml:space="preserve"> limitar lecturas en tiempo real y consolidar consultas de Firestore. </w:t>
      </w:r>
      <w:r>
        <w:rPr>
          <w:b/>
          <w:bCs/>
          <w:i w:val="false"/>
          <w:iCs w:val="false"/>
          <w:sz w:val="20"/>
          <w:szCs w:val="20"/>
        </w:rPr>
        <w:t xml:space="preserve">Lectura de negocio:</w:t>
      </w:r>
      <w:r>
        <w:rPr>
          <w:sz w:val="20"/>
          <w:szCs w:val="20"/>
        </w:rPr>
        <w:t xml:space="preserve"> a precio Esencial ($1,490 MXN/mes por residencia, no validado con clientes), 50 residencias facturarían $74,500 MXN/mes; la nube es un costo menor frente a soporte y ventas.</w:t>
      </w:r>
    </w:p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4. Valor del producto y cartera v0.2 (Producto)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Propuesta diferencial:</w:t>
      </w:r>
      <w:r>
        <w:rPr>
          <w:sz w:val="20"/>
          <w:szCs w:val="20"/>
        </w:rPr>
        <w:t xml:space="preserve"> cubre el ciclo completo ronda → retraso → alerta → escalación → verificación → cierre, con bitácora que no se puede editar y acceso por rol. Declara sus límites: no es dispositivo médico, no detecta caídas, no sustituye personal.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Brechas:</w:t>
      </w:r>
      <w:r>
        <w:rPr>
          <w:sz w:val="20"/>
          <w:szCs w:val="20"/>
        </w:rPr>
        <w:t xml:space="preserve"> sin datos reales ni clientes; la función de inteligencia artificial figura solo como hoja de ruta; los precios carecen de validación; la persistencia en nube necesita respaldo contractual (ver propuesta formal).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Cartera v0.2 que NO requiere cambio al contrato: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Cerrar L-03 (aplicación instalable) con Lighthouse ≥ 80.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Resolver permisos de Functions y activar alertas de presupuesto.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Guion de piloto guiado con datos ficticios y encuesta de disposición a pagar.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Grabar y publicar el video de 4 minutos.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Reverificar el dato de 85 % de sector privado (2018) y actualizar RESUME.md.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Propuesta de cambio formal (§13):</w:t>
      </w:r>
      <w:r>
        <w:rPr>
          <w:sz w:val="20"/>
          <w:szCs w:val="20"/>
        </w:rPr>
        <w:t xml:space="preserve"> versión 0.3.0 que formalice acceso con cuenta Google, persistencia en Firestore y operación multirresidencia. El contrato v0.1.0 excluye autenticación real y base remota; hoy el código ya los usa. Las funciones de inteligencia artificial requerirían una propuesta posterior y separada.</w:t>
      </w:r>
    </w:p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5. Mercado y posicionamiento (Investigación de mercado)</w:t>
      </w:r>
    </w:p>
    <w:p>
      <w:pPr>
        <w:spacing w:after="80"/>
      </w:pPr>
      <w:r>
        <w:rPr>
          <w:sz w:val="20"/>
          <w:szCs w:val="20"/>
        </w:rPr>
        <w:t xml:space="preserve">Las cifras provienen de docs/09-datos-mercado.md (verificado el 26 de agosto de 2026).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</w:rPr>
        <w:t xml:space="preserve">Mercado total (TAM):</w:t>
      </w:r>
      <w:r>
        <w:rPr>
          <w:sz w:val="20"/>
          <w:szCs w:val="20"/>
        </w:rPr>
        <w:t xml:space="preserve"> USD 25.6 mil millones en cuidados de largo plazo en México (Grand View Research, 2025) frente a USD 20.6 mil millones en mercado geriátrico (IMARC Group, 2025). Son firmas privadas y discrepan; no son datos oficiales.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</w:rPr>
        <w:t xml:space="preserve">Mercado alcanzable (SAM):</w:t>
      </w:r>
      <w:r>
        <w:rPr>
          <w:sz w:val="20"/>
          <w:szCs w:val="20"/>
        </w:rPr>
        <w:t xml:space="preserve"> ~1,100–1,300 residencias privadas formales (DENUE, 2025). DENUE registra 1,297 establecimientos; INEGI (2020) cita ~1,500 centros. Son metodologías distintas y hay informalidad no cuantificada.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</w:rPr>
        <w:t xml:space="preserve">Mercado capturable (SOM):</w:t>
      </w:r>
      <w:r>
        <w:rPr>
          <w:sz w:val="20"/>
          <w:szCs w:val="20"/>
        </w:rPr>
        <w:t xml:space="preserve"> 50–200 residencias en 3–5 años (estimación del panel).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</w:rPr>
        <w:t xml:space="preserve">Competidores:</w:t>
      </w:r>
      <w:r>
        <w:rPr>
          <w:sz w:val="20"/>
          <w:szCs w:val="20"/>
        </w:rPr>
        <w:t xml:space="preserve"> Cronos Care (México, +50 residencias activas) y GERIGES (España, versión México), ambos de expediente y administración; ninguno publica precios (búsqueda web, 26 ago 2026). Su cobertura se limita a lo detectable públicamente.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</w:rPr>
        <w:t xml:space="preserve">Señal de adopción:</w:t>
      </w:r>
      <w:r>
        <w:rPr>
          <w:sz w:val="20"/>
          <w:szCs w:val="20"/>
        </w:rPr>
        <w:t xml:space="preserve"> el registro de residencias creció 18 % de 2024 a 2025 (DENUE, cálculo propio), y Cronos Care demuestra que ya se compra software en el segmento.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</w:rPr>
        <w:t xml:space="preserve">Ventana de oportunidad:</w:t>
      </w:r>
      <w:r>
        <w:rPr>
          <w:sz w:val="20"/>
          <w:szCs w:val="20"/>
        </w:rPr>
        <w:t xml:space="preserve"> la NOM-031-SSA3-2012 sigue vigente, pero la CNDH supervisó 58 de ~1,500 centros (CNDH, 2020): la norma legitima la compra, no la fuerza. La ventana existe mientras nadie ocupe el ciclo de ronda operativa; su duración es juicio del panel.</w:t>
      </w:r>
    </w:p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6. Matriz de riesgos</w:t>
      </w:r>
    </w:p>
    <w:tbl>
      <w:tblPr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74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174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Prob.</w:t>
            </w:r>
          </w:p>
        </w:tc>
        <w:tc>
          <w:tcPr>
            <w:tcW w:type="dxa" w:w="174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174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 mitigante</w:t>
            </w:r>
          </w:p>
        </w:tc>
        <w:tc>
          <w:tcPr>
            <w:tcW w:type="dxa" w:w="1744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Dueño</w:t>
            </w:r>
          </w:p>
        </w:tc>
      </w:tr>
      <w:tr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Alto.</w:t>
            </w:r>
            <w:r>
              <w:rPr>
                <w:sz w:val="20"/>
                <w:szCs w:val="20"/>
              </w:rPr>
              <w:t xml:space="preserve"> Sin validación comercial: cero pilotos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70 %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Conseguir 3 pilotos o cartas de intención antes del 30 nov 2026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R. García</w:t>
            </w:r>
          </w:p>
        </w:tc>
      </w:tr>
      <w:tr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Alto.</w:t>
            </w:r>
            <w:r>
              <w:rPr>
                <w:sz w:val="20"/>
                <w:szCs w:val="20"/>
              </w:rPr>
              <w:t xml:space="preserve"> Código en nube fuera del contrato v0.1.0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60 %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Presentar cambio formal v0.3.0 antes del 31 oct 2026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R. García</w:t>
            </w:r>
          </w:p>
        </w:tc>
      </w:tr>
      <w:tr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Medio.</w:t>
            </w:r>
            <w:r>
              <w:rPr>
                <w:sz w:val="20"/>
                <w:szCs w:val="20"/>
              </w:rPr>
              <w:t xml:space="preserve"> Dependencia de una sola persona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50 %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Documentar decisiones (ADR vigentes) y sumar un colaborador técnico en el primer trimestre de 2027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Comité</w:t>
            </w:r>
          </w:p>
        </w:tc>
      </w:tr>
      <w:tr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Medio.</w:t>
            </w:r>
            <w:r>
              <w:rPr>
                <w:sz w:val="20"/>
                <w:szCs w:val="20"/>
              </w:rPr>
              <w:t xml:space="preserve"> Precios sin validar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60 %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 entrevistas con direcciones de residencias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 comercial</w:t>
            </w:r>
          </w:p>
        </w:tc>
      </w:tr>
      <w:tr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Bajo.</w:t>
            </w:r>
            <w:r>
              <w:rPr>
                <w:sz w:val="20"/>
                <w:szCs w:val="20"/>
              </w:rPr>
              <w:t xml:space="preserve"> Permisos de Functions pendientes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40 %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Bajo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Asignar rol de despliegue y repetir el flujo</w:t>
            </w:r>
          </w:p>
        </w:tc>
        <w:tc>
          <w:tcPr>
            <w:tcW w:type="dxa" w:w="17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R. García</w:t>
            </w:r>
          </w:p>
        </w:tc>
      </w:tr>
    </w:tbl>
    <w:p/>
    <w:p>
      <w:pPr>
        <w:pStyle w:val="Heading2"/>
        <w:spacing w:after="60" w:before="160"/>
      </w:pPr>
      <w:r>
        <w:rPr>
          <w:b/>
          <w:bCs/>
          <w:sz w:val="24"/>
          <w:szCs w:val="24"/>
        </w:rPr>
        <w:t xml:space="preserve">7. Decisiones requeridas del Comité Directivo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Aprobar la solicitud de cambio formal v0.3.0 (acceso Google, Firestore, multirresidencia). </w:t>
      </w:r>
      <w:r>
        <w:rPr>
          <w:b/>
          <w:bCs/>
          <w:i w:val="false"/>
          <w:iCs w:val="false"/>
          <w:sz w:val="20"/>
          <w:szCs w:val="20"/>
        </w:rPr>
        <w:t xml:space="preserve">Dueño:</w:t>
      </w:r>
      <w:r>
        <w:rPr>
          <w:sz w:val="20"/>
          <w:szCs w:val="20"/>
        </w:rPr>
        <w:t xml:space="preserve"> Roberto García. </w:t>
      </w:r>
      <w:r>
        <w:rPr>
          <w:b/>
          <w:bCs/>
          <w:i w:val="false"/>
          <w:iCs w:val="false"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31 oct 2026.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Fijar tope de gasto en nube de USD 25/mes con alertas. </w:t>
      </w:r>
      <w:r>
        <w:rPr>
          <w:b/>
          <w:bCs/>
          <w:i w:val="false"/>
          <w:iCs w:val="false"/>
          <w:sz w:val="20"/>
          <w:szCs w:val="20"/>
        </w:rPr>
        <w:t xml:space="preserve">Dueño:</w:t>
      </w:r>
      <w:r>
        <w:rPr>
          <w:sz w:val="20"/>
          <w:szCs w:val="20"/>
        </w:rPr>
        <w:t xml:space="preserve"> Roberto García. </w:t>
      </w:r>
      <w:r>
        <w:rPr>
          <w:b/>
          <w:bCs/>
          <w:i w:val="false"/>
          <w:iCs w:val="false"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20 oct 2026.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Autorizar la búsqueda de 3 residencias piloto con datos ficticios. </w:t>
      </w:r>
      <w:r>
        <w:rPr>
          <w:b/>
          <w:bCs/>
          <w:i w:val="false"/>
          <w:iCs w:val="false"/>
          <w:sz w:val="20"/>
          <w:szCs w:val="20"/>
        </w:rPr>
        <w:t xml:space="preserve">Dueño:</w:t>
      </w:r>
      <w:r>
        <w:rPr>
          <w:sz w:val="20"/>
          <w:szCs w:val="20"/>
        </w:rPr>
        <w:t xml:space="preserve"> Presidente del Comité. </w:t>
      </w:r>
      <w:r>
        <w:rPr>
          <w:b/>
          <w:bCs/>
          <w:i w:val="false"/>
          <w:iCs w:val="false"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30 nov 2026.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Aprobar entrevistas para validar precios. </w:t>
      </w:r>
      <w:r>
        <w:rPr>
          <w:b/>
          <w:bCs/>
          <w:i w:val="false"/>
          <w:iCs w:val="false"/>
          <w:sz w:val="20"/>
          <w:szCs w:val="20"/>
        </w:rPr>
        <w:t xml:space="preserve">Dueño:</w:t>
      </w:r>
      <w:r>
        <w:rPr>
          <w:sz w:val="20"/>
          <w:szCs w:val="20"/>
        </w:rPr>
        <w:t xml:space="preserve"> Asesor comercial (por designar). </w:t>
      </w:r>
      <w:r>
        <w:rPr>
          <w:b/>
          <w:bCs/>
          <w:i w:val="false"/>
          <w:iCs w:val="false"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15 dic 2026.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Cerrar la puerta de aprobación L-03 y grabar el video. </w:t>
      </w:r>
      <w:r>
        <w:rPr>
          <w:b/>
          <w:bCs/>
          <w:i w:val="false"/>
          <w:iCs w:val="false"/>
          <w:sz w:val="20"/>
          <w:szCs w:val="20"/>
        </w:rPr>
        <w:t xml:space="preserve">Dueño:</w:t>
      </w:r>
      <w:r>
        <w:rPr>
          <w:sz w:val="20"/>
          <w:szCs w:val="20"/>
        </w:rPr>
        <w:t xml:space="preserve"> Roberto García. </w:t>
      </w:r>
      <w:r>
        <w:rPr>
          <w:b/>
          <w:bCs/>
          <w:i w:val="false"/>
          <w:iCs w:val="false"/>
          <w:sz w:val="20"/>
          <w:szCs w:val="20"/>
        </w:rPr>
        <w:t xml:space="preserve">Fecha:</w:t>
      </w:r>
      <w:r>
        <w:rPr>
          <w:sz w:val="20"/>
          <w:szCs w:val="20"/>
        </w:rPr>
        <w:t xml:space="preserve"> 6 nov 2026.</w:t>
      </w:r>
    </w:p>
    <w:p>
      <w:pPr>
        <w:spacing w:after="80"/>
      </w:pPr>
      <w:r>
        <w:rPr>
          <w:b w:val="false"/>
          <w:bCs w:val="false"/>
          <w:i/>
          <w:iCs/>
          <w:sz w:val="20"/>
          <w:szCs w:val="20"/>
        </w:rPr>
        <w:t xml:space="preserve">Datos por completar:</w:t>
      </w:r>
      <w:r>
        <w:rPr>
          <w:sz w:val="20"/>
          <w:szCs w:val="20"/>
        </w:rPr>
        <w:t xml:space="preserve"> facturación real de Google Cloud, fecha del demo, nombre del inversionista.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2026-10-15T15:17:22.914Z</dcterms:created>
  <dcterms:modified xsi:type="dcterms:W3CDTF">2026-10-15T15:17:22.915Z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