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GUEVARA SANDOVAL KEVIN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0953216678</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28/01/2025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