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2AB9" w14:textId="264236A7" w:rsidR="001F542F" w:rsidRDefault="000D22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Práctica 4. Data </w:t>
      </w:r>
      <w:proofErr w:type="spellStart"/>
      <w:r>
        <w:rPr>
          <w:b/>
          <w:sz w:val="24"/>
          <w:szCs w:val="24"/>
        </w:rPr>
        <w:t>warehouse</w:t>
      </w:r>
      <w:proofErr w:type="spellEnd"/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5886"/>
      </w:tblGrid>
      <w:tr w:rsidR="001F542F" w14:paraId="7EC506A1" w14:textId="77777777">
        <w:tc>
          <w:tcPr>
            <w:tcW w:w="2942" w:type="dxa"/>
          </w:tcPr>
          <w:p w14:paraId="7070BB31" w14:textId="77777777" w:rsidR="001F542F" w:rsidRDefault="000D22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5886" w:type="dxa"/>
          </w:tcPr>
          <w:p w14:paraId="2FCA4BA7" w14:textId="63A79DC9" w:rsidR="001F542F" w:rsidRDefault="00E22D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Roberto Jaime Rico Sandoval</w:t>
            </w:r>
          </w:p>
        </w:tc>
      </w:tr>
      <w:tr w:rsidR="001F542F" w14:paraId="19D82591" w14:textId="77777777">
        <w:tc>
          <w:tcPr>
            <w:tcW w:w="2942" w:type="dxa"/>
          </w:tcPr>
          <w:p w14:paraId="679C3AD5" w14:textId="77777777" w:rsidR="001F542F" w:rsidRDefault="000D22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Folio:</w:t>
            </w:r>
          </w:p>
        </w:tc>
        <w:tc>
          <w:tcPr>
            <w:tcW w:w="5886" w:type="dxa"/>
          </w:tcPr>
          <w:p w14:paraId="6F89F064" w14:textId="1A17583C" w:rsidR="001F542F" w:rsidRDefault="00E22D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964NB09</w:t>
            </w:r>
          </w:p>
        </w:tc>
      </w:tr>
      <w:tr w:rsidR="001F542F" w14:paraId="781C0B2D" w14:textId="77777777">
        <w:tc>
          <w:tcPr>
            <w:tcW w:w="2942" w:type="dxa"/>
          </w:tcPr>
          <w:p w14:paraId="1425DB42" w14:textId="77777777" w:rsidR="001F542F" w:rsidRDefault="000D22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Pilares</w:t>
            </w:r>
          </w:p>
        </w:tc>
        <w:tc>
          <w:tcPr>
            <w:tcW w:w="5886" w:type="dxa"/>
          </w:tcPr>
          <w:p w14:paraId="0B593391" w14:textId="533F4A68" w:rsidR="001F542F" w:rsidRDefault="00E22D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PILARES Huipulco</w:t>
            </w:r>
          </w:p>
        </w:tc>
      </w:tr>
    </w:tbl>
    <w:p w14:paraId="66E5C4D1" w14:textId="7119976F" w:rsidR="001F542F" w:rsidRDefault="001F542F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7BC6F5A" w14:textId="33ECDF0E" w:rsidR="001F542F" w:rsidRDefault="000D2280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Objetivo: Demostrar la identificación de los elementos que componen data </w:t>
      </w:r>
      <w:proofErr w:type="spellStart"/>
      <w:r>
        <w:rPr>
          <w:b/>
          <w:sz w:val="24"/>
          <w:szCs w:val="24"/>
        </w:rPr>
        <w:t>warehouse</w:t>
      </w:r>
      <w:proofErr w:type="spellEnd"/>
      <w:r>
        <w:rPr>
          <w:b/>
          <w:sz w:val="24"/>
          <w:szCs w:val="24"/>
        </w:rPr>
        <w:t xml:space="preserve"> y su esquema</w:t>
      </w:r>
    </w:p>
    <w:p w14:paraId="69463153" w14:textId="77777777" w:rsidR="00BC6C4B" w:rsidRDefault="00BC6C4B" w:rsidP="00BC6C4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8D55676" w14:textId="6C8A35BC" w:rsidR="001F542F" w:rsidRPr="00BC6C4B" w:rsidRDefault="00BC6C4B" w:rsidP="0009682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1F3864" w:themeColor="accent5" w:themeShade="80"/>
          <w:sz w:val="28"/>
          <w:szCs w:val="28"/>
        </w:rPr>
      </w:pPr>
      <w:r>
        <w:rPr>
          <w:b/>
          <w:bCs/>
          <w:noProof/>
          <w:color w:val="4472C4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D5F23" wp14:editId="08BE3542">
                <wp:simplePos x="0" y="0"/>
                <wp:positionH relativeFrom="margin">
                  <wp:align>center</wp:align>
                </wp:positionH>
                <wp:positionV relativeFrom="paragraph">
                  <wp:posOffset>340360</wp:posOffset>
                </wp:positionV>
                <wp:extent cx="6096000" cy="16002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00200"/>
                        </a:xfrm>
                        <a:prstGeom prst="rect">
                          <a:avLst/>
                        </a:prstGeom>
                        <a:gradFill>
                          <a:gsLst>
                            <a:gs pos="32000">
                              <a:srgbClr val="7030A0"/>
                            </a:gs>
                            <a:gs pos="100000">
                              <a:srgbClr val="F5CBEC"/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7D2C0" w14:textId="77777777" w:rsidR="00BC6C4B" w:rsidRPr="00B522F4" w:rsidRDefault="00BC6C4B" w:rsidP="00B522F4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522F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Re:</w:t>
                            </w:r>
                            <w:r w:rsidRPr="00B522F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Un almacén de datos o Data </w:t>
                            </w:r>
                            <w:proofErr w:type="spellStart"/>
                            <w:r w:rsidRPr="00B522F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Warehouse</w:t>
                            </w:r>
                            <w:proofErr w:type="spellEnd"/>
                            <w:r w:rsidRPr="00B522F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es una pila centralizada de información y datos. Estos almacenes de datos, trabajan mediante bases de datos relacionales y no relacionales, en donde, habitualmente se utiliza el lenguaje de programación SQL, para realizar consultas sobre la información almacenada. Estos almacenes de datos, son muy utilizados por mineros de datos, analistas de BI (Business </w:t>
                            </w:r>
                            <w:proofErr w:type="spellStart"/>
                            <w:r w:rsidRPr="00B522F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Intelligences</w:t>
                            </w:r>
                            <w:proofErr w:type="spellEnd"/>
                            <w:r w:rsidRPr="00B522F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), Científico de datos e ingenieros de Big Data.</w:t>
                            </w:r>
                          </w:p>
                          <w:p w14:paraId="33C269B4" w14:textId="77777777" w:rsidR="00BC6C4B" w:rsidRDefault="00BC6C4B" w:rsidP="00BC6C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1D5F23" id="Rectángulo 1" o:spid="_x0000_s1026" style="position:absolute;left:0;text-align:left;margin-left:0;margin-top:26.8pt;width:480pt;height:12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" fillcolor="#7030a0" strokecolor="#1f4d78 [1604]" strokeweight="1pt">
                <v:fill color2="#f5cbec" colors="0 #7030a0;20972f #7030a0" focus="100%" type="gradient"/>
                <v:textbox>
                  <w:txbxContent>
                    <w:p w14:paraId="6547D2C0" w14:textId="77777777" w:rsidR="00BC6C4B" w:rsidRPr="00B522F4" w:rsidRDefault="00BC6C4B" w:rsidP="00B522F4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522F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Re:</w:t>
                      </w:r>
                      <w:r w:rsidRPr="00B522F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Un almacén de datos o Data </w:t>
                      </w:r>
                      <w:proofErr w:type="spellStart"/>
                      <w:r w:rsidRPr="00B522F4">
                        <w:rPr>
                          <w:color w:val="FFFFFF" w:themeColor="background1"/>
                          <w:sz w:val="24"/>
                          <w:szCs w:val="24"/>
                        </w:rPr>
                        <w:t>Warehouse</w:t>
                      </w:r>
                      <w:proofErr w:type="spellEnd"/>
                      <w:r w:rsidRPr="00B522F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, es una pila centralizada de información y datos. Estos almacenes de datos, trabajan mediante bases de datos relacionales y no relacionales, en donde, habitualmente se utiliza el lenguaje de programación SQL, para realizar consultas sobre la información almacenada. Estos almacenes de datos, son muy utilizados por mineros de datos, analistas de BI (Business </w:t>
                      </w:r>
                      <w:proofErr w:type="spellStart"/>
                      <w:r w:rsidRPr="00B522F4">
                        <w:rPr>
                          <w:color w:val="FFFFFF" w:themeColor="background1"/>
                          <w:sz w:val="24"/>
                          <w:szCs w:val="24"/>
                        </w:rPr>
                        <w:t>Intelligences</w:t>
                      </w:r>
                      <w:proofErr w:type="spellEnd"/>
                      <w:r w:rsidRPr="00B522F4">
                        <w:rPr>
                          <w:color w:val="FFFFFF" w:themeColor="background1"/>
                          <w:sz w:val="24"/>
                          <w:szCs w:val="24"/>
                        </w:rPr>
                        <w:t>), Científico de datos e ingenieros de Big Data.</w:t>
                      </w:r>
                    </w:p>
                    <w:p w14:paraId="33C269B4" w14:textId="77777777" w:rsidR="00BC6C4B" w:rsidRDefault="00BC6C4B" w:rsidP="00BC6C4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2280" w:rsidRPr="00BC6C4B">
        <w:rPr>
          <w:b/>
          <w:bCs/>
          <w:color w:val="1F3864" w:themeColor="accent5" w:themeShade="80"/>
          <w:sz w:val="28"/>
          <w:szCs w:val="28"/>
        </w:rPr>
        <w:t>1. ¿Qué es un Almacén de Datos?</w:t>
      </w:r>
      <w:r w:rsidR="0009682A" w:rsidRPr="00BC6C4B">
        <w:rPr>
          <w:b/>
          <w:bCs/>
          <w:color w:val="1F3864" w:themeColor="accent5" w:themeShade="80"/>
          <w:sz w:val="28"/>
          <w:szCs w:val="28"/>
        </w:rPr>
        <w:t xml:space="preserve"> </w:t>
      </w:r>
      <w:r w:rsidR="000D2280" w:rsidRPr="00BC6C4B">
        <w:rPr>
          <w:b/>
          <w:bCs/>
          <w:color w:val="1F3864" w:themeColor="accent5" w:themeShade="80"/>
          <w:sz w:val="28"/>
          <w:szCs w:val="28"/>
        </w:rPr>
        <w:t>(valor 2)</w:t>
      </w:r>
    </w:p>
    <w:p w14:paraId="7E2AE3AC" w14:textId="21B309C3" w:rsidR="0009682A" w:rsidRDefault="0009682A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E9F7CC8" w14:textId="7D1B5041" w:rsidR="00BC6C4B" w:rsidRDefault="00BC6C4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305FB27" w14:textId="77777777" w:rsidR="00BC6C4B" w:rsidRDefault="00BC6C4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6F71362" w14:textId="77777777" w:rsidR="00BC6C4B" w:rsidRDefault="00BC6C4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49C9D37" w14:textId="77777777" w:rsidR="00BC6C4B" w:rsidRDefault="00BC6C4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F09F00D" w14:textId="77777777" w:rsidR="00BC6C4B" w:rsidRDefault="00BC6C4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DBE21E0" w14:textId="77777777" w:rsidR="00BC6C4B" w:rsidRDefault="00BC6C4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9BD5204" w14:textId="77777777" w:rsidR="00BC6C4B" w:rsidRDefault="00BC6C4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CB7C283" w14:textId="12267E05" w:rsidR="001F542F" w:rsidRDefault="000D228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2. Realiza un diagrama ejemplo del modelo en estrella (valor 2)</w:t>
      </w:r>
    </w:p>
    <w:p w14:paraId="4C1F4771" w14:textId="77777777" w:rsidR="00BC6C4B" w:rsidRDefault="0009682A" w:rsidP="00BC6C4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EF14A4" w14:textId="581C2E0B" w:rsidR="001F542F" w:rsidRPr="00BC6C4B" w:rsidRDefault="000D2280" w:rsidP="00BC6C4B">
      <w:pPr>
        <w:jc w:val="center"/>
        <w:rPr>
          <w:b/>
          <w:bCs/>
          <w:color w:val="1F3864" w:themeColor="accent5" w:themeShade="80"/>
          <w:sz w:val="28"/>
          <w:szCs w:val="28"/>
        </w:rPr>
      </w:pPr>
      <w:r w:rsidRPr="00BC6C4B">
        <w:rPr>
          <w:b/>
          <w:bCs/>
          <w:color w:val="1F3864" w:themeColor="accent5" w:themeShade="80"/>
          <w:sz w:val="28"/>
          <w:szCs w:val="28"/>
        </w:rPr>
        <w:lastRenderedPageBreak/>
        <w:t>3.  Realiza un diagrama ejemplo del modelo copo de nieve (valor 2)</w:t>
      </w:r>
    </w:p>
    <w:p w14:paraId="54F79A43" w14:textId="77777777" w:rsidR="001F542F" w:rsidRDefault="001F542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1F542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2F"/>
    <w:rsid w:val="0009682A"/>
    <w:rsid w:val="000D2280"/>
    <w:rsid w:val="001F542F"/>
    <w:rsid w:val="00441545"/>
    <w:rsid w:val="00B522F4"/>
    <w:rsid w:val="00BC6C4B"/>
    <w:rsid w:val="00E2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08AC"/>
  <w15:docId w15:val="{6276BD36-B8C1-4659-A176-FA9366C0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B8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1FC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GRJabyFlNx3y64omqBBqYKvk6A==">AMUW2mWSN050ECtzerNIPi/0leUFOTG0TwfOO+DdAQy288IUpWOYCZfSf3H6UvOzWXoKLVsnt53HpMz5sXNBJPPUOJ6j+alnke+c8yiDRmJX+0xJ4t0mek4=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Aylenid Aleman Perez</dc:creator>
  <cp:lastModifiedBy>Ruperto Hahúm Sandoval</cp:lastModifiedBy>
  <cp:revision>7</cp:revision>
  <dcterms:created xsi:type="dcterms:W3CDTF">2022-06-04T06:11:00Z</dcterms:created>
  <dcterms:modified xsi:type="dcterms:W3CDTF">2022-07-03T06:38:00Z</dcterms:modified>
</cp:coreProperties>
</file>