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99AE9">
      <w:pPr>
        <w:pStyle w:val="2"/>
        <w:rPr>
          <w:rFonts w:hint="default"/>
          <w:lang w:val="en-US"/>
        </w:rPr>
      </w:pPr>
      <w:r>
        <w:t>Investigating Allegations of Soil Pollution in the Kalumbila Mineralized Zon</w:t>
      </w:r>
      <w:r>
        <w:rPr>
          <w:rFonts w:hint="default"/>
          <w:lang w:val="en-US"/>
        </w:rPr>
        <w:t>e</w:t>
      </w:r>
    </w:p>
    <w:p w14:paraId="3AADBD68">
      <w:pPr>
        <w:rPr>
          <w:rFonts w:hint="default"/>
          <w:lang w:val="en-US"/>
        </w:rPr>
      </w:pPr>
    </w:p>
    <w:p w14:paraId="1506182C">
      <w:pPr>
        <w:spacing w:after="240"/>
        <w:rPr>
          <w:rFonts w:hint="default"/>
          <w:b/>
          <w:bCs/>
          <w:lang w:val="en-US"/>
        </w:rPr>
      </w:pPr>
      <w:r>
        <w:rPr>
          <w:rFonts w:hint="default"/>
          <w:b/>
          <w:bCs/>
          <w:lang w:val="en-US"/>
        </w:rPr>
        <w:t xml:space="preserve">Motivation </w:t>
      </w:r>
    </w:p>
    <w:p w14:paraId="7239F1EE">
      <w:pPr>
        <w:spacing w:after="240"/>
        <w:rPr>
          <w:rFonts w:hint="default"/>
          <w:b w:val="0"/>
          <w:bCs w:val="0"/>
          <w:lang w:val="en-US"/>
        </w:rPr>
      </w:pPr>
      <w:r>
        <w:rPr>
          <w:rFonts w:hint="default"/>
          <w:b w:val="0"/>
          <w:bCs w:val="0"/>
          <w:lang w:val="en-US"/>
        </w:rPr>
        <w:t>The Kalumbila Mineralized Zone in northwestern Zambia presents a complex environmental challenge where naturally elevated metal concentrations from geological mineralization coexist with potential anthropogenic contamination from mining activities. Traditional environmental assessment methods, relying on single-element thresholds and deterministic classification, are inadequate for distinguishing natural geochemical enrichment from anthropogenic pollution in such mineralized terrains. This research proposes an integrated data science framework combining Compositional Data Analysis (CoDA), multivariate outlier detection, Principal Component Analysis (PCA), Extreme Value Analysis (EVA), clustering, and geostatistical methods to objectively identify soil anomalies. By employing these data science statistical techniques that explicitly quantify uncertainty and incorporate spatial context, this study provides scientifically defensible, reproducible results supporting environmentally sustainable and socially responsible decision-making. The methodology offers a transferable framework applicable to similar mineralized terrains worldwide, demonstrating the necessity of moving beyond simplistic threshold-based approaches to complex environmental management problems.</w:t>
      </w:r>
    </w:p>
    <w:p w14:paraId="2A971F50">
      <w:pPr>
        <w:spacing w:after="240"/>
        <w:rPr>
          <w:rFonts w:hint="default"/>
        </w:rPr>
      </w:pPr>
      <w:r>
        <w:rPr>
          <w:rFonts w:hint="default"/>
          <w:b w:val="0"/>
          <w:bCs w:val="0"/>
          <w:lang w:val="en-US"/>
        </w:rPr>
        <w:br w:type="textWrapping"/>
      </w:r>
      <w:r>
        <w:t>1. Introduction and Background</w:t>
      </w:r>
      <w:r>
        <w:br w:type="textWrapping"/>
      </w:r>
      <w:r>
        <w:br w:type="textWrapping"/>
      </w:r>
      <w:r>
        <w:rPr>
          <w:rFonts w:hint="default"/>
        </w:rPr>
        <w:t>With the growing global demand for subsurface resources such as critical minerals, rare earth elements, geothermal energy, and groundwater, the sustainable management of surface and subsurface systems represents a critical scientific and societal priority. Soil geochemistry provides a direct window into surface and subsurface processes, mineralization, and environmental conditions, making it a key tool for mapping contamination, mineral prospectivity, field exploration geology, and environmental protection.</w:t>
      </w:r>
    </w:p>
    <w:p w14:paraId="2696EB40">
      <w:pPr>
        <w:spacing w:after="240"/>
        <w:rPr>
          <w:rFonts w:hint="default"/>
        </w:rPr>
      </w:pPr>
      <w:r>
        <w:rPr>
          <w:rFonts w:hint="default"/>
        </w:rPr>
        <w:t>Mineral deposits produce distinctive soil geochemical signatures that can extend several kilometers due to weathering, erosion, and sediment transport. These geochemical footprints can reach up to 6 km, leading to naturally elevated metal concentrations even in areas without direct mining activity. In mineralized terrains like Kalumbila, soil geochemistry reflects a complex mixture of natural geological enrichment and potential anthropogenic inputs, making the assessment of pollution allegations particularly challenging.</w:t>
      </w:r>
      <w:r>
        <w:rPr>
          <w:rFonts w:hint="default"/>
          <w:lang w:val="en-US"/>
        </w:rPr>
        <w:t xml:space="preserve"> </w:t>
      </w:r>
      <w:r>
        <w:rPr>
          <w:rFonts w:hint="default"/>
        </w:rPr>
        <w:t>Kalumbila, located in north-western Zambia, is naturally enriched in metals due to:</w:t>
      </w:r>
    </w:p>
    <w:p w14:paraId="3067F493">
      <w:pPr>
        <w:spacing w:after="240"/>
        <w:rPr>
          <w:rFonts w:hint="default"/>
        </w:rPr>
      </w:pPr>
      <w:r>
        <w:rPr>
          <w:rFonts w:hint="default"/>
          <w:lang w:val="en-US"/>
        </w:rPr>
        <w:t xml:space="preserve">- </w:t>
      </w:r>
      <w:r>
        <w:rPr>
          <w:rFonts w:hint="default"/>
        </w:rPr>
        <w:t>Underlying lithology</w:t>
      </w:r>
    </w:p>
    <w:p w14:paraId="589B0996">
      <w:pPr>
        <w:spacing w:after="240"/>
        <w:rPr>
          <w:rFonts w:hint="default"/>
        </w:rPr>
      </w:pPr>
      <w:r>
        <w:rPr>
          <w:rFonts w:hint="default"/>
          <w:lang w:val="en-US"/>
        </w:rPr>
        <w:t xml:space="preserve">- </w:t>
      </w:r>
      <w:r>
        <w:rPr>
          <w:rFonts w:hint="default"/>
        </w:rPr>
        <w:t>Hydrothermal alteration</w:t>
      </w:r>
    </w:p>
    <w:p w14:paraId="744C1DB6">
      <w:pPr>
        <w:spacing w:after="240"/>
        <w:rPr>
          <w:rFonts w:hint="default"/>
        </w:rPr>
      </w:pPr>
      <w:r>
        <w:rPr>
          <w:rFonts w:hint="default"/>
          <w:lang w:val="en-US"/>
        </w:rPr>
        <w:t xml:space="preserve">- </w:t>
      </w:r>
      <w:r>
        <w:rPr>
          <w:rFonts w:hint="default"/>
        </w:rPr>
        <w:t>Long-term tropical weathering</w:t>
      </w:r>
    </w:p>
    <w:p w14:paraId="30DD62C7">
      <w:pPr>
        <w:spacing w:after="240"/>
        <w:rPr>
          <w:rFonts w:hint="default"/>
        </w:rPr>
      </w:pPr>
      <w:r>
        <w:rPr>
          <w:rFonts w:hint="default"/>
        </w:rPr>
        <w:t>Mining activities and land use changes raise concerns about soil pollution, especially from heavy metals and metalloids that are persistent, toxic, and non-biodegradable. Addressing soil pollution in this region is critical for environmental sustainability and social well-being, ensuring safe land for communities, agriculture, and future development.</w:t>
      </w:r>
    </w:p>
    <w:p w14:paraId="53EAAE20">
      <w:pPr>
        <w:spacing w:after="240"/>
        <w:rPr>
          <w:rFonts w:hint="default"/>
        </w:rPr>
      </w:pPr>
      <w:r>
        <w:rPr>
          <w:rFonts w:hint="default"/>
        </w:rPr>
        <w:t>Conventional environmental assessment methods including single-element thresholds and deterministic yes/no classifications cannot account for multivariate geochemical relationships, ignore spatial context, and do not quantify uncertainty. Thus, this project employs modern data science and multivariate methods to provide robust, defensible, and socially responsible interpretations.</w:t>
      </w:r>
    </w:p>
    <w:p w14:paraId="416EAC38">
      <w:pPr>
        <w:numPr>
          <w:ilvl w:val="0"/>
          <w:numId w:val="7"/>
        </w:numPr>
        <w:spacing w:after="240"/>
      </w:pPr>
      <w:r>
        <w:t>Study Area: Kalumbila Mineralized Zone</w:t>
      </w:r>
      <w:r>
        <w:br w:type="textWrapping"/>
      </w:r>
      <w:r>
        <w:br w:type="textWrapping"/>
      </w:r>
      <w:r>
        <w:t>The study area is located in north-western Zambia within an actively mined and highly mineralized geological setting. The region exhibits strong natural geochemical enrichment driven by lithology, hydrothermal mineralization, and prolonged tropical weathering.</w:t>
      </w:r>
      <w:r>
        <w:br w:type="textWrapping"/>
      </w:r>
      <w:r>
        <w:br w:type="textWrapping"/>
      </w:r>
      <w:r>
        <w:t>Elevated metal concentrations in Kalumbila soils may arise from both natural geological processes and anthropogenic mining activities. This duality makes Kalumbila an ideal and realistic case study for applying multivariate, spatially aware, and uncertainty-based analytical methods.</w:t>
      </w:r>
      <w:r>
        <w:br w:type="textWrapping"/>
      </w:r>
    </w:p>
    <w:p w14:paraId="64FBB646">
      <w:pPr>
        <w:numPr>
          <w:numId w:val="0"/>
        </w:numPr>
        <w:spacing w:after="240"/>
        <w:rPr>
          <w:rFonts w:hint="default"/>
        </w:rPr>
      </w:pPr>
      <w:r>
        <w:rPr>
          <w:rFonts w:hint="default"/>
          <w:lang w:val="en-US"/>
        </w:rPr>
        <w:t>3.</w:t>
      </w:r>
      <w:r>
        <w:t xml:space="preserve"> Problem Statement</w:t>
      </w:r>
      <w:r>
        <w:br w:type="textWrapping"/>
      </w:r>
      <w:r>
        <w:br w:type="textWrapping"/>
      </w:r>
      <w:r>
        <w:rPr>
          <w:rFonts w:hint="default"/>
        </w:rPr>
        <w:t>Soil pollution allegations in mineralized regions present a major environmental and social challenge. Elevated metal concentrations may threaten ecosystem health, agricultural productivity, and community well-being, making environmental sustainability and public safety central concerns.</w:t>
      </w:r>
      <w:r>
        <w:rPr>
          <w:rFonts w:hint="default"/>
          <w:lang w:val="en-US"/>
        </w:rPr>
        <w:t xml:space="preserve"> </w:t>
      </w:r>
      <w:r>
        <w:rPr>
          <w:rFonts w:hint="default"/>
        </w:rPr>
        <w:t>Traditional methods relying on single-element thresholds and deterministic classification:</w:t>
      </w:r>
    </w:p>
    <w:p w14:paraId="22327BA9">
      <w:pPr>
        <w:spacing w:after="240"/>
        <w:rPr>
          <w:rFonts w:hint="default"/>
        </w:rPr>
      </w:pPr>
      <w:r>
        <w:rPr>
          <w:rFonts w:hint="default"/>
          <w:lang w:val="en-US"/>
        </w:rPr>
        <w:t xml:space="preserve">- </w:t>
      </w:r>
      <w:r>
        <w:rPr>
          <w:rFonts w:hint="default"/>
        </w:rPr>
        <w:t>Fail to detect subtle but important anomalies</w:t>
      </w:r>
    </w:p>
    <w:p w14:paraId="0B1B2CB4">
      <w:pPr>
        <w:spacing w:after="240"/>
        <w:rPr>
          <w:rFonts w:hint="default"/>
        </w:rPr>
      </w:pPr>
      <w:r>
        <w:rPr>
          <w:rFonts w:hint="default"/>
          <w:lang w:val="en-US"/>
        </w:rPr>
        <w:t xml:space="preserve">- </w:t>
      </w:r>
      <w:r>
        <w:rPr>
          <w:rFonts w:hint="default"/>
        </w:rPr>
        <w:t>Misclassify natural geochemical enrichment as pollution</w:t>
      </w:r>
    </w:p>
    <w:p w14:paraId="569861BF">
      <w:pPr>
        <w:spacing w:after="240"/>
        <w:rPr>
          <w:rFonts w:hint="default"/>
        </w:rPr>
      </w:pPr>
      <w:r>
        <w:rPr>
          <w:rFonts w:hint="default"/>
          <w:lang w:val="en-US"/>
        </w:rPr>
        <w:t xml:space="preserve">- </w:t>
      </w:r>
      <w:r>
        <w:rPr>
          <w:rFonts w:hint="default"/>
        </w:rPr>
        <w:t>Lack defensibility in complex mineralized terrains</w:t>
      </w:r>
    </w:p>
    <w:p w14:paraId="4A086602">
      <w:pPr>
        <w:spacing w:after="240"/>
        <w:rPr>
          <w:rFonts w:hint="default"/>
        </w:rPr>
      </w:pPr>
      <w:r>
        <w:rPr>
          <w:rFonts w:hint="default"/>
        </w:rPr>
        <w:t>Data science methods are critical because they:</w:t>
      </w:r>
    </w:p>
    <w:p w14:paraId="6915B26D">
      <w:pPr>
        <w:spacing w:after="240"/>
        <w:rPr>
          <w:rFonts w:hint="default"/>
        </w:rPr>
      </w:pPr>
      <w:r>
        <w:rPr>
          <w:rFonts w:hint="default"/>
          <w:lang w:val="en-US"/>
        </w:rPr>
        <w:t xml:space="preserve">- </w:t>
      </w:r>
      <w:r>
        <w:rPr>
          <w:rFonts w:hint="default"/>
        </w:rPr>
        <w:t>Capture multivariate relationships between elements</w:t>
      </w:r>
    </w:p>
    <w:p w14:paraId="1E0DF31D">
      <w:pPr>
        <w:spacing w:after="240"/>
        <w:rPr>
          <w:rFonts w:hint="default"/>
        </w:rPr>
      </w:pPr>
      <w:r>
        <w:rPr>
          <w:rFonts w:hint="default"/>
          <w:lang w:val="en-US"/>
        </w:rPr>
        <w:t xml:space="preserve">- </w:t>
      </w:r>
      <w:r>
        <w:rPr>
          <w:rFonts w:hint="default"/>
        </w:rPr>
        <w:t>Account for spatial distribution of anomalies</w:t>
      </w:r>
    </w:p>
    <w:p w14:paraId="5B07F6BF">
      <w:pPr>
        <w:spacing w:after="240"/>
        <w:rPr>
          <w:rFonts w:hint="default"/>
        </w:rPr>
      </w:pPr>
      <w:r>
        <w:rPr>
          <w:rFonts w:hint="default"/>
          <w:lang w:val="en-US"/>
        </w:rPr>
        <w:t xml:space="preserve">- </w:t>
      </w:r>
      <w:r>
        <w:rPr>
          <w:rFonts w:hint="default"/>
        </w:rPr>
        <w:t>Explicitly quantify uncertainty</w:t>
      </w:r>
    </w:p>
    <w:p w14:paraId="1C4C930D">
      <w:pPr>
        <w:spacing w:after="240"/>
        <w:rPr>
          <w:rFonts w:hint="default"/>
        </w:rPr>
      </w:pPr>
      <w:r>
        <w:rPr>
          <w:rFonts w:hint="default"/>
          <w:lang w:val="en-US"/>
        </w:rPr>
        <w:t xml:space="preserve">- </w:t>
      </w:r>
      <w:r>
        <w:rPr>
          <w:rFonts w:hint="default"/>
        </w:rPr>
        <w:t>Provide objective, reproducible, and socially defensible conclusions</w:t>
      </w:r>
    </w:p>
    <w:p w14:paraId="1CF957DF">
      <w:pPr>
        <w:spacing w:after="240"/>
      </w:pPr>
      <w:r>
        <w:rPr>
          <w:rFonts w:hint="default"/>
        </w:rPr>
        <w:t>There is a need for an integrated, data-driven framework that prioritizes environmental sustainability, social well-being, and scientific detail, rather than relying on oversimplified threshold methods</w:t>
      </w:r>
      <w:r>
        <w:rPr>
          <w:rFonts w:hint="default"/>
          <w:lang w:val="en-US"/>
        </w:rPr>
        <w:t>.</w:t>
      </w:r>
      <w:r>
        <w:br w:type="textWrapping"/>
      </w:r>
    </w:p>
    <w:p w14:paraId="0EE7E766">
      <w:pPr>
        <w:spacing w:after="240"/>
      </w:pPr>
      <w:r>
        <w:br w:type="textWrapping"/>
      </w:r>
      <w:r>
        <w:t>4. Aim of the Study</w:t>
      </w:r>
      <w:r>
        <w:br w:type="textWrapping"/>
      </w:r>
    </w:p>
    <w:p w14:paraId="65665FDA">
      <w:pPr>
        <w:spacing w:after="240"/>
      </w:pPr>
      <w:r>
        <w:rPr>
          <w:rFonts w:hint="default"/>
        </w:rPr>
        <w:t>To investigate allegations of soil pollution in Kalumbila using an integrated data science and exploration geology framework, prioritizing multivariate outlier detection while ensuring environmental, social, and sustainability considerations.</w:t>
      </w:r>
    </w:p>
    <w:p w14:paraId="283E3781">
      <w:pPr>
        <w:spacing w:after="240"/>
        <w:rPr>
          <w:rFonts w:hint="default"/>
        </w:rPr>
      </w:pPr>
      <w:r>
        <w:br w:type="textWrapping"/>
      </w:r>
      <w:r>
        <w:t>5. Objectives</w:t>
      </w:r>
      <w:r>
        <w:br w:type="textWrapping"/>
      </w:r>
      <w:r>
        <w:br w:type="textWrapping"/>
      </w:r>
      <w:r>
        <w:rPr>
          <w:rFonts w:hint="default"/>
          <w:lang w:val="en-US"/>
        </w:rPr>
        <w:t xml:space="preserve">1. </w:t>
      </w:r>
      <w:r>
        <w:rPr>
          <w:rFonts w:hint="default"/>
        </w:rPr>
        <w:t>Characterize the multivariate geochemical background of Kalumbila soils</w:t>
      </w:r>
    </w:p>
    <w:p w14:paraId="4DD90A74">
      <w:pPr>
        <w:numPr>
          <w:ilvl w:val="0"/>
          <w:numId w:val="8"/>
        </w:numPr>
        <w:spacing w:after="240"/>
        <w:rPr>
          <w:rFonts w:hint="default"/>
        </w:rPr>
      </w:pPr>
      <w:r>
        <w:rPr>
          <w:rFonts w:hint="default"/>
        </w:rPr>
        <w:t>Identify multivariate outliers associated with heavy metals and metalloids</w:t>
      </w:r>
    </w:p>
    <w:p w14:paraId="361295F7">
      <w:pPr>
        <w:numPr>
          <w:ilvl w:val="0"/>
          <w:numId w:val="8"/>
        </w:numPr>
        <w:spacing w:after="240"/>
        <w:ind w:left="0" w:leftChars="0" w:firstLine="0" w:firstLineChars="0"/>
        <w:rPr>
          <w:rFonts w:hint="default"/>
        </w:rPr>
      </w:pPr>
      <w:r>
        <w:rPr>
          <w:rFonts w:hint="default"/>
        </w:rPr>
        <w:t>Distinguish natural geochemical enrichment from potential anthropogenic contamination</w:t>
      </w:r>
    </w:p>
    <w:p w14:paraId="037581FE">
      <w:pPr>
        <w:numPr>
          <w:ilvl w:val="0"/>
          <w:numId w:val="8"/>
        </w:numPr>
        <w:spacing w:after="240"/>
        <w:ind w:left="0" w:leftChars="0" w:firstLine="0" w:firstLineChars="0"/>
        <w:rPr>
          <w:rFonts w:hint="default"/>
        </w:rPr>
      </w:pPr>
      <w:r>
        <w:rPr>
          <w:rFonts w:hint="default"/>
        </w:rPr>
        <w:t>Evaluate mineral prospectivity signals in soil geochemical data</w:t>
      </w:r>
    </w:p>
    <w:p w14:paraId="7D575E60">
      <w:pPr>
        <w:numPr>
          <w:ilvl w:val="0"/>
          <w:numId w:val="8"/>
        </w:numPr>
        <w:spacing w:after="240"/>
        <w:ind w:left="0" w:leftChars="0" w:firstLine="0" w:firstLineChars="0"/>
        <w:rPr>
          <w:rFonts w:hint="default"/>
        </w:rPr>
      </w:pPr>
      <w:r>
        <w:rPr>
          <w:rFonts w:hint="default"/>
        </w:rPr>
        <w:t>Quantify uncertainty in anomaly classification using probabilistic and spatially aware methods</w:t>
      </w:r>
    </w:p>
    <w:p w14:paraId="668D7750">
      <w:pPr>
        <w:spacing w:after="240"/>
        <w:rPr>
          <w:rFonts w:hint="default"/>
        </w:rPr>
      </w:pPr>
    </w:p>
    <w:p w14:paraId="4F09BC8B">
      <w:pPr>
        <w:spacing w:after="240"/>
      </w:pPr>
    </w:p>
    <w:p w14:paraId="519A458E">
      <w:pPr>
        <w:keepNext w:val="0"/>
        <w:keepLines w:val="0"/>
        <w:widowControl/>
        <w:numPr>
          <w:ilvl w:val="0"/>
          <w:numId w:val="0"/>
        </w:numPr>
        <w:suppressLineNumbers w:val="0"/>
        <w:spacing w:before="0" w:beforeAutospacing="1" w:after="0" w:afterAutospacing="1"/>
      </w:pPr>
      <w:r>
        <w:br w:type="textWrapping"/>
      </w:r>
      <w:r>
        <w:t>6. Research Questions</w:t>
      </w:r>
      <w:r>
        <w:br w:type="textWrapping"/>
      </w:r>
    </w:p>
    <w:p w14:paraId="34257E4E">
      <w:pPr>
        <w:keepNext w:val="0"/>
        <w:keepLines w:val="0"/>
        <w:widowControl/>
        <w:numPr>
          <w:ilvl w:val="0"/>
          <w:numId w:val="9"/>
        </w:numPr>
        <w:suppressLineNumbers w:val="0"/>
        <w:spacing w:before="0" w:beforeAutospacing="1" w:after="0" w:afterAutospacing="1"/>
        <w:rPr>
          <w:rFonts w:hint="default"/>
        </w:rPr>
      </w:pPr>
      <w:r>
        <w:rPr>
          <w:rFonts w:hint="default"/>
        </w:rPr>
        <w:t>What is the natural geochemical background of soils in Kalumbila?</w:t>
      </w:r>
    </w:p>
    <w:p w14:paraId="0783E927">
      <w:pPr>
        <w:keepNext w:val="0"/>
        <w:keepLines w:val="0"/>
        <w:widowControl/>
        <w:numPr>
          <w:ilvl w:val="0"/>
          <w:numId w:val="9"/>
        </w:numPr>
        <w:suppressLineNumbers w:val="0"/>
        <w:spacing w:before="0" w:beforeAutospacing="1" w:after="0" w:afterAutospacing="1"/>
        <w:ind w:left="0" w:leftChars="0" w:firstLine="0" w:firstLineChars="0"/>
        <w:rPr>
          <w:rFonts w:hint="default"/>
        </w:rPr>
      </w:pPr>
      <w:r>
        <w:rPr>
          <w:rFonts w:hint="default"/>
        </w:rPr>
        <w:t>Which soil samples are multivariate outliers?</w:t>
      </w:r>
    </w:p>
    <w:p w14:paraId="103C5FEE">
      <w:pPr>
        <w:keepNext w:val="0"/>
        <w:keepLines w:val="0"/>
        <w:widowControl/>
        <w:numPr>
          <w:ilvl w:val="0"/>
          <w:numId w:val="9"/>
        </w:numPr>
        <w:suppressLineNumbers w:val="0"/>
        <w:spacing w:before="0" w:beforeAutospacing="1" w:after="0" w:afterAutospacing="1"/>
        <w:ind w:left="0" w:leftChars="0" w:firstLine="0" w:firstLineChars="0"/>
        <w:rPr>
          <w:rFonts w:hint="default"/>
        </w:rPr>
      </w:pPr>
      <w:r>
        <w:rPr>
          <w:rFonts w:hint="default"/>
        </w:rPr>
        <w:t>Are identified anomalies spatially coherent and geologically meaningful?</w:t>
      </w:r>
    </w:p>
    <w:p w14:paraId="698D0990">
      <w:pPr>
        <w:keepNext w:val="0"/>
        <w:keepLines w:val="0"/>
        <w:widowControl/>
        <w:numPr>
          <w:ilvl w:val="0"/>
          <w:numId w:val="9"/>
        </w:numPr>
        <w:suppressLineNumbers w:val="0"/>
        <w:spacing w:before="0" w:beforeAutospacing="1" w:after="0" w:afterAutospacing="1"/>
        <w:ind w:left="0" w:leftChars="0" w:firstLine="0" w:firstLineChars="0"/>
        <w:rPr>
          <w:rFonts w:hint="default"/>
        </w:rPr>
      </w:pPr>
      <w:r>
        <w:rPr>
          <w:rFonts w:hint="default"/>
        </w:rPr>
        <w:t>Can anomalies be explained by natural mineralization?</w:t>
      </w:r>
    </w:p>
    <w:p w14:paraId="3FADBD6A">
      <w:pPr>
        <w:keepNext w:val="0"/>
        <w:keepLines w:val="0"/>
        <w:widowControl/>
        <w:numPr>
          <w:ilvl w:val="0"/>
          <w:numId w:val="9"/>
        </w:numPr>
        <w:suppressLineNumbers w:val="0"/>
        <w:spacing w:before="0" w:beforeAutospacing="1" w:after="0" w:afterAutospacing="1"/>
        <w:ind w:left="0" w:leftChars="0" w:firstLine="0" w:firstLineChars="0"/>
        <w:rPr>
          <w:rFonts w:hint="default"/>
        </w:rPr>
      </w:pPr>
      <w:r>
        <w:rPr>
          <w:rFonts w:hint="default"/>
        </w:rPr>
        <w:t>What is the probability that anomalies are anthropogenic rather than geogenic?</w:t>
      </w:r>
    </w:p>
    <w:p w14:paraId="75081576">
      <w:pPr>
        <w:keepNext w:val="0"/>
        <w:keepLines w:val="0"/>
        <w:widowControl/>
        <w:numPr>
          <w:ilvl w:val="0"/>
          <w:numId w:val="9"/>
        </w:numPr>
        <w:suppressLineNumbers w:val="0"/>
        <w:spacing w:before="0" w:beforeAutospacing="1" w:after="0" w:afterAutospacing="1"/>
        <w:ind w:left="0" w:leftChars="0" w:firstLine="0" w:firstLineChars="0"/>
        <w:rPr>
          <w:rFonts w:hint="default"/>
        </w:rPr>
      </w:pPr>
      <w:r>
        <w:rPr>
          <w:rFonts w:hint="default"/>
        </w:rPr>
        <w:t>How can data science methods improve environmental sustainability and social well-being compared to traditional approaches?</w:t>
      </w:r>
    </w:p>
    <w:p w14:paraId="231C7488">
      <w:pPr>
        <w:keepNext w:val="0"/>
        <w:keepLines w:val="0"/>
        <w:widowControl/>
        <w:numPr>
          <w:ilvl w:val="0"/>
          <w:numId w:val="0"/>
        </w:numPr>
        <w:suppressLineNumbers w:val="0"/>
        <w:spacing w:before="0" w:beforeAutospacing="1" w:after="0" w:afterAutospacing="1"/>
        <w:rPr>
          <w:rFonts w:hint="default"/>
        </w:rPr>
      </w:pPr>
    </w:p>
    <w:p w14:paraId="45FC168B">
      <w:pPr>
        <w:keepNext w:val="0"/>
        <w:keepLines w:val="0"/>
        <w:widowControl/>
        <w:numPr>
          <w:ilvl w:val="0"/>
          <w:numId w:val="0"/>
        </w:numPr>
        <w:suppressLineNumbers w:val="0"/>
        <w:spacing w:before="0" w:beforeAutospacing="1" w:after="0" w:afterAutospacing="1"/>
      </w:pPr>
      <w:r>
        <w:br w:type="textWrapping"/>
      </w:r>
    </w:p>
    <w:p w14:paraId="41DA15F1">
      <w:pPr>
        <w:spacing w:after="240"/>
      </w:pPr>
      <w:r>
        <w:br w:type="textWrapping"/>
      </w:r>
      <w:r>
        <w:t>7. Dataset Description</w:t>
      </w:r>
      <w:r>
        <w:br w:type="textWrapping"/>
      </w:r>
      <w:r>
        <w:br w:type="textWrapping"/>
      </w:r>
      <w:r>
        <w:t>Soil geochemical data will be collected systematically and analyzed for major elements, trace elements, and heavy metals. The dataset is multivariate, compositional, and spatially distributed.</w:t>
      </w:r>
      <w:r>
        <w:br w:type="textWrapping"/>
      </w:r>
      <w:r>
        <w:br w:type="textWrapping"/>
      </w:r>
      <w:r>
        <w:t>Where available, borehole geochemical and lithological data will be used to link surface anomalies to subsurface sources, enhancing interpretation.</w:t>
      </w:r>
      <w:r>
        <w:br w:type="textWrapping"/>
      </w:r>
    </w:p>
    <w:p w14:paraId="53747365">
      <w:pPr>
        <w:spacing w:after="240"/>
      </w:pPr>
      <w:r>
        <w:t>8. Methodological Framework</w:t>
      </w:r>
      <w:r>
        <w:br w:type="textWrapping"/>
      </w:r>
      <w:r>
        <w:br w:type="textWrapping"/>
      </w:r>
      <w:r>
        <w:t>8.1 Compositional Data Analysis (CoDA)</w:t>
      </w:r>
      <w:r>
        <w:br w:type="textWrapping"/>
      </w:r>
      <w:r>
        <w:br w:type="textWrapping"/>
      </w:r>
      <w:r>
        <w:t>Soil geochemical data are compositional in nature. Log-ratio transformations (clr, alr, ilr) will be applied to avoid spurious correlations. Variance arrays, ternary diagrams, and biplots will be used to explore element relationships and guide interpretation.</w:t>
      </w:r>
      <w:r>
        <w:br w:type="textWrapping"/>
      </w:r>
    </w:p>
    <w:p w14:paraId="43F3E4D2">
      <w:pPr>
        <w:spacing w:after="240"/>
        <w:rPr>
          <w:rFonts w:hint="default"/>
          <w:b/>
          <w:bCs/>
        </w:rPr>
      </w:pPr>
      <w:r>
        <w:rPr>
          <w:rFonts w:hint="default"/>
          <w:b/>
          <w:bCs/>
        </w:rPr>
        <w:t>How it'll work in this study:</w:t>
      </w:r>
    </w:p>
    <w:p w14:paraId="21DC8BA5">
      <w:pPr>
        <w:spacing w:after="240"/>
        <w:rPr>
          <w:rFonts w:hint="default"/>
        </w:rPr>
      </w:pPr>
      <w:r>
        <w:rPr>
          <w:rFonts w:hint="default"/>
          <w:lang w:val="en-US"/>
        </w:rPr>
        <w:t xml:space="preserve">- </w:t>
      </w:r>
      <w:r>
        <w:rPr>
          <w:rFonts w:hint="default"/>
        </w:rPr>
        <w:t>Decide on treatment of samples with zeros</w:t>
      </w:r>
    </w:p>
    <w:p w14:paraId="7E66D2F2">
      <w:pPr>
        <w:spacing w:after="240"/>
        <w:rPr>
          <w:rFonts w:hint="default"/>
        </w:rPr>
      </w:pPr>
      <w:r>
        <w:rPr>
          <w:rFonts w:hint="default"/>
          <w:lang w:val="en-US"/>
        </w:rPr>
        <w:t xml:space="preserve">- </w:t>
      </w:r>
      <w:r>
        <w:rPr>
          <w:rFonts w:hint="default"/>
        </w:rPr>
        <w:t>Consult domain experts about interesting element ratios</w:t>
      </w:r>
    </w:p>
    <w:p w14:paraId="0A2A534E">
      <w:pPr>
        <w:spacing w:after="240"/>
        <w:rPr>
          <w:rFonts w:hint="default"/>
        </w:rPr>
      </w:pPr>
      <w:r>
        <w:rPr>
          <w:rFonts w:hint="default"/>
          <w:lang w:val="en-US"/>
        </w:rPr>
        <w:t xml:space="preserve">- </w:t>
      </w:r>
      <w:r>
        <w:rPr>
          <w:rFonts w:hint="default"/>
        </w:rPr>
        <w:t>Perform log-ratio transformations (alr/clr) and basic EDA</w:t>
      </w:r>
    </w:p>
    <w:p w14:paraId="3926D419">
      <w:pPr>
        <w:spacing w:after="240"/>
        <w:rPr>
          <w:rFonts w:hint="default"/>
        </w:rPr>
      </w:pPr>
      <w:r>
        <w:rPr>
          <w:rFonts w:hint="default"/>
          <w:lang w:val="en-US"/>
        </w:rPr>
        <w:t xml:space="preserve">- </w:t>
      </w:r>
      <w:r>
        <w:rPr>
          <w:rFonts w:hint="default"/>
        </w:rPr>
        <w:t>Calculate variance array and identify ratios with small/large variances</w:t>
      </w:r>
    </w:p>
    <w:p w14:paraId="4906C002">
      <w:pPr>
        <w:spacing w:after="240"/>
        <w:rPr>
          <w:rFonts w:hint="default"/>
        </w:rPr>
      </w:pPr>
      <w:r>
        <w:rPr>
          <w:rFonts w:hint="default"/>
          <w:lang w:val="en-US"/>
        </w:rPr>
        <w:t xml:space="preserve">- </w:t>
      </w:r>
      <w:r>
        <w:rPr>
          <w:rFonts w:hint="default"/>
        </w:rPr>
        <w:t>Produce ternary diagrams for significant ratios</w:t>
      </w:r>
    </w:p>
    <w:p w14:paraId="0E17E510">
      <w:pPr>
        <w:spacing w:after="240"/>
        <w:rPr>
          <w:rFonts w:hint="default"/>
        </w:rPr>
      </w:pPr>
      <w:r>
        <w:rPr>
          <w:rFonts w:hint="default"/>
          <w:lang w:val="en-US"/>
        </w:rPr>
        <w:t xml:space="preserve">- </w:t>
      </w:r>
      <w:r>
        <w:rPr>
          <w:rFonts w:hint="default"/>
        </w:rPr>
        <w:t>Create and interpret biplots (alignment, orthogonality, element vector lengths)</w:t>
      </w:r>
    </w:p>
    <w:p w14:paraId="31FC5B21">
      <w:pPr>
        <w:spacing w:after="240"/>
        <w:rPr>
          <w:rFonts w:hint="default"/>
        </w:rPr>
      </w:pPr>
      <w:r>
        <w:rPr>
          <w:rFonts w:hint="default"/>
          <w:lang w:val="en-US"/>
        </w:rPr>
        <w:t xml:space="preserve">- </w:t>
      </w:r>
      <w:r>
        <w:rPr>
          <w:rFonts w:hint="default"/>
        </w:rPr>
        <w:t>Refine analysis through expert consultation</w:t>
      </w:r>
    </w:p>
    <w:p w14:paraId="5ADB1763">
      <w:pPr>
        <w:spacing w:after="240"/>
        <w:rPr>
          <w:rFonts w:hint="default"/>
          <w:b/>
          <w:bCs/>
        </w:rPr>
      </w:pPr>
      <w:r>
        <w:rPr>
          <w:rFonts w:hint="default"/>
          <w:b/>
          <w:bCs/>
        </w:rPr>
        <w:t>Plots to include:</w:t>
      </w:r>
    </w:p>
    <w:p w14:paraId="5D76B4DF">
      <w:pPr>
        <w:spacing w:after="240"/>
        <w:rPr>
          <w:rFonts w:hint="default"/>
        </w:rPr>
      </w:pPr>
      <w:r>
        <w:rPr>
          <w:rFonts w:hint="default"/>
          <w:lang w:val="en-US"/>
        </w:rPr>
        <w:t xml:space="preserve">- </w:t>
      </w:r>
      <w:r>
        <w:rPr>
          <w:rFonts w:hint="default"/>
        </w:rPr>
        <w:t>EDA of alr and clr log-ratios</w:t>
      </w:r>
    </w:p>
    <w:p w14:paraId="1D069FB4">
      <w:pPr>
        <w:spacing w:after="240"/>
        <w:rPr>
          <w:rFonts w:hint="default"/>
        </w:rPr>
      </w:pPr>
      <w:r>
        <w:rPr>
          <w:rFonts w:hint="default"/>
          <w:lang w:val="en-US"/>
        </w:rPr>
        <w:t xml:space="preserve">- </w:t>
      </w:r>
      <w:r>
        <w:rPr>
          <w:rFonts w:hint="default"/>
        </w:rPr>
        <w:t>Ternary diagrams and variation array</w:t>
      </w:r>
    </w:p>
    <w:p w14:paraId="66BC0D07">
      <w:pPr>
        <w:spacing w:after="240"/>
        <w:rPr>
          <w:rFonts w:hint="default"/>
        </w:rPr>
      </w:pPr>
      <w:r>
        <w:rPr>
          <w:rFonts w:hint="default"/>
          <w:lang w:val="en-US"/>
        </w:rPr>
        <w:t xml:space="preserve">- </w:t>
      </w:r>
      <w:r>
        <w:rPr>
          <w:rFonts w:hint="default"/>
        </w:rPr>
        <w:t>Biplots</w:t>
      </w:r>
    </w:p>
    <w:p w14:paraId="2B1BFA72">
      <w:pPr>
        <w:spacing w:after="240"/>
      </w:pPr>
      <w:r>
        <w:br w:type="textWrapping"/>
      </w:r>
      <w:r>
        <w:t>8.2 Multivariate Outlier Detection (Primary Method)</w:t>
      </w:r>
      <w:r>
        <w:br w:type="textWrapping"/>
      </w:r>
      <w:r>
        <w:br w:type="textWrapping"/>
      </w:r>
      <w:r>
        <w:t>Robust Mahalanobis distance will be applied to log-ratio transformed data to identify multivariate anomalies. QQ-plots, chi-square plots, determinant diagnostics, and spatial mapping of outliers will be used to assess anomaly significance and origin.</w:t>
      </w:r>
      <w:r>
        <w:br w:type="textWrapping"/>
      </w:r>
    </w:p>
    <w:p w14:paraId="1E1979BF">
      <w:pPr>
        <w:spacing w:after="240"/>
        <w:rPr>
          <w:rFonts w:hint="default"/>
          <w:b/>
          <w:bCs/>
        </w:rPr>
      </w:pPr>
      <w:r>
        <w:rPr>
          <w:rFonts w:hint="default"/>
          <w:b/>
          <w:bCs/>
        </w:rPr>
        <w:t>How it'll work in this study:</w:t>
      </w:r>
    </w:p>
    <w:p w14:paraId="708BD9BB">
      <w:pPr>
        <w:spacing w:after="240"/>
        <w:rPr>
          <w:rFonts w:hint="default"/>
        </w:rPr>
      </w:pPr>
      <w:r>
        <w:rPr>
          <w:rFonts w:hint="default"/>
          <w:lang w:val="en-US"/>
        </w:rPr>
        <w:t xml:space="preserve">- </w:t>
      </w:r>
      <w:r>
        <w:rPr>
          <w:rFonts w:hint="default"/>
        </w:rPr>
        <w:t>Apply log-ratio transformations to compositional data</w:t>
      </w:r>
    </w:p>
    <w:p w14:paraId="115FCD11">
      <w:pPr>
        <w:spacing w:after="240"/>
        <w:rPr>
          <w:rFonts w:hint="default"/>
        </w:rPr>
      </w:pPr>
      <w:r>
        <w:rPr>
          <w:rFonts w:hint="default"/>
          <w:lang w:val="en-US"/>
        </w:rPr>
        <w:t xml:space="preserve">- </w:t>
      </w:r>
      <w:r>
        <w:rPr>
          <w:rFonts w:hint="default"/>
        </w:rPr>
        <w:t>Use quantile-quantile plots for univariate outlier detection</w:t>
      </w:r>
    </w:p>
    <w:p w14:paraId="1D26E675">
      <w:pPr>
        <w:spacing w:after="240"/>
        <w:rPr>
          <w:rFonts w:hint="default"/>
        </w:rPr>
      </w:pPr>
      <w:r>
        <w:rPr>
          <w:rFonts w:hint="default"/>
          <w:lang w:val="en-US"/>
        </w:rPr>
        <w:t xml:space="preserve">- </w:t>
      </w:r>
      <w:r>
        <w:rPr>
          <w:rFonts w:hint="default"/>
        </w:rPr>
        <w:t>Create bivariate scatter plots and biplots of interest</w:t>
      </w:r>
    </w:p>
    <w:p w14:paraId="780A59C6">
      <w:pPr>
        <w:spacing w:after="240"/>
        <w:rPr>
          <w:rFonts w:hint="default"/>
        </w:rPr>
      </w:pPr>
      <w:r>
        <w:rPr>
          <w:rFonts w:hint="default"/>
          <w:lang w:val="en-US"/>
        </w:rPr>
        <w:t xml:space="preserve">- </w:t>
      </w:r>
      <w:r>
        <w:rPr>
          <w:rFonts w:hint="default"/>
        </w:rPr>
        <w:t>Inspect determinant function versus dropped outliers</w:t>
      </w:r>
    </w:p>
    <w:p w14:paraId="34320C1D">
      <w:pPr>
        <w:spacing w:after="240"/>
        <w:rPr>
          <w:rFonts w:hint="default"/>
        </w:rPr>
      </w:pPr>
      <w:r>
        <w:rPr>
          <w:rFonts w:hint="default"/>
          <w:lang w:val="en-US"/>
        </w:rPr>
        <w:t xml:space="preserve">- </w:t>
      </w:r>
      <w:r>
        <w:rPr>
          <w:rFonts w:hint="default"/>
        </w:rPr>
        <w:t>Generate outlier detection plots with high quantile (e.g., 95%) of robust Mahalanobis Distance (MD)</w:t>
      </w:r>
    </w:p>
    <w:p w14:paraId="44F611E1">
      <w:pPr>
        <w:spacing w:after="240"/>
        <w:rPr>
          <w:rFonts w:hint="default"/>
        </w:rPr>
      </w:pPr>
      <w:r>
        <w:rPr>
          <w:rFonts w:hint="default"/>
          <w:lang w:val="en-US"/>
        </w:rPr>
        <w:t xml:space="preserve">- </w:t>
      </w:r>
      <w:r>
        <w:rPr>
          <w:rFonts w:hint="default"/>
        </w:rPr>
        <w:t>Create chi-square quantile plots of MD for refinement</w:t>
      </w:r>
    </w:p>
    <w:p w14:paraId="272F3CF5">
      <w:pPr>
        <w:spacing w:after="240"/>
        <w:rPr>
          <w:rFonts w:hint="default"/>
        </w:rPr>
      </w:pPr>
      <w:r>
        <w:rPr>
          <w:rFonts w:hint="default"/>
          <w:lang w:val="en-US"/>
        </w:rPr>
        <w:t xml:space="preserve">- </w:t>
      </w:r>
      <w:r>
        <w:rPr>
          <w:rFonts w:hint="default"/>
        </w:rPr>
        <w:t>Classify samples as "outlier" vs "not outlier"</w:t>
      </w:r>
    </w:p>
    <w:p w14:paraId="01DD7529">
      <w:pPr>
        <w:spacing w:after="240"/>
        <w:rPr>
          <w:rFonts w:hint="default"/>
        </w:rPr>
      </w:pPr>
      <w:r>
        <w:rPr>
          <w:rFonts w:hint="default"/>
          <w:lang w:val="en-US"/>
        </w:rPr>
        <w:t xml:space="preserve">- </w:t>
      </w:r>
      <w:r>
        <w:rPr>
          <w:rFonts w:hint="default"/>
        </w:rPr>
        <w:t>Map outliers in spatial context</w:t>
      </w:r>
    </w:p>
    <w:p w14:paraId="3E4A0445">
      <w:pPr>
        <w:spacing w:after="240"/>
        <w:rPr>
          <w:rFonts w:hint="default"/>
          <w:b/>
          <w:bCs/>
        </w:rPr>
      </w:pPr>
      <w:r>
        <w:rPr>
          <w:rFonts w:hint="default"/>
          <w:b/>
          <w:bCs/>
        </w:rPr>
        <w:t>Plots to include:</w:t>
      </w:r>
    </w:p>
    <w:p w14:paraId="5EB72E28">
      <w:pPr>
        <w:spacing w:after="240"/>
        <w:rPr>
          <w:rFonts w:hint="default"/>
        </w:rPr>
      </w:pPr>
      <w:r>
        <w:rPr>
          <w:rFonts w:hint="default"/>
          <w:lang w:val="en-US"/>
        </w:rPr>
        <w:t xml:space="preserve">- </w:t>
      </w:r>
      <w:r>
        <w:rPr>
          <w:rFonts w:hint="default"/>
        </w:rPr>
        <w:t>QQ plots, scatter plots, biplots</w:t>
      </w:r>
    </w:p>
    <w:p w14:paraId="37E003AE">
      <w:pPr>
        <w:spacing w:after="240"/>
        <w:rPr>
          <w:rFonts w:hint="default"/>
        </w:rPr>
      </w:pPr>
      <w:r>
        <w:rPr>
          <w:rFonts w:hint="default"/>
          <w:lang w:val="en-US"/>
        </w:rPr>
        <w:t xml:space="preserve">- </w:t>
      </w:r>
      <w:r>
        <w:rPr>
          <w:rFonts w:hint="default"/>
        </w:rPr>
        <w:t>Determinant function of outliers removed</w:t>
      </w:r>
    </w:p>
    <w:p w14:paraId="76D49B0D">
      <w:pPr>
        <w:spacing w:after="240"/>
        <w:rPr>
          <w:rFonts w:hint="default"/>
        </w:rPr>
      </w:pPr>
      <w:r>
        <w:rPr>
          <w:rFonts w:hint="default"/>
          <w:lang w:val="en-US"/>
        </w:rPr>
        <w:t xml:space="preserve">- </w:t>
      </w:r>
      <w:r>
        <w:rPr>
          <w:rFonts w:hint="default"/>
        </w:rPr>
        <w:t>Chi-square quantile plot of robust MD</w:t>
      </w:r>
    </w:p>
    <w:p w14:paraId="4986EB99">
      <w:pPr>
        <w:spacing w:after="240"/>
        <w:rPr>
          <w:rFonts w:hint="default"/>
        </w:rPr>
      </w:pPr>
      <w:r>
        <w:rPr>
          <w:rFonts w:hint="default"/>
          <w:lang w:val="en-US"/>
        </w:rPr>
        <w:t xml:space="preserve">- </w:t>
      </w:r>
      <w:r>
        <w:rPr>
          <w:rFonts w:hint="default"/>
        </w:rPr>
        <w:t>Scatter plot indicating robust MD</w:t>
      </w:r>
    </w:p>
    <w:p w14:paraId="52A575F2">
      <w:pPr>
        <w:spacing w:after="240"/>
        <w:rPr>
          <w:rFonts w:hint="default"/>
        </w:rPr>
      </w:pPr>
      <w:r>
        <w:rPr>
          <w:rFonts w:hint="default"/>
          <w:lang w:val="en-US"/>
        </w:rPr>
        <w:t xml:space="preserve">- </w:t>
      </w:r>
      <w:r>
        <w:rPr>
          <w:rFonts w:hint="default"/>
        </w:rPr>
        <w:t>Spatial maps of outliers</w:t>
      </w:r>
    </w:p>
    <w:p w14:paraId="07FC3B72">
      <w:pPr>
        <w:spacing w:after="240"/>
        <w:rPr>
          <w:rFonts w:hint="default"/>
        </w:rPr>
      </w:pPr>
    </w:p>
    <w:p w14:paraId="6BC392EF">
      <w:pPr>
        <w:spacing w:after="240"/>
      </w:pPr>
      <w:r>
        <w:rPr>
          <w:rFonts w:hint="default"/>
        </w:rPr>
        <w:t>This approach helps determine if anomalies are natural or anthropogenic and identifies potential contamination.</w:t>
      </w:r>
    </w:p>
    <w:p w14:paraId="4D9A25B0">
      <w:pPr>
        <w:spacing w:after="240"/>
        <w:rPr>
          <w:rFonts w:hint="default"/>
        </w:rPr>
      </w:pPr>
      <w:r>
        <w:t>8.3 Principal Component Analysis (PCA)</w:t>
      </w:r>
      <w:r>
        <w:br w:type="textWrapping"/>
      </w:r>
      <w:r>
        <w:br w:type="textWrapping"/>
      </w:r>
      <w:r>
        <w:t>PCA will reduce dimensionality and reveal dominant geochemical processes. Scree plots, loading plots, score plots, and spatial score maps will support interpretation of geological versus contamination-driven signals.</w:t>
      </w:r>
      <w:r>
        <w:rPr>
          <w:rFonts w:hint="default"/>
          <w:lang w:val="en-US"/>
        </w:rPr>
        <w:t xml:space="preserve"> </w:t>
      </w:r>
      <w:r>
        <w:rPr>
          <w:rFonts w:hint="default"/>
        </w:rPr>
        <w:t>PCA highlights element associations controlled by lithology, alteration, or contamination, supporting outlier interpretation by identifying which elements drive anomalies.</w:t>
      </w:r>
    </w:p>
    <w:p w14:paraId="351E4B1B">
      <w:pPr>
        <w:spacing w:after="240"/>
        <w:rPr>
          <w:rFonts w:hint="default"/>
          <w:b/>
          <w:bCs/>
        </w:rPr>
      </w:pPr>
      <w:r>
        <w:rPr>
          <w:rFonts w:hint="default"/>
          <w:b/>
          <w:bCs/>
        </w:rPr>
        <w:t>How it'll work in this project:</w:t>
      </w:r>
    </w:p>
    <w:p w14:paraId="405414BB">
      <w:pPr>
        <w:spacing w:after="240"/>
        <w:rPr>
          <w:rFonts w:hint="default"/>
        </w:rPr>
      </w:pPr>
      <w:r>
        <w:rPr>
          <w:rFonts w:hint="default"/>
          <w:lang w:val="en-US"/>
        </w:rPr>
        <w:t xml:space="preserve">- </w:t>
      </w:r>
      <w:r>
        <w:rPr>
          <w:rFonts w:hint="default"/>
        </w:rPr>
        <w:t>Apply ilr transformations to compositional data</w:t>
      </w:r>
    </w:p>
    <w:p w14:paraId="1EC50273">
      <w:pPr>
        <w:spacing w:after="240"/>
        <w:rPr>
          <w:rFonts w:hint="default"/>
        </w:rPr>
      </w:pPr>
      <w:r>
        <w:rPr>
          <w:rFonts w:hint="default"/>
          <w:lang w:val="en-US"/>
        </w:rPr>
        <w:t xml:space="preserve">- </w:t>
      </w:r>
      <w:r>
        <w:rPr>
          <w:rFonts w:hint="default"/>
        </w:rPr>
        <w:t>Standardize data for uniform variable scales</w:t>
      </w:r>
    </w:p>
    <w:p w14:paraId="0B6F4B19">
      <w:pPr>
        <w:spacing w:after="240"/>
        <w:rPr>
          <w:rFonts w:hint="default"/>
        </w:rPr>
      </w:pPr>
      <w:r>
        <w:rPr>
          <w:rFonts w:hint="default"/>
          <w:lang w:val="en-US"/>
        </w:rPr>
        <w:t xml:space="preserve">- </w:t>
      </w:r>
      <w:r>
        <w:rPr>
          <w:rFonts w:hint="default"/>
        </w:rPr>
        <w:t>Perform PCA</w:t>
      </w:r>
    </w:p>
    <w:p w14:paraId="3C99AED4">
      <w:pPr>
        <w:spacing w:after="240"/>
        <w:rPr>
          <w:rFonts w:hint="default"/>
        </w:rPr>
      </w:pPr>
      <w:r>
        <w:rPr>
          <w:rFonts w:hint="default"/>
          <w:lang w:val="en-US"/>
        </w:rPr>
        <w:t xml:space="preserve">- </w:t>
      </w:r>
      <w:r>
        <w:rPr>
          <w:rFonts w:hint="default"/>
        </w:rPr>
        <w:t>Create scree plots to understand variance contributions</w:t>
      </w:r>
    </w:p>
    <w:p w14:paraId="16A38506">
      <w:pPr>
        <w:spacing w:after="240"/>
        <w:rPr>
          <w:rFonts w:hint="default"/>
        </w:rPr>
      </w:pPr>
      <w:r>
        <w:rPr>
          <w:rFonts w:hint="default"/>
          <w:lang w:val="en-US"/>
        </w:rPr>
        <w:t xml:space="preserve">- </w:t>
      </w:r>
      <w:r>
        <w:rPr>
          <w:rFonts w:hint="default"/>
        </w:rPr>
        <w:t>Generate loading plots to interpret principal components</w:t>
      </w:r>
    </w:p>
    <w:p w14:paraId="732FE01C">
      <w:pPr>
        <w:spacing w:after="240"/>
        <w:rPr>
          <w:rFonts w:hint="default"/>
        </w:rPr>
      </w:pPr>
      <w:r>
        <w:rPr>
          <w:rFonts w:hint="default"/>
          <w:lang w:val="en-US"/>
        </w:rPr>
        <w:t xml:space="preserve">- </w:t>
      </w:r>
      <w:r>
        <w:rPr>
          <w:rFonts w:hint="default"/>
        </w:rPr>
        <w:t>Create score plots colored by quantities of interest</w:t>
      </w:r>
    </w:p>
    <w:p w14:paraId="07234066">
      <w:pPr>
        <w:spacing w:after="240"/>
        <w:rPr>
          <w:rFonts w:hint="default"/>
        </w:rPr>
      </w:pPr>
      <w:r>
        <w:rPr>
          <w:rFonts w:hint="default"/>
          <w:lang w:val="en-US"/>
        </w:rPr>
        <w:t xml:space="preserve">- </w:t>
      </w:r>
      <w:r>
        <w:rPr>
          <w:rFonts w:hint="default"/>
        </w:rPr>
        <w:t>Map PCA scores to spatial sample locations</w:t>
      </w:r>
    </w:p>
    <w:p w14:paraId="2A93FA3B">
      <w:pPr>
        <w:spacing w:after="240"/>
        <w:rPr>
          <w:rFonts w:hint="default"/>
        </w:rPr>
      </w:pPr>
      <w:r>
        <w:rPr>
          <w:rFonts w:hint="default"/>
          <w:lang w:val="en-US"/>
        </w:rPr>
        <w:t xml:space="preserve">- </w:t>
      </w:r>
      <w:r>
        <w:rPr>
          <w:rFonts w:hint="default"/>
        </w:rPr>
        <w:t>For dimension reduction, map lower-dimensional scores back to original variables and assess error</w:t>
      </w:r>
    </w:p>
    <w:p w14:paraId="788106A5">
      <w:pPr>
        <w:spacing w:after="240"/>
        <w:rPr>
          <w:rFonts w:hint="default"/>
          <w:b/>
          <w:bCs/>
        </w:rPr>
      </w:pPr>
      <w:r>
        <w:rPr>
          <w:rFonts w:hint="default"/>
          <w:b/>
          <w:bCs/>
        </w:rPr>
        <w:t>Plots to include:</w:t>
      </w:r>
    </w:p>
    <w:p w14:paraId="74921FB4">
      <w:pPr>
        <w:spacing w:after="240"/>
        <w:rPr>
          <w:rFonts w:hint="default"/>
        </w:rPr>
      </w:pPr>
      <w:r>
        <w:rPr>
          <w:rFonts w:hint="default"/>
          <w:lang w:val="en-US"/>
        </w:rPr>
        <w:t xml:space="preserve">- </w:t>
      </w:r>
      <w:r>
        <w:rPr>
          <w:rFonts w:hint="default"/>
        </w:rPr>
        <w:t>Scree plots</w:t>
      </w:r>
    </w:p>
    <w:p w14:paraId="572D1697">
      <w:pPr>
        <w:spacing w:after="240"/>
        <w:rPr>
          <w:rFonts w:hint="default"/>
        </w:rPr>
      </w:pPr>
      <w:r>
        <w:rPr>
          <w:rFonts w:hint="default"/>
          <w:lang w:val="en-US"/>
        </w:rPr>
        <w:t xml:space="preserve">- </w:t>
      </w:r>
      <w:r>
        <w:rPr>
          <w:rFonts w:hint="default"/>
        </w:rPr>
        <w:t>Loadings plots</w:t>
      </w:r>
    </w:p>
    <w:p w14:paraId="6A5DE16E">
      <w:pPr>
        <w:spacing w:after="240"/>
        <w:rPr>
          <w:rFonts w:hint="default"/>
        </w:rPr>
      </w:pPr>
      <w:r>
        <w:rPr>
          <w:rFonts w:hint="default"/>
          <w:lang w:val="en-US"/>
        </w:rPr>
        <w:t xml:space="preserve">- </w:t>
      </w:r>
      <w:r>
        <w:rPr>
          <w:rFonts w:hint="default"/>
        </w:rPr>
        <w:t>Score plots</w:t>
      </w:r>
    </w:p>
    <w:p w14:paraId="0D56DC18">
      <w:pPr>
        <w:spacing w:after="240"/>
        <w:rPr>
          <w:rFonts w:hint="default"/>
        </w:rPr>
      </w:pPr>
      <w:r>
        <w:rPr>
          <w:rFonts w:hint="default"/>
          <w:lang w:val="en-US"/>
        </w:rPr>
        <w:t xml:space="preserve">- </w:t>
      </w:r>
      <w:r>
        <w:rPr>
          <w:rFonts w:hint="default"/>
        </w:rPr>
        <w:t>Spatial maps with PCA scores</w:t>
      </w:r>
    </w:p>
    <w:p w14:paraId="3E0B3073">
      <w:pPr>
        <w:spacing w:after="240"/>
      </w:pPr>
      <w:r>
        <w:rPr>
          <w:rFonts w:hint="default"/>
          <w:lang w:val="en-US"/>
        </w:rPr>
        <w:t xml:space="preserve">- </w:t>
      </w:r>
      <w:r>
        <w:rPr>
          <w:rFonts w:hint="default"/>
        </w:rPr>
        <w:t>Error plots for dimension reduction</w:t>
      </w:r>
    </w:p>
    <w:p w14:paraId="3DAE6BD1">
      <w:pPr>
        <w:spacing w:after="240"/>
        <w:rPr>
          <w:rFonts w:hint="default"/>
        </w:rPr>
      </w:pPr>
    </w:p>
    <w:p w14:paraId="1A9B824D">
      <w:pPr>
        <w:spacing w:after="240"/>
        <w:rPr>
          <w:rFonts w:hint="default"/>
        </w:rPr>
      </w:pPr>
      <w:r>
        <w:rPr>
          <w:rFonts w:hint="default"/>
        </w:rPr>
        <w:t>9. Other Supportive Methods</w:t>
      </w:r>
    </w:p>
    <w:p w14:paraId="689E2F3A">
      <w:pPr>
        <w:spacing w:after="240"/>
        <w:rPr>
          <w:rFonts w:hint="default"/>
        </w:rPr>
      </w:pPr>
      <w:r>
        <w:rPr>
          <w:rFonts w:hint="default"/>
        </w:rPr>
        <w:t>9.1 Extreme Value Analysis (EVA)</w:t>
      </w:r>
    </w:p>
    <w:p w14:paraId="38F89FC3">
      <w:pPr>
        <w:spacing w:after="240"/>
        <w:rPr>
          <w:rFonts w:hint="default"/>
        </w:rPr>
      </w:pPr>
      <w:r>
        <w:t>EVA will focus on extreme concentrations of environmentally sensitive metals using GPD modeling. Threshold selection, tail index estimation, bootstrap uncertainty analysis, and prediction of extreme events will be conducted.</w:t>
      </w:r>
    </w:p>
    <w:p w14:paraId="51683AF5">
      <w:pPr>
        <w:spacing w:after="240"/>
        <w:rPr>
          <w:rFonts w:hint="default"/>
          <w:b/>
          <w:bCs/>
        </w:rPr>
      </w:pPr>
      <w:r>
        <w:rPr>
          <w:rFonts w:hint="default"/>
          <w:b/>
          <w:bCs/>
          <w:lang w:val="en-US"/>
        </w:rPr>
        <w:t>How it'll work in this project:</w:t>
      </w:r>
    </w:p>
    <w:p w14:paraId="5CCEC906">
      <w:pPr>
        <w:spacing w:after="240"/>
        <w:rPr>
          <w:rFonts w:hint="default"/>
        </w:rPr>
      </w:pPr>
      <w:r>
        <w:rPr>
          <w:rFonts w:hint="default"/>
          <w:lang w:val="en-US"/>
        </w:rPr>
        <w:t xml:space="preserve">- </w:t>
      </w:r>
      <w:r>
        <w:rPr>
          <w:rFonts w:hint="default"/>
        </w:rPr>
        <w:t>Calculate lognormal, Pareto, and mean excess quantile plots</w:t>
      </w:r>
    </w:p>
    <w:p w14:paraId="6C220CFA">
      <w:pPr>
        <w:spacing w:after="240"/>
        <w:rPr>
          <w:rFonts w:hint="default"/>
        </w:rPr>
      </w:pPr>
      <w:r>
        <w:rPr>
          <w:rFonts w:hint="default"/>
          <w:lang w:val="en-US"/>
        </w:rPr>
        <w:t xml:space="preserve">- </w:t>
      </w:r>
      <w:r>
        <w:rPr>
          <w:rFonts w:hint="default"/>
        </w:rPr>
        <w:t>Use quantile plots to diagnose thresholds</w:t>
      </w:r>
    </w:p>
    <w:p w14:paraId="6968C630">
      <w:pPr>
        <w:spacing w:after="240"/>
        <w:rPr>
          <w:rFonts w:hint="default"/>
        </w:rPr>
      </w:pPr>
      <w:r>
        <w:rPr>
          <w:rFonts w:hint="default"/>
          <w:lang w:val="en-US"/>
        </w:rPr>
        <w:t xml:space="preserve">- </w:t>
      </w:r>
      <w:r>
        <w:rPr>
          <w:rFonts w:hint="default"/>
        </w:rPr>
        <w:t>Estimate ξ using regression over threshold</w:t>
      </w:r>
    </w:p>
    <w:p w14:paraId="69C9BA82">
      <w:pPr>
        <w:spacing w:after="240"/>
        <w:rPr>
          <w:rFonts w:hint="default"/>
        </w:rPr>
      </w:pPr>
      <w:r>
        <w:rPr>
          <w:rFonts w:hint="default"/>
          <w:lang w:val="en-US"/>
        </w:rPr>
        <w:t xml:space="preserve">- </w:t>
      </w:r>
      <w:r>
        <w:rPr>
          <w:rFonts w:hint="default"/>
        </w:rPr>
        <w:t>Perform uncertainty analysis of ξ using bootstrap</w:t>
      </w:r>
    </w:p>
    <w:p w14:paraId="3C6D78D6">
      <w:pPr>
        <w:spacing w:after="240"/>
        <w:rPr>
          <w:rFonts w:hint="default"/>
        </w:rPr>
      </w:pPr>
      <w:r>
        <w:rPr>
          <w:rFonts w:hint="default"/>
          <w:lang w:val="en-US"/>
        </w:rPr>
        <w:t xml:space="preserve">- </w:t>
      </w:r>
      <w:r>
        <w:rPr>
          <w:rFonts w:hint="default"/>
        </w:rPr>
        <w:t>Final estimate of ξ, σ using GPD fitting routine</w:t>
      </w:r>
    </w:p>
    <w:p w14:paraId="51291F2A">
      <w:pPr>
        <w:spacing w:after="240"/>
        <w:rPr>
          <w:rFonts w:hint="default"/>
        </w:rPr>
      </w:pPr>
      <w:r>
        <w:rPr>
          <w:rFonts w:hint="default"/>
          <w:lang w:val="en-US"/>
        </w:rPr>
        <w:t xml:space="preserve">- </w:t>
      </w:r>
      <w:r>
        <w:rPr>
          <w:rFonts w:hint="default"/>
        </w:rPr>
        <w:t>Predict extreme events using fitted GPD</w:t>
      </w:r>
    </w:p>
    <w:p w14:paraId="612F667C">
      <w:pPr>
        <w:spacing w:after="240"/>
        <w:rPr>
          <w:rFonts w:hint="default"/>
        </w:rPr>
      </w:pPr>
      <w:r>
        <w:rPr>
          <w:rFonts w:hint="default"/>
          <w:b/>
          <w:bCs/>
        </w:rPr>
        <w:t>Plots to include:</w:t>
      </w:r>
    </w:p>
    <w:p w14:paraId="79801EB4">
      <w:pPr>
        <w:spacing w:after="240"/>
        <w:rPr>
          <w:rFonts w:hint="default"/>
        </w:rPr>
      </w:pPr>
      <w:r>
        <w:rPr>
          <w:rFonts w:hint="default"/>
          <w:lang w:val="en-US"/>
        </w:rPr>
        <w:t xml:space="preserve">- </w:t>
      </w:r>
      <w:r>
        <w:rPr>
          <w:rFonts w:hint="default"/>
        </w:rPr>
        <w:t>Histogram of data with summary statistics</w:t>
      </w:r>
    </w:p>
    <w:p w14:paraId="799ED460">
      <w:pPr>
        <w:spacing w:after="240"/>
        <w:rPr>
          <w:rFonts w:hint="default"/>
        </w:rPr>
      </w:pPr>
      <w:r>
        <w:rPr>
          <w:rFonts w:hint="default"/>
          <w:lang w:val="en-US"/>
        </w:rPr>
        <w:t xml:space="preserve">- </w:t>
      </w:r>
      <w:r>
        <w:rPr>
          <w:rFonts w:hint="default"/>
        </w:rPr>
        <w:t>Lognormal, Pareto, and mean excess quantile plots</w:t>
      </w:r>
    </w:p>
    <w:p w14:paraId="23822C83">
      <w:pPr>
        <w:spacing w:after="240"/>
        <w:rPr>
          <w:rFonts w:hint="default"/>
        </w:rPr>
      </w:pPr>
      <w:r>
        <w:rPr>
          <w:rFonts w:hint="default"/>
          <w:lang w:val="en-US"/>
        </w:rPr>
        <w:t xml:space="preserve">- </w:t>
      </w:r>
      <w:r>
        <w:rPr>
          <w:rFonts w:hint="default"/>
        </w:rPr>
        <w:t>Estimation of ξ as function of threshold</w:t>
      </w:r>
    </w:p>
    <w:p w14:paraId="656C290A">
      <w:pPr>
        <w:spacing w:after="240"/>
        <w:rPr>
          <w:rFonts w:hint="default"/>
        </w:rPr>
      </w:pPr>
      <w:r>
        <w:rPr>
          <w:rFonts w:hint="default"/>
          <w:lang w:val="en-US"/>
        </w:rPr>
        <w:t xml:space="preserve">- </w:t>
      </w:r>
      <w:r>
        <w:rPr>
          <w:rFonts w:hint="default"/>
        </w:rPr>
        <w:t>Histogram of bootstrap estimates of ξ</w:t>
      </w:r>
    </w:p>
    <w:p w14:paraId="4D73CD35">
      <w:pPr>
        <w:spacing w:after="240"/>
        <w:rPr>
          <w:rFonts w:hint="default"/>
        </w:rPr>
      </w:pPr>
      <w:r>
        <w:rPr>
          <w:rFonts w:hint="default"/>
          <w:lang w:val="en-US"/>
        </w:rPr>
        <w:t xml:space="preserve">- </w:t>
      </w:r>
      <w:r>
        <w:rPr>
          <w:rFonts w:hint="default"/>
        </w:rPr>
        <w:t>Histogram of data overlaid with fitted GPD</w:t>
      </w:r>
    </w:p>
    <w:p w14:paraId="502777E5">
      <w:pPr>
        <w:spacing w:after="240"/>
        <w:rPr>
          <w:rFonts w:hint="default"/>
        </w:rPr>
      </w:pPr>
    </w:p>
    <w:p w14:paraId="48CA4442">
      <w:pPr>
        <w:spacing w:after="240"/>
        <w:rPr>
          <w:rFonts w:hint="default"/>
        </w:rPr>
      </w:pPr>
      <w:r>
        <w:rPr>
          <w:rFonts w:hint="default"/>
        </w:rPr>
        <w:t>9.2 Clustering Analysis</w:t>
      </w:r>
    </w:p>
    <w:p w14:paraId="41AED93B">
      <w:pPr>
        <w:spacing w:after="240"/>
      </w:pPr>
      <w:r>
        <w:t xml:space="preserve">Unsupervised clustering </w:t>
      </w:r>
      <w:r>
        <w:rPr>
          <w:rFonts w:hint="default"/>
          <w:lang w:val="en-US"/>
        </w:rPr>
        <w:t xml:space="preserve">analysis </w:t>
      </w:r>
      <w:r>
        <w:t>will define natural background populations. MDS, silhouette analysis, and k-means clustering will be used, with spatial validation of cluster patterns.</w:t>
      </w:r>
      <w:r>
        <w:br w:type="textWrapping"/>
      </w:r>
    </w:p>
    <w:p w14:paraId="4A604376">
      <w:pPr>
        <w:spacing w:after="240"/>
        <w:rPr>
          <w:rFonts w:hint="default"/>
        </w:rPr>
      </w:pPr>
      <w:r>
        <w:rPr>
          <w:rFonts w:hint="default"/>
          <w:b/>
          <w:bCs/>
        </w:rPr>
        <w:t>How it'll work in this project:</w:t>
      </w:r>
    </w:p>
    <w:p w14:paraId="6A81161F">
      <w:pPr>
        <w:spacing w:after="240"/>
        <w:rPr>
          <w:rFonts w:hint="default"/>
        </w:rPr>
      </w:pPr>
      <w:r>
        <w:rPr>
          <w:rFonts w:hint="default"/>
          <w:lang w:val="en-US"/>
        </w:rPr>
        <w:t xml:space="preserve">- </w:t>
      </w:r>
      <w:r>
        <w:rPr>
          <w:rFonts w:hint="default"/>
        </w:rPr>
        <w:t>Apply ilr transformations to compositional data</w:t>
      </w:r>
    </w:p>
    <w:p w14:paraId="68394A95">
      <w:pPr>
        <w:spacing w:after="240"/>
        <w:rPr>
          <w:rFonts w:hint="default"/>
        </w:rPr>
      </w:pPr>
      <w:r>
        <w:rPr>
          <w:rFonts w:hint="default"/>
          <w:lang w:val="en-US"/>
        </w:rPr>
        <w:t xml:space="preserve">- </w:t>
      </w:r>
      <w:r>
        <w:rPr>
          <w:rFonts w:hint="default"/>
        </w:rPr>
        <w:t>Choose appropriate distance metric</w:t>
      </w:r>
    </w:p>
    <w:p w14:paraId="22EF6C9F">
      <w:pPr>
        <w:spacing w:after="240"/>
        <w:rPr>
          <w:rFonts w:hint="default"/>
        </w:rPr>
      </w:pPr>
      <w:r>
        <w:rPr>
          <w:rFonts w:hint="default"/>
          <w:lang w:val="en-US"/>
        </w:rPr>
        <w:t xml:space="preserve">- </w:t>
      </w:r>
      <w:r>
        <w:rPr>
          <w:rFonts w:hint="default"/>
        </w:rPr>
        <w:t>Perform MDS, create scree plot</w:t>
      </w:r>
    </w:p>
    <w:p w14:paraId="685C3CB6">
      <w:pPr>
        <w:spacing w:after="240"/>
        <w:rPr>
          <w:rFonts w:hint="default"/>
        </w:rPr>
      </w:pPr>
      <w:r>
        <w:rPr>
          <w:rFonts w:hint="default"/>
          <w:lang w:val="en-US"/>
        </w:rPr>
        <w:t xml:space="preserve">- </w:t>
      </w:r>
      <w:r>
        <w:rPr>
          <w:rFonts w:hint="default"/>
        </w:rPr>
        <w:t>Use scree plot to assess distance quality</w:t>
      </w:r>
    </w:p>
    <w:p w14:paraId="11701C18">
      <w:pPr>
        <w:spacing w:after="240"/>
        <w:rPr>
          <w:rFonts w:hint="default"/>
        </w:rPr>
      </w:pPr>
      <w:r>
        <w:rPr>
          <w:rFonts w:hint="default"/>
          <w:lang w:val="en-US"/>
        </w:rPr>
        <w:t xml:space="preserve">- </w:t>
      </w:r>
      <w:r>
        <w:rPr>
          <w:rFonts w:hint="default"/>
        </w:rPr>
        <w:t>Plot sample data in 2D/3D using MDS scores</w:t>
      </w:r>
    </w:p>
    <w:p w14:paraId="05E281E0">
      <w:pPr>
        <w:spacing w:after="240"/>
        <w:rPr>
          <w:rFonts w:hint="default"/>
        </w:rPr>
      </w:pPr>
      <w:r>
        <w:rPr>
          <w:rFonts w:hint="default"/>
          <w:lang w:val="en-US"/>
        </w:rPr>
        <w:t xml:space="preserve">- </w:t>
      </w:r>
      <w:r>
        <w:rPr>
          <w:rFonts w:hint="default"/>
        </w:rPr>
        <w:t>Color points in MDS plots by quantities of interest</w:t>
      </w:r>
    </w:p>
    <w:p w14:paraId="181F6680">
      <w:pPr>
        <w:spacing w:after="240"/>
        <w:rPr>
          <w:rFonts w:hint="default"/>
        </w:rPr>
      </w:pPr>
      <w:r>
        <w:rPr>
          <w:rFonts w:hint="default"/>
          <w:lang w:val="en-US"/>
        </w:rPr>
        <w:t xml:space="preserve">- </w:t>
      </w:r>
      <w:r>
        <w:rPr>
          <w:rFonts w:hint="default"/>
        </w:rPr>
        <w:t>Create silhouette plot to determine cluster number</w:t>
      </w:r>
    </w:p>
    <w:p w14:paraId="307FB7C1">
      <w:pPr>
        <w:spacing w:after="240"/>
        <w:rPr>
          <w:rFonts w:hint="default"/>
        </w:rPr>
      </w:pPr>
      <w:r>
        <w:rPr>
          <w:rFonts w:hint="default"/>
          <w:lang w:val="en-US"/>
        </w:rPr>
        <w:t xml:space="preserve">- </w:t>
      </w:r>
      <w:r>
        <w:rPr>
          <w:rFonts w:hint="default"/>
        </w:rPr>
        <w:t>Perform k-means clustering, plot cluster labels in MDS</w:t>
      </w:r>
    </w:p>
    <w:p w14:paraId="67B87111">
      <w:pPr>
        <w:spacing w:after="240"/>
        <w:rPr>
          <w:rFonts w:hint="default"/>
        </w:rPr>
      </w:pPr>
      <w:r>
        <w:rPr>
          <w:rFonts w:hint="default"/>
          <w:lang w:val="en-US"/>
        </w:rPr>
        <w:t xml:space="preserve">- </w:t>
      </w:r>
      <w:r>
        <w:rPr>
          <w:rFonts w:hint="default"/>
        </w:rPr>
        <w:t>Map cluster labels to spatial locations</w:t>
      </w:r>
    </w:p>
    <w:p w14:paraId="663F90E8">
      <w:pPr>
        <w:spacing w:after="240"/>
        <w:rPr>
          <w:rFonts w:hint="default"/>
          <w:b/>
          <w:bCs/>
        </w:rPr>
      </w:pPr>
      <w:r>
        <w:rPr>
          <w:rFonts w:hint="default"/>
          <w:b/>
          <w:bCs/>
        </w:rPr>
        <w:t>Plots to include:</w:t>
      </w:r>
    </w:p>
    <w:p w14:paraId="7927D4E0">
      <w:pPr>
        <w:spacing w:after="240"/>
        <w:rPr>
          <w:rFonts w:hint="default"/>
        </w:rPr>
      </w:pPr>
      <w:r>
        <w:rPr>
          <w:rFonts w:hint="default"/>
          <w:lang w:val="en-US"/>
        </w:rPr>
        <w:t xml:space="preserve">- </w:t>
      </w:r>
      <w:r>
        <w:rPr>
          <w:rFonts w:hint="default"/>
        </w:rPr>
        <w:t>clr-biplot</w:t>
      </w:r>
    </w:p>
    <w:p w14:paraId="6C8564E9">
      <w:pPr>
        <w:spacing w:after="240"/>
        <w:rPr>
          <w:rFonts w:hint="default"/>
        </w:rPr>
      </w:pPr>
      <w:r>
        <w:rPr>
          <w:rFonts w:hint="default"/>
          <w:lang w:val="en-US"/>
        </w:rPr>
        <w:t xml:space="preserve">- </w:t>
      </w:r>
      <w:r>
        <w:rPr>
          <w:rFonts w:hint="default"/>
        </w:rPr>
        <w:t>MDS: scree plot and score plot</w:t>
      </w:r>
    </w:p>
    <w:p w14:paraId="3FF97D54">
      <w:pPr>
        <w:spacing w:after="240"/>
        <w:rPr>
          <w:rFonts w:hint="default"/>
        </w:rPr>
      </w:pPr>
      <w:r>
        <w:rPr>
          <w:rFonts w:hint="default"/>
          <w:lang w:val="en-US"/>
        </w:rPr>
        <w:t xml:space="preserve">- </w:t>
      </w:r>
      <w:r>
        <w:rPr>
          <w:rFonts w:hint="default"/>
        </w:rPr>
        <w:t>Score plots colored by property of interest</w:t>
      </w:r>
    </w:p>
    <w:p w14:paraId="05071AE7">
      <w:pPr>
        <w:spacing w:after="240"/>
        <w:rPr>
          <w:rFonts w:hint="default"/>
        </w:rPr>
      </w:pPr>
      <w:r>
        <w:rPr>
          <w:rFonts w:hint="default"/>
          <w:lang w:val="en-US"/>
        </w:rPr>
        <w:t xml:space="preserve">- </w:t>
      </w:r>
      <w:r>
        <w:rPr>
          <w:rFonts w:hint="default"/>
        </w:rPr>
        <w:t>Silhouette plot</w:t>
      </w:r>
    </w:p>
    <w:p w14:paraId="6A45FB27">
      <w:pPr>
        <w:spacing w:after="240"/>
        <w:rPr>
          <w:rFonts w:hint="default"/>
        </w:rPr>
      </w:pPr>
      <w:r>
        <w:rPr>
          <w:rFonts w:hint="default"/>
          <w:lang w:val="en-US"/>
        </w:rPr>
        <w:t xml:space="preserve">- </w:t>
      </w:r>
      <w:r>
        <w:rPr>
          <w:rFonts w:hint="default"/>
        </w:rPr>
        <w:t>MDS score plot with cluster labels</w:t>
      </w:r>
    </w:p>
    <w:p w14:paraId="0C50D116">
      <w:pPr>
        <w:spacing w:after="240"/>
        <w:rPr>
          <w:rFonts w:hint="default"/>
        </w:rPr>
      </w:pPr>
      <w:r>
        <w:rPr>
          <w:rFonts w:hint="default"/>
          <w:lang w:val="en-US"/>
        </w:rPr>
        <w:t xml:space="preserve">- </w:t>
      </w:r>
      <w:r>
        <w:rPr>
          <w:rFonts w:hint="default"/>
        </w:rPr>
        <w:t>Spatial maps of cluster assignments</w:t>
      </w:r>
    </w:p>
    <w:p w14:paraId="7BC1138D">
      <w:pPr>
        <w:spacing w:after="240"/>
      </w:pPr>
      <w:r>
        <w:rPr>
          <w:rFonts w:hint="default"/>
          <w:lang w:val="en-US"/>
        </w:rPr>
        <w:t xml:space="preserve">9.3 </w:t>
      </w:r>
      <w:r>
        <w:t>Bayesian Inference with Continuous Predictors</w:t>
      </w:r>
      <w:r>
        <w:br w:type="textWrapping"/>
      </w:r>
      <w:r>
        <w:br w:type="textWrapping"/>
      </w:r>
      <w:r>
        <w:t>Bayesian classification will integrate continuous predictors using kernel density estimation. Prior probabilities, likelihoods, posterior probabilities, and Bayesian confusion matrices will be computed. Posterior probability maps and precision–recall curves will support uncertainty-aware decision-making.</w:t>
      </w:r>
    </w:p>
    <w:p w14:paraId="1F07690A">
      <w:pPr>
        <w:spacing w:after="240"/>
      </w:pPr>
    </w:p>
    <w:p w14:paraId="641E9F95">
      <w:pPr>
        <w:spacing w:after="240"/>
        <w:rPr>
          <w:rFonts w:hint="default"/>
        </w:rPr>
      </w:pPr>
      <w:r>
        <w:rPr>
          <w:rFonts w:hint="default"/>
          <w:b/>
          <w:bCs/>
        </w:rPr>
        <w:t>How it'll work in this project:</w:t>
      </w:r>
    </w:p>
    <w:p w14:paraId="79212540">
      <w:pPr>
        <w:spacing w:after="240"/>
        <w:rPr>
          <w:rFonts w:hint="default"/>
        </w:rPr>
      </w:pPr>
      <w:r>
        <w:rPr>
          <w:rFonts w:hint="default"/>
          <w:lang w:val="en-US"/>
        </w:rPr>
        <w:t xml:space="preserve">- </w:t>
      </w:r>
      <w:r>
        <w:rPr>
          <w:rFonts w:hint="default"/>
        </w:rPr>
        <w:t>Plot histogram of predictor per each category</w:t>
      </w:r>
    </w:p>
    <w:p w14:paraId="2DD68F74">
      <w:pPr>
        <w:spacing w:after="240"/>
        <w:rPr>
          <w:rFonts w:hint="default"/>
        </w:rPr>
      </w:pPr>
      <w:r>
        <w:rPr>
          <w:rFonts w:hint="default"/>
          <w:lang w:val="en-US"/>
        </w:rPr>
        <w:t xml:space="preserve">- </w:t>
      </w:r>
      <w:r>
        <w:rPr>
          <w:rFonts w:hint="default"/>
        </w:rPr>
        <w:t>Perform kernel density smoothing of all histograms to get likelihood distributions</w:t>
      </w:r>
    </w:p>
    <w:p w14:paraId="04866A3B">
      <w:pPr>
        <w:spacing w:after="240"/>
        <w:rPr>
          <w:rFonts w:hint="default"/>
        </w:rPr>
      </w:pPr>
      <w:r>
        <w:rPr>
          <w:rFonts w:hint="default"/>
          <w:lang w:val="en-US"/>
        </w:rPr>
        <w:t xml:space="preserve">- </w:t>
      </w:r>
      <w:r>
        <w:rPr>
          <w:rFonts w:hint="default"/>
        </w:rPr>
        <w:t xml:space="preserve">Turn all categories into binary indicator variables </w:t>
      </w:r>
    </w:p>
    <w:p w14:paraId="5F74081E">
      <w:pPr>
        <w:spacing w:after="240"/>
        <w:rPr>
          <w:rFonts w:hint="default"/>
        </w:rPr>
      </w:pPr>
      <w:r>
        <w:rPr>
          <w:rFonts w:hint="default"/>
          <w:lang w:val="en-US"/>
        </w:rPr>
        <w:t xml:space="preserve">- </w:t>
      </w:r>
      <w:r>
        <w:rPr>
          <w:rFonts w:hint="default"/>
        </w:rPr>
        <w:t>Calculate prior of indicators</w:t>
      </w:r>
    </w:p>
    <w:p w14:paraId="19503D34">
      <w:pPr>
        <w:spacing w:after="240"/>
        <w:rPr>
          <w:rFonts w:hint="default"/>
        </w:rPr>
      </w:pPr>
      <w:r>
        <w:rPr>
          <w:rFonts w:hint="default"/>
          <w:lang w:val="en-US"/>
        </w:rPr>
        <w:t xml:space="preserve">- </w:t>
      </w:r>
      <w:r>
        <w:rPr>
          <w:rFonts w:hint="default"/>
        </w:rPr>
        <w:t>Calculate total probabilities for each indicator</w:t>
      </w:r>
    </w:p>
    <w:p w14:paraId="3A0E0D26">
      <w:pPr>
        <w:spacing w:after="240"/>
        <w:rPr>
          <w:rFonts w:hint="default"/>
        </w:rPr>
      </w:pPr>
      <w:r>
        <w:rPr>
          <w:rFonts w:hint="default"/>
          <w:lang w:val="en-US"/>
        </w:rPr>
        <w:t xml:space="preserve">- </w:t>
      </w:r>
      <w:r>
        <w:rPr>
          <w:rFonts w:hint="default"/>
        </w:rPr>
        <w:t>Calculate posterior distributions for each indicator</w:t>
      </w:r>
    </w:p>
    <w:p w14:paraId="0126FF75">
      <w:pPr>
        <w:spacing w:after="240"/>
        <w:rPr>
          <w:rFonts w:hint="default"/>
        </w:rPr>
      </w:pPr>
      <w:r>
        <w:rPr>
          <w:rFonts w:hint="default"/>
          <w:lang w:val="en-US"/>
        </w:rPr>
        <w:t xml:space="preserve">- </w:t>
      </w:r>
      <w:r>
        <w:rPr>
          <w:rFonts w:hint="default"/>
        </w:rPr>
        <w:t>Plot posterior distributions on a map</w:t>
      </w:r>
    </w:p>
    <w:p w14:paraId="2A338899">
      <w:pPr>
        <w:spacing w:after="240"/>
        <w:rPr>
          <w:rFonts w:hint="default"/>
        </w:rPr>
      </w:pPr>
      <w:r>
        <w:rPr>
          <w:rFonts w:hint="default"/>
          <w:lang w:val="en-US"/>
        </w:rPr>
        <w:t xml:space="preserve">- </w:t>
      </w:r>
      <w:r>
        <w:rPr>
          <w:rFonts w:hint="default"/>
        </w:rPr>
        <w:t>Perform Bayesian classification and create map of classified rocks</w:t>
      </w:r>
    </w:p>
    <w:p w14:paraId="1D1FDBEE">
      <w:pPr>
        <w:spacing w:after="240"/>
        <w:rPr>
          <w:rFonts w:hint="default"/>
        </w:rPr>
      </w:pPr>
      <w:r>
        <w:rPr>
          <w:rFonts w:hint="default"/>
          <w:lang w:val="en-US"/>
        </w:rPr>
        <w:t xml:space="preserve">- </w:t>
      </w:r>
      <w:r>
        <w:rPr>
          <w:rFonts w:hint="default"/>
        </w:rPr>
        <w:t>Calculate Bayesian confusion matrix</w:t>
      </w:r>
    </w:p>
    <w:p w14:paraId="2CD14F5D">
      <w:pPr>
        <w:spacing w:after="240"/>
        <w:rPr>
          <w:rFonts w:hint="default"/>
        </w:rPr>
      </w:pPr>
      <w:r>
        <w:rPr>
          <w:rFonts w:hint="default"/>
          <w:lang w:val="en-US"/>
        </w:rPr>
        <w:t xml:space="preserve">- </w:t>
      </w:r>
      <w:r>
        <w:rPr>
          <w:rFonts w:hint="default"/>
        </w:rPr>
        <w:t>Calculate precision vs recall curve</w:t>
      </w:r>
    </w:p>
    <w:p w14:paraId="5876942F">
      <w:pPr>
        <w:spacing w:after="240"/>
        <w:rPr>
          <w:rFonts w:hint="default"/>
          <w:lang w:val="en-US"/>
        </w:rPr>
      </w:pPr>
      <w:r>
        <w:rPr>
          <w:rFonts w:hint="default"/>
          <w:b/>
          <w:bCs/>
        </w:rPr>
        <w:t>Plots to make</w:t>
      </w:r>
      <w:r>
        <w:rPr>
          <w:rFonts w:hint="default"/>
          <w:b/>
          <w:bCs/>
          <w:lang w:val="en-US"/>
        </w:rPr>
        <w:t xml:space="preserve"> include:</w:t>
      </w:r>
    </w:p>
    <w:p w14:paraId="40790326">
      <w:pPr>
        <w:spacing w:after="240"/>
        <w:rPr>
          <w:rFonts w:hint="default"/>
        </w:rPr>
      </w:pPr>
      <w:r>
        <w:rPr>
          <w:rFonts w:hint="default"/>
          <w:lang w:val="en-US"/>
        </w:rPr>
        <w:t xml:space="preserve">- </w:t>
      </w:r>
      <w:r>
        <w:rPr>
          <w:rFonts w:hint="default"/>
        </w:rPr>
        <w:t>As many histograms of predictor as categories</w:t>
      </w:r>
    </w:p>
    <w:p w14:paraId="4096652D">
      <w:pPr>
        <w:spacing w:after="240"/>
        <w:rPr>
          <w:rFonts w:hint="default"/>
        </w:rPr>
      </w:pPr>
      <w:r>
        <w:rPr>
          <w:rFonts w:hint="default"/>
          <w:lang w:val="en-US"/>
        </w:rPr>
        <w:t xml:space="preserve">- </w:t>
      </w:r>
      <w:r>
        <w:rPr>
          <w:rFonts w:hint="default"/>
        </w:rPr>
        <w:t>As many posterior probability maps as categories</w:t>
      </w:r>
    </w:p>
    <w:p w14:paraId="1B9D6E19">
      <w:pPr>
        <w:spacing w:after="240"/>
        <w:rPr>
          <w:rFonts w:hint="default"/>
        </w:rPr>
      </w:pPr>
      <w:r>
        <w:rPr>
          <w:rFonts w:hint="default"/>
          <w:lang w:val="en-US"/>
        </w:rPr>
        <w:t xml:space="preserve">- </w:t>
      </w:r>
      <w:r>
        <w:rPr>
          <w:rFonts w:hint="default"/>
        </w:rPr>
        <w:t>As many classified maps as categories</w:t>
      </w:r>
    </w:p>
    <w:p w14:paraId="1087779E">
      <w:pPr>
        <w:spacing w:after="240"/>
        <w:rPr>
          <w:rFonts w:hint="default"/>
        </w:rPr>
      </w:pPr>
      <w:r>
        <w:rPr>
          <w:rFonts w:hint="default"/>
          <w:lang w:val="en-US"/>
        </w:rPr>
        <w:t xml:space="preserve">- </w:t>
      </w:r>
      <w:r>
        <w:rPr>
          <w:rFonts w:hint="default"/>
        </w:rPr>
        <w:t>Bayesian confusion matrix</w:t>
      </w:r>
    </w:p>
    <w:p w14:paraId="31647EED">
      <w:pPr>
        <w:spacing w:after="240"/>
        <w:rPr>
          <w:rFonts w:hint="default"/>
        </w:rPr>
      </w:pPr>
      <w:r>
        <w:rPr>
          <w:rFonts w:hint="default"/>
          <w:lang w:val="en-US"/>
        </w:rPr>
        <w:t xml:space="preserve">- </w:t>
      </w:r>
      <w:r>
        <w:rPr>
          <w:rFonts w:hint="default"/>
        </w:rPr>
        <w:t>Precision vs recall curve</w:t>
      </w:r>
    </w:p>
    <w:p w14:paraId="4A9CEE68">
      <w:pPr>
        <w:spacing w:after="240"/>
        <w:rPr>
          <w:rFonts w:hint="default"/>
        </w:rPr>
      </w:pPr>
    </w:p>
    <w:p w14:paraId="4BC49ED9">
      <w:pPr>
        <w:spacing w:after="240"/>
        <w:rPr>
          <w:rFonts w:hint="default"/>
        </w:rPr>
      </w:pPr>
    </w:p>
    <w:p w14:paraId="41E0C7E1">
      <w:pPr>
        <w:spacing w:after="240"/>
        <w:rPr>
          <w:rFonts w:hint="default"/>
        </w:rPr>
      </w:pPr>
      <w:r>
        <w:rPr>
          <w:rFonts w:hint="default"/>
        </w:rPr>
        <w:t>9.</w:t>
      </w:r>
      <w:r>
        <w:rPr>
          <w:rFonts w:hint="default"/>
          <w:lang w:val="en-US"/>
        </w:rPr>
        <w:t>4</w:t>
      </w:r>
      <w:r>
        <w:rPr>
          <w:rFonts w:hint="default"/>
        </w:rPr>
        <w:t xml:space="preserve"> Spatial and Geostatistical Analysis</w:t>
      </w:r>
    </w:p>
    <w:p w14:paraId="44CB4911">
      <w:pPr>
        <w:spacing w:after="240"/>
        <w:rPr>
          <w:rFonts w:hint="default"/>
        </w:rPr>
      </w:pPr>
      <w:r>
        <w:br w:type="textWrapping"/>
      </w:r>
      <w:r>
        <w:t>Variograms will be calculated in multiple directions to assess nugget effects, anisotropy, and spatial continuity. Trend removal, residual variograms, and interpretation of sill and range will guide spatial modeling. Uniform score transforms may be applied to reduce sensitivity to extremes.</w:t>
      </w:r>
    </w:p>
    <w:p w14:paraId="65ABE5A8">
      <w:pPr>
        <w:spacing w:after="240"/>
        <w:rPr>
          <w:rFonts w:hint="default"/>
        </w:rPr>
      </w:pPr>
      <w:r>
        <w:rPr>
          <w:rFonts w:hint="default"/>
          <w:b/>
          <w:bCs/>
        </w:rPr>
        <w:t>How it'll work in this project:</w:t>
      </w:r>
    </w:p>
    <w:p w14:paraId="5F7E6BA5">
      <w:pPr>
        <w:spacing w:after="240"/>
        <w:rPr>
          <w:rFonts w:hint="default"/>
        </w:rPr>
      </w:pPr>
      <w:r>
        <w:rPr>
          <w:rFonts w:hint="default"/>
          <w:lang w:val="en-US"/>
        </w:rPr>
        <w:t xml:space="preserve">- </w:t>
      </w:r>
      <w:r>
        <w:rPr>
          <w:rFonts w:hint="default"/>
        </w:rPr>
        <w:t>Create histogram of data to examine variance</w:t>
      </w:r>
    </w:p>
    <w:p w14:paraId="41130433">
      <w:pPr>
        <w:spacing w:after="240"/>
        <w:rPr>
          <w:rFonts w:hint="default"/>
        </w:rPr>
      </w:pPr>
      <w:r>
        <w:rPr>
          <w:rFonts w:hint="default"/>
          <w:lang w:val="en-US"/>
        </w:rPr>
        <w:t xml:space="preserve">- </w:t>
      </w:r>
      <w:r>
        <w:rPr>
          <w:rFonts w:hint="default"/>
        </w:rPr>
        <w:t>Calculate variograms for 4-6 directions</w:t>
      </w:r>
    </w:p>
    <w:p w14:paraId="36BB9737">
      <w:pPr>
        <w:spacing w:after="240"/>
        <w:rPr>
          <w:rFonts w:hint="default"/>
        </w:rPr>
      </w:pPr>
      <w:r>
        <w:rPr>
          <w:rFonts w:hint="default"/>
          <w:lang w:val="en-US"/>
        </w:rPr>
        <w:t xml:space="preserve">- </w:t>
      </w:r>
      <w:r>
        <w:rPr>
          <w:rFonts w:hint="default"/>
        </w:rPr>
        <w:t>Determine nugget effect and behavior at origin (smoothness)</w:t>
      </w:r>
    </w:p>
    <w:p w14:paraId="26C3B57C">
      <w:pPr>
        <w:spacing w:after="240"/>
        <w:rPr>
          <w:rFonts w:hint="default"/>
        </w:rPr>
      </w:pPr>
      <w:r>
        <w:rPr>
          <w:rFonts w:hint="default"/>
          <w:lang w:val="en-US"/>
        </w:rPr>
        <w:t xml:space="preserve">- </w:t>
      </w:r>
      <w:r>
        <w:rPr>
          <w:rFonts w:hint="default"/>
        </w:rPr>
        <w:t>Plot sill (= variance) on variogram plot</w:t>
      </w:r>
    </w:p>
    <w:p w14:paraId="41B75CB7">
      <w:pPr>
        <w:spacing w:after="240"/>
        <w:rPr>
          <w:rFonts w:hint="default"/>
        </w:rPr>
      </w:pPr>
      <w:r>
        <w:rPr>
          <w:rFonts w:hint="default"/>
          <w:lang w:val="en-US"/>
        </w:rPr>
        <w:t xml:space="preserve">- </w:t>
      </w:r>
      <w:r>
        <w:rPr>
          <w:rFonts w:hint="default"/>
        </w:rPr>
        <w:t>Identify anisotropy: find directions with largest/smallest range</w:t>
      </w:r>
    </w:p>
    <w:p w14:paraId="523BA6C9">
      <w:pPr>
        <w:spacing w:after="240"/>
        <w:rPr>
          <w:rFonts w:hint="default"/>
          <w:lang w:val="en-US"/>
        </w:rPr>
      </w:pPr>
      <w:r>
        <w:rPr>
          <w:rFonts w:hint="default"/>
          <w:lang w:val="en-US"/>
        </w:rPr>
        <w:t xml:space="preserve">- </w:t>
      </w:r>
      <w:r>
        <w:rPr>
          <w:rFonts w:hint="default"/>
        </w:rPr>
        <w:t>Remove trend if present, then calculate residual variogram</w:t>
      </w:r>
      <w:r>
        <w:br w:type="textWrapping"/>
      </w:r>
      <w:r>
        <w:br w:type="textWrapping"/>
      </w:r>
      <w:r>
        <w:rPr>
          <w:rFonts w:hint="default"/>
          <w:lang w:val="en-US"/>
        </w:rPr>
        <w:t>10. Expected Outcomes</w:t>
      </w:r>
    </w:p>
    <w:p w14:paraId="5F121D2B">
      <w:pPr>
        <w:numPr>
          <w:ilvl w:val="0"/>
          <w:numId w:val="10"/>
        </w:numPr>
        <w:spacing w:after="240"/>
        <w:rPr>
          <w:rFonts w:hint="default"/>
          <w:lang w:val="en-US"/>
        </w:rPr>
      </w:pPr>
      <w:r>
        <w:rPr>
          <w:rFonts w:hint="default"/>
          <w:lang w:val="en-US"/>
        </w:rPr>
        <w:t>Objective identification of soil anomalies: Using multivariate outlier detection to flag soils with unusual elemental combinations, distinguishing them from natural geochemical background.</w:t>
      </w:r>
    </w:p>
    <w:p w14:paraId="4681B88E">
      <w:pPr>
        <w:numPr>
          <w:ilvl w:val="0"/>
          <w:numId w:val="10"/>
        </w:numPr>
        <w:spacing w:after="240"/>
        <w:rPr>
          <w:rFonts w:hint="default"/>
          <w:lang w:val="en-US"/>
        </w:rPr>
      </w:pPr>
      <w:r>
        <w:rPr>
          <w:rFonts w:hint="default"/>
          <w:lang w:val="en-US"/>
        </w:rPr>
        <w:t>Clear differentiation between natural enrichment and potential pollution: PCA, CoDA, and spatial modeling will support interpretation, preventing misclassification of naturally enriched soils as contaminated.</w:t>
      </w:r>
    </w:p>
    <w:p w14:paraId="4C493848">
      <w:pPr>
        <w:numPr>
          <w:ilvl w:val="0"/>
          <w:numId w:val="10"/>
        </w:numPr>
        <w:spacing w:after="240"/>
        <w:rPr>
          <w:rFonts w:hint="default"/>
          <w:lang w:val="en-US"/>
        </w:rPr>
      </w:pPr>
      <w:r>
        <w:rPr>
          <w:rFonts w:hint="default"/>
          <w:lang w:val="en-US"/>
        </w:rPr>
        <w:t>Quantified uncertainty in interpretations: Bayesian inference and robust statistical methods will provide probabilistic estimates of whether anomalies are geogenic or anthropogenic.</w:t>
      </w:r>
    </w:p>
    <w:p w14:paraId="707D41CA">
      <w:pPr>
        <w:numPr>
          <w:ilvl w:val="0"/>
          <w:numId w:val="10"/>
        </w:numPr>
        <w:spacing w:after="240"/>
        <w:rPr>
          <w:rFonts w:hint="default"/>
          <w:lang w:val="en-US"/>
        </w:rPr>
      </w:pPr>
      <w:r>
        <w:rPr>
          <w:rFonts w:hint="default"/>
          <w:lang w:val="en-US"/>
        </w:rPr>
        <w:t>Spatially coherent anomaly mapping: Geostatistical modeling will visualize contamination patterns versus geological variability, enhancing environmental monitoring and decision-making.</w:t>
      </w:r>
    </w:p>
    <w:p w14:paraId="6775D66A">
      <w:pPr>
        <w:numPr>
          <w:ilvl w:val="0"/>
          <w:numId w:val="10"/>
        </w:numPr>
        <w:spacing w:after="240"/>
        <w:rPr>
          <w:rFonts w:hint="default"/>
          <w:lang w:val="en-US"/>
        </w:rPr>
      </w:pPr>
      <w:r>
        <w:rPr>
          <w:rFonts w:hint="default"/>
          <w:lang w:val="en-US"/>
        </w:rPr>
        <w:t>Identification of mineral prospectivity signals: Multivariate analysis may highlight areas with exploration potential, linking environmental assessment with resource evaluation.</w:t>
      </w:r>
    </w:p>
    <w:p w14:paraId="7FAFD3D0">
      <w:pPr>
        <w:numPr>
          <w:ilvl w:val="0"/>
          <w:numId w:val="10"/>
        </w:numPr>
        <w:spacing w:after="240"/>
        <w:rPr>
          <w:rFonts w:hint="default"/>
          <w:lang w:val="en-US"/>
        </w:rPr>
      </w:pPr>
      <w:r>
        <w:rPr>
          <w:rFonts w:hint="default"/>
          <w:lang w:val="en-US"/>
        </w:rPr>
        <w:t>A transferable framework for other mineralized regions: The integrated data science and exploration geology approach can be adapted for similar studies, promoting evidence-based environmental management and sustainable resource use.</w:t>
      </w:r>
    </w:p>
    <w:p w14:paraId="40267533">
      <w:pPr>
        <w:numPr>
          <w:ilvl w:val="0"/>
          <w:numId w:val="10"/>
        </w:numPr>
        <w:spacing w:after="240"/>
        <w:rPr>
          <w:rFonts w:hint="default"/>
          <w:lang w:val="en-US"/>
        </w:rPr>
      </w:pPr>
      <w:r>
        <w:rPr>
          <w:rFonts w:hint="default"/>
          <w:lang w:val="en-US"/>
        </w:rPr>
        <w:t>Support for environmental sustainability and social well-being: By reliably distinguishing natural enrichment from pollution, communities, regulators, and mining companies can make informed decisions protecting human health, ecosystems, and livelihoods.</w:t>
      </w:r>
    </w:p>
    <w:p w14:paraId="086E3A1B">
      <w:pPr>
        <w:spacing w:after="240"/>
        <w:rPr>
          <w:rFonts w:hint="default"/>
          <w:lang w:val="en-US"/>
        </w:rPr>
      </w:pPr>
    </w:p>
    <w:p w14:paraId="7482035F">
      <w:pPr>
        <w:spacing w:after="240"/>
        <w:rPr>
          <w:rFonts w:hint="default"/>
          <w:lang w:val="en-US"/>
        </w:rPr>
      </w:pPr>
      <w:r>
        <w:rPr>
          <w:rFonts w:hint="default"/>
          <w:lang w:val="en-US"/>
        </w:rPr>
        <w:t>11. Conclusion</w:t>
      </w:r>
    </w:p>
    <w:p w14:paraId="7D1D6FD4">
      <w:pPr>
        <w:spacing w:after="240"/>
        <w:rPr>
          <w:rFonts w:hint="default"/>
          <w:lang w:val="en-US"/>
        </w:rPr>
      </w:pPr>
      <w:r>
        <w:rPr>
          <w:rFonts w:hint="default"/>
          <w:lang w:val="en-US"/>
        </w:rPr>
        <w:t>This study presents a comprehensive, data-driven, and defensible approach to investigate soil pollution allegations in the Kalumbila mineralized zone. By making multivariate outlier detection the core method and integrating CoDA, PCA, spatial analysis, and Bayesian inference, the study:</w:t>
      </w:r>
    </w:p>
    <w:p w14:paraId="224D96A0">
      <w:pPr>
        <w:spacing w:after="240"/>
        <w:rPr>
          <w:rFonts w:hint="default"/>
          <w:lang w:val="en-US"/>
        </w:rPr>
      </w:pPr>
      <w:r>
        <w:rPr>
          <w:rFonts w:hint="default"/>
          <w:lang w:val="en-US"/>
        </w:rPr>
        <w:t>- Provides objective and reproducible results, avoiding false classification of natural geochemical anomalies</w:t>
      </w:r>
    </w:p>
    <w:p w14:paraId="22F84C7B">
      <w:pPr>
        <w:spacing w:after="240"/>
        <w:rPr>
          <w:rFonts w:hint="default"/>
          <w:lang w:val="en-US"/>
        </w:rPr>
      </w:pPr>
      <w:r>
        <w:rPr>
          <w:rFonts w:hint="default"/>
          <w:lang w:val="en-US"/>
        </w:rPr>
        <w:t>- Quantifies uncertainty in anomaly interpretation, enabling probabilistic statements about anomaly origins</w:t>
      </w:r>
    </w:p>
    <w:p w14:paraId="26129784">
      <w:pPr>
        <w:spacing w:after="240"/>
        <w:rPr>
          <w:rFonts w:hint="default"/>
          <w:lang w:val="en-US"/>
        </w:rPr>
      </w:pPr>
      <w:r>
        <w:rPr>
          <w:rFonts w:hint="default"/>
          <w:lang w:val="en-US"/>
        </w:rPr>
        <w:t>- Ensures detected anomalies are spatially and geologically meaningful, supporting environmentally and socially responsible conclusions</w:t>
      </w:r>
    </w:p>
    <w:p w14:paraId="38F1396E">
      <w:pPr>
        <w:spacing w:after="240"/>
        <w:rPr>
          <w:rFonts w:hint="default"/>
          <w:lang w:val="en-US"/>
        </w:rPr>
      </w:pPr>
      <w:r>
        <w:rPr>
          <w:rFonts w:hint="default"/>
          <w:lang w:val="en-US"/>
        </w:rPr>
        <w:t>- Bridges environmental assessment and exploration geology, highlighting both potential contamination and mineral prospectivity signals</w:t>
      </w:r>
    </w:p>
    <w:p w14:paraId="2293A774">
      <w:pPr>
        <w:spacing w:after="240"/>
        <w:rPr>
          <w:rFonts w:hint="default"/>
          <w:lang w:val="en-US"/>
        </w:rPr>
      </w:pPr>
      <w:r>
        <w:rPr>
          <w:rFonts w:hint="default"/>
          <w:lang w:val="en-US"/>
        </w:rPr>
        <w:t>Overall, this framework prioritizes environmental sustainability, social well-being, demonstrating the power and necessity of modern data science and machine learning methods over traditional threshold-based approaches in complex, mineralized zones.</w:t>
      </w:r>
    </w:p>
    <w:p w14:paraId="59570F52">
      <w:pPr>
        <w:spacing w:after="240"/>
        <w:rPr>
          <w:rFonts w:hint="default"/>
          <w:b/>
          <w:bCs/>
          <w:lang w:val="en-US"/>
        </w:rPr>
      </w:pPr>
      <w:r>
        <w:rPr>
          <w:rFonts w:hint="default"/>
          <w:b/>
          <w:bCs/>
          <w:lang w:val="en-US"/>
        </w:rPr>
        <w:t>References</w:t>
      </w:r>
    </w:p>
    <w:p w14:paraId="719C00B3">
      <w:pPr>
        <w:spacing w:after="240"/>
        <w:rPr>
          <w:rFonts w:hint="default"/>
          <w:lang w:val="en-US"/>
        </w:rPr>
      </w:pPr>
      <w:r>
        <w:rPr>
          <w:rFonts w:hint="default"/>
          <w:lang w:val="en-US"/>
        </w:rPr>
        <w:t>Aitchison, J. (1982). The statistical analysis of compositional data. Journal of the Royal Statistical Society: Series B (Methodological), 44(2), 139–160.</w:t>
      </w:r>
    </w:p>
    <w:p w14:paraId="3225C361">
      <w:pPr>
        <w:spacing w:after="240"/>
        <w:rPr>
          <w:rFonts w:hint="default"/>
          <w:lang w:val="en-US"/>
        </w:rPr>
      </w:pPr>
      <w:r>
        <w:rPr>
          <w:rFonts w:hint="default"/>
          <w:lang w:val="en-US"/>
        </w:rPr>
        <w:t>Carranza, E. J. M. (2009). Geochemical anomaly and mineral prospectivity mapping in GIS. Elsevier.</w:t>
      </w:r>
    </w:p>
    <w:p w14:paraId="24E00882">
      <w:pPr>
        <w:spacing w:after="240"/>
        <w:rPr>
          <w:rFonts w:hint="default"/>
          <w:lang w:val="en-US"/>
        </w:rPr>
      </w:pPr>
      <w:r>
        <w:rPr>
          <w:rFonts w:hint="default"/>
          <w:lang w:val="en-US"/>
        </w:rPr>
        <w:t>Wei, X., Yin, Z., Scheidt, C., Darnell, K., Wang, L., &amp; Caers, J. (2024). Constructing Priors for Geophysical Inversions Constrained by Surface and Borehole Geochemistry. Geophysical Research Letters.</w:t>
      </w:r>
    </w:p>
    <w:p w14:paraId="33752726">
      <w:pPr>
        <w:spacing w:after="240"/>
        <w:rPr>
          <w:rFonts w:hint="default"/>
          <w:lang w:val="en-US"/>
        </w:rPr>
      </w:pPr>
      <w:r>
        <w:rPr>
          <w:rFonts w:hint="default"/>
          <w:lang w:val="en-US"/>
        </w:rPr>
        <w:t>Zhang, C., Zuo, R., &amp; Xiong, Y. (2021). Detection of the multivariate geochemical anomalies associated with mineralization using a deep convolutional neural network and a pixel-pair feature method. Applied Geochemistry, 130, 104994.</w:t>
      </w:r>
    </w:p>
    <w:p w14:paraId="2968EE8C">
      <w:pPr>
        <w:spacing w:after="240"/>
        <w:rPr>
          <w:rFonts w:hint="default"/>
          <w:lang w:val="en-US"/>
        </w:rPr>
      </w:pPr>
      <w:r>
        <w:rPr>
          <w:rFonts w:hint="default"/>
          <w:lang w:val="en-US"/>
        </w:rPr>
        <w:t xml:space="preserve">Zhang, C., Zuo, R., Xiong, Y., Zhao, X., &amp; Zhao, K. (2022). A geologically-constrained deep learning algorithm for recognizing geochemical anomalies. Computers &amp; Geosciences, 162, </w:t>
      </w:r>
      <w:bookmarkStart w:id="0" w:name="_GoBack"/>
      <w:bookmarkEnd w:id="0"/>
      <w:r>
        <w:rPr>
          <w:rFonts w:hint="default"/>
          <w:lang w:val="en-US"/>
        </w:rPr>
        <w:t>105100.</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9635F8"/>
    <w:multiLevelType w:val="singleLevel"/>
    <w:tmpl w:val="ED9635F8"/>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1266EBF9"/>
    <w:multiLevelType w:val="singleLevel"/>
    <w:tmpl w:val="1266EBF9"/>
    <w:lvl w:ilvl="0" w:tentative="0">
      <w:start w:val="1"/>
      <w:numFmt w:val="decimal"/>
      <w:suff w:val="space"/>
      <w:lvlText w:val="%1."/>
      <w:lvlJc w:val="left"/>
    </w:lvl>
  </w:abstractNum>
  <w:abstractNum w:abstractNumId="8">
    <w:nsid w:val="22425170"/>
    <w:multiLevelType w:val="singleLevel"/>
    <w:tmpl w:val="22425170"/>
    <w:lvl w:ilvl="0" w:tentative="0">
      <w:start w:val="2"/>
      <w:numFmt w:val="decimal"/>
      <w:suff w:val="space"/>
      <w:lvlText w:val="%1."/>
      <w:lvlJc w:val="left"/>
    </w:lvl>
  </w:abstractNum>
  <w:abstractNum w:abstractNumId="9">
    <w:nsid w:val="240876BE"/>
    <w:multiLevelType w:val="singleLevel"/>
    <w:tmpl w:val="240876BE"/>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0"/>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059E2"/>
    <w:rsid w:val="0A547E6B"/>
    <w:rsid w:val="1D6A32C8"/>
    <w:rsid w:val="794B62BD"/>
    <w:rsid w:val="799024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Robert Sichomba</cp:lastModifiedBy>
  <dcterms:modified xsi:type="dcterms:W3CDTF">2026-01-19T08:11:56Z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5F959F36178541DD8E5DABC8FC906618_12</vt:lpwstr>
  </property>
</Properties>
</file>