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2"/>
          <w:szCs w:val="52"/>
        </w:rPr>
        <w:t xml:space="preserve">Product Requirements Document</w:t>
      </w:r>
    </w:p>
    <w:p>
      <w:pPr>
        <w:spacing w:after="600"/>
        <w:jc w:val="center"/>
      </w:pPr>
      <w:r>
        <w:rPr>
          <w:rFonts w:ascii="Arial" w:cs="Arial" w:eastAsia="Arial" w:hAnsi="Arial"/>
          <w:color w:val="555555"/>
          <w:sz w:val="36"/>
          <w:szCs w:val="36"/>
        </w:rPr>
        <w:t xml:space="preserve">FinMap — Cartographie Factorielle Financière</w:t>
      </w:r>
    </w:p>
    <w:p>
      <w:pPr>
        <w:spacing w:after="100"/>
        <w:jc w:val="center"/>
      </w:pPr>
      <w:r>
        <w:rPr>
          <w:rFonts w:ascii="Arial" w:cs="Arial" w:eastAsia="Arial" w:hAnsi="Arial"/>
          <w:color w:val="777777"/>
          <w:sz w:val="24"/>
          <w:szCs w:val="24"/>
        </w:rPr>
        <w:t xml:space="preserve">Application desktop d’analyse en composantes principales</w:t>
      </w:r>
    </w:p>
    <w:p>
      <w:pPr>
        <w:spacing w:after="100"/>
        <w:jc w:val="center"/>
      </w:pPr>
      <w:r>
        <w:rPr>
          <w:rFonts w:ascii="Arial" w:cs="Arial" w:eastAsia="Arial" w:hAnsi="Arial"/>
          <w:color w:val="777777"/>
          <w:sz w:val="24"/>
          <w:szCs w:val="24"/>
        </w:rPr>
        <w:t xml:space="preserve">appliquée aux états financiers multi-périodes</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555555"/>
                <w:sz w:val="22"/>
                <w:szCs w:val="22"/>
              </w:rPr>
              <w:t xml:space="preserve">Auteur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Robert — Logistikê sàrl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555555"/>
                <w:sz w:val="22"/>
                <w:szCs w:val="22"/>
              </w:rPr>
              <w:t xml:space="preserve">Version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2.0 — MVP + Phase 2</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555555"/>
                <w:sz w:val="22"/>
                <w:szCs w:val="22"/>
              </w:rPr>
              <w:t xml:space="preserve">Date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9 mars 2026</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555555"/>
                <w:sz w:val="22"/>
                <w:szCs w:val="22"/>
              </w:rPr>
              <w:t xml:space="preserve">Statut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Brouillon — En validation</w:t>
            </w:r>
          </w:p>
        </w:tc>
      </w:tr>
    </w:tbl>
    <w:p>
      <w:r>
        <w:br w:type="page"/>
      </w:r>
    </w:p>
    <w:p>
      <w:pPr>
        <w:pStyle w:val="Heading1"/>
      </w:pPr>
      <w:r>
        <w:t xml:space="preserve">1. Vision et objectifs</w:t>
      </w:r>
    </w:p>
    <w:p>
      <w:pPr>
        <w:spacing w:after="80"/>
      </w:pPr>
    </w:p>
    <w:p>
      <w:pPr>
        <w:pStyle w:val="Heading2"/>
      </w:pPr>
      <w:r>
        <w:t xml:space="preserve">1.1 Vision du produit</w:t>
      </w:r>
    </w:p>
    <w:p>
      <w:pPr>
        <w:spacing w:after="120"/>
      </w:pPr>
      <w:r>
        <w:rPr>
          <w:rFonts w:ascii="Arial" w:cs="Arial" w:eastAsia="Arial" w:hAnsi="Arial"/>
          <w:sz w:val="22"/>
          <w:szCs w:val="22"/>
        </w:rPr>
        <w:t xml:space="preserve">FinMap est une application desktop personnelle permettant de visualiser la cartographie factorielle d’un groupe d’entreprises à partir de leurs états financiers. En s’appuyant sur une analyse en composantes principales (ACP) appliquée aux données comptables transformées en valeurs relatives (pourcentage du total bilan), l’application produit un biplot 2D interactif révélant le positionnement financier relatif des entreprises et son évolution sur 5 exercices comptables.</w:t>
      </w:r>
    </w:p>
    <w:p>
      <w:pPr>
        <w:spacing w:after="120"/>
      </w:pPr>
      <w:r>
        <w:rPr>
          <w:rFonts w:ascii="Arial" w:cs="Arial" w:eastAsia="Arial" w:hAnsi="Arial"/>
          <w:sz w:val="22"/>
          <w:szCs w:val="22"/>
        </w:rPr>
        <w:t xml:space="preserve">L’ambition à terme est d’automatiser l’ensemble du pipeline analytique, depuis la collecte des états financiers sur la Centrale des Bilans du Luxembourg (data.public.lu) jusqu’à l’affichage de la carte factorielle, en éliminant les étapes manuelles.</w:t>
      </w:r>
    </w:p>
    <w:p>
      <w:pPr>
        <w:spacing w:after="80"/>
      </w:pPr>
    </w:p>
    <w:p>
      <w:pPr>
        <w:pStyle w:val="Heading2"/>
      </w:pPr>
      <w:r>
        <w:t xml:space="preserve">1.2 Objectifs stratégiques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26"/>
        <w:gridCol w:w="6000"/>
      </w:tblGrid>
      <w:tr>
        <w:tc>
          <w:tcPr>
            <w:tcW w:type="dxa" w:w="7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3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Objectif</w:t>
            </w:r>
          </w:p>
        </w:tc>
        <w:tc>
          <w:tcPr>
            <w:tcW w:type="dxa" w:w="60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O1</w:t>
            </w:r>
          </w:p>
        </w:tc>
        <w:tc>
          <w:tcPr>
            <w:tcW w:type="dxa" w:w="2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Automatisation</w:t>
            </w:r>
          </w:p>
        </w:tc>
        <w:tc>
          <w:tcPr>
            <w:tcW w:type="dxa" w:w="6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Réduire le temps de production d’une cartographie factorielle de plusieurs heures à quelques minutes après import des données.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O2</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Comparabilité temporelle</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Garantir la cohérence des axes factoriels entre périodes en réalisant l’ACP sur l’ensemble empilé (toutes années confondues), permettant un suivi dynamique des trajectoires.</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O3</w:t>
            </w:r>
          </w:p>
        </w:tc>
        <w:tc>
          <w:tcPr>
            <w:tcW w:type="dxa" w:w="2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Comparabilité structurelle</w:t>
            </w:r>
          </w:p>
        </w:tc>
        <w:tc>
          <w:tcPr>
            <w:tcW w:type="dxa" w:w="6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Imposer un contrôle d’homogénéité bilantaire : seules les entreprises relevant du même schéma comptable (abregé, complet, etc.) peuvent être analysées ensemble, garantissant un jeu de variables identique.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O4</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Lisibilité analytique</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Produire des visualisations interactives (zoom, tooltip, slider temporel) exploitables immédiatement pour l’analyse ou la présentation.</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O5</w:t>
            </w:r>
          </w:p>
        </w:tc>
        <w:tc>
          <w:tcPr>
            <w:tcW w:type="dxa" w:w="2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Exportabilité</w:t>
            </w:r>
          </w:p>
        </w:tc>
        <w:tc>
          <w:tcPr>
            <w:tcW w:type="dxa" w:w="6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Permettre l’export des résultats sous forme visuelle (image) et numérique (coordonnées factorielles, contributions, qualité de représentation).</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O6</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Collecte automatisée</w:t>
            </w:r>
          </w:p>
        </w:tc>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[Phase 2] Intégrer un module de collecte exploitant le serveur MCP de data.public.lu pour découvrir les fichiers de la Centrale des Bilans et les parser localement, éliminant la préparation manuelle des fichiers d’import.</w:t>
            </w:r>
          </w:p>
        </w:tc>
      </w:tr>
    </w:tbl>
    <w:p>
      <w:pPr>
        <w:spacing w:after="80"/>
      </w:pPr>
    </w:p>
    <w:p>
      <w:pPr>
        <w:pStyle w:val="Heading2"/>
      </w:pPr>
      <w:r>
        <w:t xml:space="preserve">1.3 Phasage</w:t>
      </w:r>
    </w:p>
    <w:p>
      <w:pPr>
        <w:spacing w:after="80"/>
      </w:pPr>
    </w:p>
    <w:p>
      <w:pPr>
        <w:pStyle w:val="Heading3"/>
      </w:pPr>
      <w:r>
        <w:t xml:space="preserve">MVP (Phase 1) — Pipeline ACP + Visualisation</w:t>
      </w:r>
    </w:p>
    <w:p>
      <w:pPr>
        <w:spacing w:after="120"/>
      </w:pPr>
      <w:r>
        <w:rPr>
          <w:rFonts w:ascii="Arial" w:cs="Arial" w:eastAsia="Arial" w:hAnsi="Arial"/>
          <w:b/>
          <w:bCs/>
          <w:sz w:val="22"/>
          <w:szCs w:val="22"/>
        </w:rPr>
        <w:t xml:space="preserve">Inclus : </w:t>
      </w:r>
      <w:r>
        <w:rPr>
          <w:rFonts w:ascii="Arial" w:cs="Arial" w:eastAsia="Arial" w:hAnsi="Arial"/>
          <w:sz w:val="22"/>
          <w:szCs w:val="22"/>
        </w:rPr>
        <w:t xml:space="preserve">Import de fichiers structurés (CSV/Excel), contrôle d’homogénéité bilantaire, transformation en valeurs relatives, calcul ACP sur données empilées, biplot 2D interactif avec slider temporel, export image et données numériques.</w:t>
      </w:r>
    </w:p>
    <w:p>
      <w:pPr>
        <w:spacing w:after="120"/>
      </w:pPr>
      <w:r>
        <w:rPr>
          <w:rFonts w:ascii="Arial" w:cs="Arial" w:eastAsia="Arial" w:hAnsi="Arial"/>
          <w:b/>
          <w:bCs/>
          <w:sz w:val="22"/>
          <w:szCs w:val="22"/>
        </w:rPr>
        <w:t xml:space="preserve">Exclu : </w:t>
      </w:r>
      <w:r>
        <w:rPr>
          <w:rFonts w:ascii="Arial" w:cs="Arial" w:eastAsia="Arial" w:hAnsi="Arial"/>
          <w:sz w:val="22"/>
          <w:szCs w:val="22"/>
        </w:rPr>
        <w:t xml:space="preserve">Collecte automatisée depuis data.public.lu, ACP 3D, analyses complémentaires (classification, clustering).</w:t>
      </w:r>
    </w:p>
    <w:p>
      <w:pPr>
        <w:spacing w:after="80"/>
      </w:pPr>
    </w:p>
    <w:p>
      <w:pPr>
        <w:pStyle w:val="Heading3"/>
      </w:pPr>
      <w:r>
        <w:t xml:space="preserve">Phase 2 — Collecte automatisée (Centrale des Bilans)</w:t>
      </w:r>
    </w:p>
    <w:p>
      <w:pPr>
        <w:spacing w:after="120"/>
      </w:pPr>
      <w:r>
        <w:rPr>
          <w:rFonts w:ascii="Arial" w:cs="Arial" w:eastAsia="Arial" w:hAnsi="Arial"/>
          <w:sz w:val="22"/>
          <w:szCs w:val="22"/>
        </w:rPr>
        <w:t xml:space="preserve">Un prototype exploratoire sera réalisé en amont pour valider la faisabilité technique (parsing XML, performance sur fichiers volumineux, couverture des schémas bilantaires). Le passage en production sera décidé sur cette base.</w:t>
      </w:r>
    </w:p>
    <w:p>
      <w:pPr>
        <w:spacing w:after="120"/>
      </w:pPr>
      <w:r>
        <w:rPr>
          <w:rFonts w:ascii="Arial" w:cs="Arial" w:eastAsia="Arial" w:hAnsi="Arial"/>
          <w:b/>
          <w:bCs/>
          <w:sz w:val="22"/>
          <w:szCs w:val="22"/>
        </w:rPr>
        <w:t xml:space="preserve">Inclus : </w:t>
      </w:r>
      <w:r>
        <w:rPr>
          <w:rFonts w:ascii="Arial" w:cs="Arial" w:eastAsia="Arial" w:hAnsi="Arial"/>
          <w:sz w:val="22"/>
          <w:szCs w:val="22"/>
        </w:rPr>
        <w:t xml:space="preserve">Découverte des fichiers via le serveur MCP (mcp.data.public.lu), téléchargement des XML trimestriels, cache local des fichiers, parsing XML hiérarchique, gestion des dépôts annulés, identification des entreprises par numéro RCS / nom / liste CSV, filtrage par catégorie bilantaire, extraction et structuration des postes comptables via le dictionnaire eCDF.</w:t>
      </w:r>
    </w:p>
    <w:p>
      <w:r>
        <w:br w:type="page"/>
      </w:r>
    </w:p>
    <w:p>
      <w:pPr>
        <w:pStyle w:val="Heading1"/>
      </w:pPr>
      <w:r>
        <w:t xml:space="preserve">2. Histoires d’utilisateur</w:t>
      </w:r>
    </w:p>
    <w:p>
      <w:pPr>
        <w:spacing w:after="80"/>
      </w:pPr>
    </w:p>
    <w:p>
      <w:pPr>
        <w:spacing w:after="120"/>
      </w:pPr>
      <w:r>
        <w:rPr>
          <w:rFonts w:ascii="Arial" w:cs="Arial" w:eastAsia="Arial" w:hAnsi="Arial"/>
          <w:sz w:val="22"/>
          <w:szCs w:val="22"/>
        </w:rPr>
        <w:t xml:space="preserve">L’utilisateur unique est l’analyste-propriétaire de l’application. Les histoires marquées « Phase 2 » correspondent au module de collecte automatisée.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26"/>
        <w:gridCol w:w="1400"/>
        <w:gridCol w:w="1200"/>
      </w:tblGrid>
      <w:tr>
        <w:tc>
          <w:tcPr>
            <w:tcW w:type="dxa" w:w="9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5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Histoire</w:t>
            </w:r>
          </w:p>
        </w:tc>
        <w:tc>
          <w:tcPr>
            <w:tcW w:type="dxa" w:w="14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Priorité</w:t>
            </w:r>
          </w:p>
        </w:tc>
        <w:tc>
          <w:tcPr>
            <w:tcW w:type="dxa" w:w="12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Phase</w:t>
            </w:r>
          </w:p>
        </w:tc>
      </w:tr>
      <w:tr>
        <w:tc>
          <w:tcPr>
            <w:tcW w:type="dxa" w:w="9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US-01</w:t>
            </w:r>
          </w:p>
        </w:tc>
        <w:tc>
          <w:tcPr>
            <w:tcW w:type="dxa" w:w="5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En tant qu’analyste, je veux importer un fichier CSV ou Excel contenant les états financiers de plusieurs entreprises sur plusieurs années, afin d’alimenter l’analyse sans ressaisie manuelle.</w:t>
            </w:r>
          </w:p>
        </w:tc>
        <w:tc>
          <w:tcPr>
            <w:tcW w:type="dxa" w:w="14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US-02</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que l’application vérifie que toutes les entreprises importées relèvent du même schéma bilantaire (abregé, complet, etc.), afin de garantir la comparabilité des postes comptables.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US-03</w:t>
            </w:r>
          </w:p>
        </w:tc>
        <w:tc>
          <w:tcPr>
            <w:tcW w:type="dxa" w:w="5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En tant qu’analyste, je veux que l’application transforme automatiquement les postes comptables en pourcentage du total bilan, afin de rendre les entreprises comparables indépendamment de leur taille.</w:t>
            </w:r>
          </w:p>
        </w:tc>
        <w:tc>
          <w:tcPr>
            <w:tcW w:type="dxa" w:w="14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US-04</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que l’ACP soit calculée sur l’ensemble des observations empilées (toutes entreprises × toutes années), afin de disposer d’axes factoriels communs et stables.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US-05</w:t>
            </w:r>
          </w:p>
        </w:tc>
        <w:tc>
          <w:tcPr>
            <w:tcW w:type="dxa" w:w="5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En tant qu’analyste, je veux visualiser un biplot 2D interactif avec les individus et les vecteurs de variables, avec zoom et tooltips détaillés.</w:t>
            </w:r>
          </w:p>
        </w:tc>
        <w:tc>
          <w:tcPr>
            <w:tcW w:type="dxa" w:w="14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US-06</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utiliser un slider temporel pour animer l’évolution des positions d’une année à l’autre.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US-07</w:t>
            </w:r>
          </w:p>
        </w:tc>
        <w:tc>
          <w:tcPr>
            <w:tcW w:type="dxa" w:w="5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En tant qu’analyste, je veux paramétrer le nombre et la sélection des entreprises à inclure.</w:t>
            </w:r>
          </w:p>
        </w:tc>
        <w:tc>
          <w:tcPr>
            <w:tcW w:type="dxa" w:w="14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US-08</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voir le pourcentage de variance expliquée par chaque axe et choisir les axes affichés.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US-09</w:t>
            </w:r>
          </w:p>
        </w:tc>
        <w:tc>
          <w:tcPr>
            <w:tcW w:type="dxa" w:w="5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En tant qu’analyste, je veux exporter la visualisation en image (PNG/SVG/PDF).</w:t>
            </w:r>
          </w:p>
        </w:tc>
        <w:tc>
          <w:tcPr>
            <w:tcW w:type="dxa" w:w="14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Should have</w:t>
            </w:r>
          </w:p>
        </w:tc>
        <w:tc>
          <w:tcPr>
            <w:tcW w:type="dxa" w:w="12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US-10</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exporter les résultats numériques (coordonnées, contributions, cos²) dans un fichier.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Should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US-11</w:t>
            </w:r>
          </w:p>
        </w:tc>
        <w:tc>
          <w:tcPr>
            <w:tcW w:type="dxa" w:w="5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En tant qu’analyste, je veux rechercher des entreprises luxembourgeoises par numéro RCS, par nom ou en fournissant une liste CSV, afin de constituer mon périmètre d’analyse.</w:t>
            </w:r>
          </w:p>
        </w:tc>
        <w:tc>
          <w:tcPr>
            <w:tcW w:type="dxa" w:w="14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US-12</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que l’application interroge le serveur MCP de data.public.lu pour identifier et télécharger les fichiers XML de la Centrale des Bilans couvrant mes périodes cibles.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US-13</w:t>
            </w:r>
          </w:p>
        </w:tc>
        <w:tc>
          <w:tcPr>
            <w:tcW w:type="dxa" w:w="5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En tant qu’analyste, je veux que les fichiers XML déjà téléchargés soient conservés dans un cache local, afin d’éviter les re-téléchargements inutiles.</w:t>
            </w:r>
          </w:p>
        </w:tc>
        <w:tc>
          <w:tcPr>
            <w:tcW w:type="dxa" w:w="14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US-14</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que l’application détecte automatiquement la catégorie bilantaire de chaque entreprise et m’alerte si la sélection mélange des schémas incompatibles.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US-15</w:t>
            </w:r>
          </w:p>
        </w:tc>
        <w:tc>
          <w:tcPr>
            <w:tcW w:type="dxa" w:w="5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En tant qu’analyste, je veux que l’application gère les dépôts annulés (rectificatifs) en téléchargeant le fichier d’annulations et en excluant les dépôts obsolètes.</w:t>
            </w:r>
          </w:p>
        </w:tc>
        <w:tc>
          <w:tcPr>
            <w:tcW w:type="dxa" w:w="14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Phase 2</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US-16</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En tant qu’analyste, je veux que les données extraites des XML soient automatiquement structurées selon le dictionnaire eCDF et alimentées dans le pipeline ACP sans étape manuelle.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Must have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Phase 2</w:t>
            </w:r>
          </w:p>
        </w:tc>
      </w:tr>
    </w:tbl>
    <w:p>
      <w:r>
        <w:br w:type="page"/>
      </w:r>
    </w:p>
    <w:p>
      <w:pPr>
        <w:pStyle w:val="Heading1"/>
      </w:pPr>
      <w:r>
        <w:t xml:space="preserve">3. Critères d’acceptation</w:t>
      </w:r>
    </w:p>
    <w:p>
      <w:pPr>
        <w:spacing w:after="80"/>
      </w:pPr>
    </w:p>
    <w:p>
      <w:pPr>
        <w:pStyle w:val="Heading2"/>
      </w:pPr>
      <w:r>
        <w:t xml:space="preserve">3.1 MVP (Phase 1)</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c>
          <w:tcPr>
            <w:tcW w:type="dxa" w:w="7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Réf.</w:t>
            </w:r>
          </w:p>
        </w:tc>
        <w:tc>
          <w:tcPr>
            <w:tcW w:type="dxa" w:w="53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30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AC-01</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L’application accepte les fichiers CSV (séparateur ; et ,) et Excel (.xlsx). Un message d’erreur clair est affiché si le format est invalide ou si des colonnes obligatoires manquent.</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Import conforme et fichier mal formé.</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AC-02</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Le fichier importé doit contenir : identifiant entreprise, année, catégorie bilantaire, et postes comptables. Un template est fourni.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Vérification du template.</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AC-03</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Lors de l’import, l’application vérifie que toutes les entreprises-années relèvent du même schéma bilantaire. Si des catégories différentes sont détectées, un message d’erreur explicite est affiché et l’analyse est bloquée tant que l’utilisateur n’a pas homogénéisé sa sélection.</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Import avec catégories mixtes.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AC-04</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Chaque poste comptable est divisé par le total bilan de l’entreprise-année correspondante. Les valeurs résultantes sont en pourcentage.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Contrôle numérique sur jeu de test.</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AC-05</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L’ACP est réalisée sur la matrice empilée. Les résultats numériques sont cohérents avec un calcul de référence sous R (FactoMineR::PCA).</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Comparaison numérique avec R.</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AC-06</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Le biplot affiche individus (points colorés par entreprise) et variables (vecteurs). Le pourcentage de variance expliquée est visible sur chaque axe.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Inspection visuelle + vérification inertie.</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AC-07</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Zoom, pan et tooltips (nom, année, coordonnées) fonctionnent sans latence perceptible.</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Test interactif avec 50+ individus.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AC-08</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Le slider temporel filtre par année avec animation fluide. Les vecteurs de variables restent visibles en permanence.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Animation sur 5 années.</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AC-09</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Sélection/désélection d’entreprises avec recalcul ACP.</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Modification du périmètre.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AC-10</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Export image (PNG/SVG/PDF) fidèle à l’écran. Export numérique (CSV/Excel) avec coordonnées, contributions, cos².</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Vérification des fichiers exportés.</w:t>
            </w:r>
          </w:p>
        </w:tc>
      </w:tr>
      <w:tr>
        <w:tc>
          <w:tcPr>
            <w:tcW w:type="dxa" w:w="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AC-11</w:t>
            </w:r>
          </w:p>
        </w:tc>
        <w:tc>
          <w:tcPr>
            <w:tcW w:type="dxa" w:w="53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Démarrage en moins de 5 secondes. ACP sur 100 entreprises × 5 années en moins de 2 secondes.</w:t>
            </w:r>
          </w:p>
        </w:tc>
        <w:tc>
          <w:tcPr>
            <w:tcW w:type="dxa" w:w="30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Chronométrage.</w:t>
            </w:r>
          </w:p>
        </w:tc>
      </w:tr>
    </w:tbl>
    <w:p>
      <w:pPr>
        <w:spacing w:after="80"/>
      </w:pPr>
    </w:p>
    <w:p>
      <w:pPr>
        <w:pStyle w:val="Heading2"/>
      </w:pPr>
      <w:r>
        <w:t xml:space="preserve">3.2 Phase 2 — Collecte automatisée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c>
          <w:tcPr>
            <w:tcW w:type="dxa" w:w="7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Réf.</w:t>
            </w:r>
          </w:p>
        </w:tc>
        <w:tc>
          <w:tcPr>
            <w:tcW w:type="dxa" w:w="53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W w:type="dxa" w:w="30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r>
      <w:tr>
        <w:tc>
          <w:tcPr>
            <w:tcW w:type="dxa" w:w="7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AC-20</w:t>
            </w:r>
          </w:p>
        </w:tc>
        <w:tc>
          <w:tcPr>
            <w:tcW w:type="dxa" w:w="53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La recherche d’entreprises fonctionne par numéro RCS, par nom (recherche partielle) et par import d’une liste CSV contenant des numéros RCS.</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Test des 3 modes de recherche.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AC-21</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L’application interroge le serveur MCP (mcp.data.public.lu/mcp) pour lister les fichiers XML trimestriels de la Centrale des Bilans. Les URLs de téléchargement sont correctement récupérées.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Vérification des URLs retournées.</w:t>
            </w:r>
          </w:p>
        </w:tc>
      </w:tr>
      <w:tr>
        <w:tc>
          <w:tcPr>
            <w:tcW w:type="dxa" w:w="7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AC-22</w:t>
            </w:r>
          </w:p>
        </w:tc>
        <w:tc>
          <w:tcPr>
            <w:tcW w:type="dxa" w:w="53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Les fichiers XML téléchargés sont stockés dans un répertoire cache local. Un fichier déjà présent en cache n’est pas re-téléchargé sauf demande explicite de rafraîchissement.</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Test cache hit/miss.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AC-23</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Le parsing XML hiérarchique extrait correctement les déclarations comptables d’une entreprise donnée (identifiée par RCS) à travers les fichiers trimestriels couvrant la période ciblée.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Extraction ciblée et comparaison avec le portail.</w:t>
            </w:r>
          </w:p>
        </w:tc>
      </w:tr>
      <w:tr>
        <w:tc>
          <w:tcPr>
            <w:tcW w:type="dxa" w:w="7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AC-24</w:t>
            </w:r>
          </w:p>
        </w:tc>
        <w:tc>
          <w:tcPr>
            <w:tcW w:type="dxa" w:w="53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Le fichier d’annulations (cancellation-2012-202YqX.xml) est téléchargé et traité. Les dépôts annulés sont exclus des données extraites (via le champ ID_Doc).</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Dépôt annulé correctement exclu.</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AC-25</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La catégorie bilantaire (schéma abregé/complet/holdings, etc.) est détectée automatiquement pour chaque entreprise. Si la sélection contient des schémas hétérogènes, l’application affiche un avertissement bloquant avec le détail des incompatibilités.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Sélection de 5 entreprises de catégories mixtes.</w:t>
            </w:r>
          </w:p>
        </w:tc>
      </w:tr>
      <w:tr>
        <w:tc>
          <w:tcPr>
            <w:tcW w:type="dxa" w:w="7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AC-26</w:t>
            </w:r>
          </w:p>
        </w:tc>
        <w:tc>
          <w:tcPr>
            <w:tcW w:type="dxa" w:w="53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Le mapping des champs eCDF vers les postes comptables utilise le dictionnaire officiel de la CdB. Les variables actives proposées pour l’ACP sont cohérentes avec le schéma bilantaire sélectionné.</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sz w:val="22"/>
                <w:szCs w:val="22"/>
              </w:rPr>
              <w:t xml:space="preserve">Vérification du mapping sur 3 schémas.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AC-27</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Le parsing d’un fichier XML de 500 Mo s’exécute en moins de 60 secondes (streaming XML, sans charger le fichier entier en mémoire).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Chronométrage sur fichier réel.</w:t>
            </w:r>
          </w:p>
        </w:tc>
      </w:tr>
    </w:tbl>
    <w:p>
      <w:r>
        <w:br w:type="page"/>
      </w:r>
    </w:p>
    <w:p>
      <w:pPr>
        <w:pStyle w:val="Heading1"/>
      </w:pPr>
      <w:r>
        <w:t xml:space="preserve">4. Écrans de l’application</w:t>
      </w:r>
    </w:p>
    <w:p>
      <w:pPr>
        <w:spacing w:after="80"/>
      </w:pPr>
    </w:p>
    <w:p>
      <w:pPr>
        <w:spacing w:after="120"/>
      </w:pPr>
      <w:r>
        <w:rPr>
          <w:rFonts w:ascii="Arial" w:cs="Arial" w:eastAsia="Arial" w:hAnsi="Arial"/>
          <w:sz w:val="22"/>
          <w:szCs w:val="22"/>
        </w:rPr>
        <w:t xml:space="preserve">L’application se compose d’écrans organisés en flux. Le MVP comprend les écrans 1 à 4. La Phase 2 ajoute l’écran 0 (collecte CdB) en amont du pipeline.</w:t>
      </w:r>
    </w:p>
    <w:p>
      <w:pPr>
        <w:spacing w:after="80"/>
      </w:pPr>
    </w:p>
    <w:p>
      <w:pPr>
        <w:pStyle w:val="Heading2"/>
      </w:pPr>
      <w:r>
        <w:t xml:space="preserve">4.0 Écran 0 — Collecte Centrale des Bilans [Phase 2]</w:t>
      </w:r>
    </w:p>
    <w:p>
      <w:pPr>
        <w:spacing w:after="120"/>
      </w:pPr>
      <w:r>
        <w:rPr>
          <w:rFonts w:ascii="Arial" w:cs="Arial" w:eastAsia="Arial" w:hAnsi="Arial"/>
          <w:b/>
          <w:bCs/>
          <w:color w:val="E65100"/>
          <w:sz w:val="20"/>
          <w:szCs w:val="20"/>
        </w:rPr>
        <w:t xml:space="preserve">[ PHASE 2 — Prototype exploratoire ]</w:t>
      </w:r>
    </w:p>
    <w:p>
      <w:pPr>
        <w:spacing w:after="120"/>
      </w:pPr>
      <w:r>
        <w:rPr>
          <w:rFonts w:ascii="Arial" w:cs="Arial" w:eastAsia="Arial" w:hAnsi="Arial"/>
          <w:b/>
          <w:bCs/>
          <w:sz w:val="22"/>
          <w:szCs w:val="22"/>
        </w:rPr>
        <w:t xml:space="preserve">Objectif : </w:t>
      </w:r>
      <w:r>
        <w:rPr>
          <w:rFonts w:ascii="Arial" w:cs="Arial" w:eastAsia="Arial" w:hAnsi="Arial"/>
          <w:sz w:val="22"/>
          <w:szCs w:val="22"/>
        </w:rPr>
        <w:t xml:space="preserve">Identifier et récupérer les états financiers depuis la CdB.</w:t>
      </w:r>
    </w:p>
    <w:p>
      <w:pPr>
        <w:spacing w:after="80"/>
      </w:pPr>
    </w:p>
    <w:p>
      <w:pPr>
        <w:pStyle w:val="Heading3"/>
      </w:pPr>
      <w:r>
        <w:t xml:space="preserve">Composants</w:t>
      </w:r>
    </w:p>
    <w:p>
      <w:pPr>
        <w:pStyle w:val="ListParagraph"/>
        <w:numPr>
          <w:ilvl w:val="0"/>
          <w:numId w:val="2"/>
        </w:numPr>
        <w:spacing w:after="60"/>
      </w:pPr>
      <w:r>
        <w:rPr>
          <w:rFonts w:ascii="Arial" w:cs="Arial" w:eastAsia="Arial" w:hAnsi="Arial"/>
          <w:sz w:val="22"/>
          <w:szCs w:val="22"/>
        </w:rPr>
        <w:t xml:space="preserve">Zone de recherche d’entreprises : champ de saisie avec bascule RCS / Nom / Import liste CSV.</w:t>
      </w:r>
    </w:p>
    <w:p>
      <w:pPr>
        <w:pStyle w:val="ListParagraph"/>
        <w:numPr>
          <w:ilvl w:val="0"/>
          <w:numId w:val="2"/>
        </w:numPr>
        <w:spacing w:after="60"/>
      </w:pPr>
      <w:r>
        <w:rPr>
          <w:rFonts w:ascii="Arial" w:cs="Arial" w:eastAsia="Arial" w:hAnsi="Arial"/>
          <w:sz w:val="22"/>
          <w:szCs w:val="22"/>
        </w:rPr>
        <w:t xml:space="preserve">Liste des entreprises trouvées avec indication de la catégorie bilantaire détectée (abregé, complet, holdings/SPF...) et cases à cocher pour sélection.</w:t>
      </w:r>
    </w:p>
    <w:p>
      <w:pPr>
        <w:pStyle w:val="ListParagraph"/>
        <w:numPr>
          <w:ilvl w:val="0"/>
          <w:numId w:val="2"/>
        </w:numPr>
        <w:spacing w:after="60"/>
      </w:pPr>
      <w:r>
        <w:rPr>
          <w:rFonts w:ascii="Arial" w:cs="Arial" w:eastAsia="Arial" w:hAnsi="Arial"/>
          <w:sz w:val="22"/>
          <w:szCs w:val="22"/>
        </w:rPr>
        <w:t xml:space="preserve">Bandeau d’alerte (bloquant) si la sélection mélange des catégories bilantaires incompatibles, avec détail des entreprises concernées.</w:t>
      </w:r>
    </w:p>
    <w:p>
      <w:pPr>
        <w:pStyle w:val="ListParagraph"/>
        <w:numPr>
          <w:ilvl w:val="0"/>
          <w:numId w:val="2"/>
        </w:numPr>
        <w:spacing w:after="60"/>
      </w:pPr>
      <w:r>
        <w:rPr>
          <w:rFonts w:ascii="Arial" w:cs="Arial" w:eastAsia="Arial" w:hAnsi="Arial"/>
          <w:sz w:val="22"/>
          <w:szCs w:val="22"/>
        </w:rPr>
        <w:t xml:space="preserve">Sélecteur de période : année début / année fin (5 ans par défaut).</w:t>
      </w:r>
    </w:p>
    <w:p>
      <w:pPr>
        <w:pStyle w:val="ListParagraph"/>
        <w:numPr>
          <w:ilvl w:val="0"/>
          <w:numId w:val="2"/>
        </w:numPr>
        <w:spacing w:after="60"/>
      </w:pPr>
      <w:r>
        <w:rPr>
          <w:rFonts w:ascii="Arial" w:cs="Arial" w:eastAsia="Arial" w:hAnsi="Arial"/>
          <w:sz w:val="22"/>
          <w:szCs w:val="22"/>
        </w:rPr>
        <w:t xml:space="preserve">Indicateur d’état du cache local : nombre de fichiers trimestriels en cache, espace disque utilisé, bouton de rafraîchissement.</w:t>
      </w:r>
    </w:p>
    <w:p>
      <w:pPr>
        <w:pStyle w:val="ListParagraph"/>
        <w:numPr>
          <w:ilvl w:val="0"/>
          <w:numId w:val="2"/>
        </w:numPr>
        <w:spacing w:after="60"/>
      </w:pPr>
      <w:r>
        <w:rPr>
          <w:rFonts w:ascii="Arial" w:cs="Arial" w:eastAsia="Arial" w:hAnsi="Arial"/>
          <w:sz w:val="22"/>
          <w:szCs w:val="22"/>
        </w:rPr>
        <w:t xml:space="preserve">Barre de progression du téléchargement et du parsing XML.</w:t>
      </w:r>
    </w:p>
    <w:p>
      <w:pPr>
        <w:pStyle w:val="ListParagraph"/>
        <w:numPr>
          <w:ilvl w:val="0"/>
          <w:numId w:val="2"/>
        </w:numPr>
        <w:spacing w:after="60"/>
      </w:pPr>
      <w:r>
        <w:rPr>
          <w:rFonts w:ascii="Arial" w:cs="Arial" w:eastAsia="Arial" w:hAnsi="Arial"/>
          <w:sz w:val="22"/>
          <w:szCs w:val="22"/>
        </w:rPr>
        <w:t xml:space="preserve">Tableau de prévisualisation des données extraites avant passage au pipeline ACP.</w:t>
      </w:r>
    </w:p>
    <w:p>
      <w:pPr>
        <w:pStyle w:val="ListParagraph"/>
        <w:numPr>
          <w:ilvl w:val="0"/>
          <w:numId w:val="2"/>
        </w:numPr>
        <w:spacing w:after="60"/>
      </w:pPr>
      <w:r>
        <w:rPr>
          <w:rFonts w:ascii="Arial" w:cs="Arial" w:eastAsia="Arial" w:hAnsi="Arial"/>
          <w:sz w:val="22"/>
          <w:szCs w:val="22"/>
        </w:rPr>
        <w:t xml:space="preserve">Bouton « Extraire et continuer » → alimente directement l’écran 2 (Configuration).</w:t>
      </w:r>
    </w:p>
    <w:p>
      <w:pPr>
        <w:spacing w:after="80"/>
      </w:pPr>
    </w:p>
    <w:p>
      <w:pPr>
        <w:pStyle w:val="Heading2"/>
      </w:pPr>
      <w:r>
        <w:t xml:space="preserve">4.1 Écran 1 — Import des données [MVP]</w:t>
      </w:r>
    </w:p>
    <w:p>
      <w:pPr>
        <w:spacing w:after="120"/>
      </w:pPr>
      <w:r>
        <w:rPr>
          <w:rFonts w:ascii="Arial" w:cs="Arial" w:eastAsia="Arial" w:hAnsi="Arial"/>
          <w:b/>
          <w:bCs/>
          <w:sz w:val="22"/>
          <w:szCs w:val="22"/>
        </w:rPr>
        <w:t xml:space="preserve">Objectif : </w:t>
      </w:r>
      <w:r>
        <w:rPr>
          <w:rFonts w:ascii="Arial" w:cs="Arial" w:eastAsia="Arial" w:hAnsi="Arial"/>
          <w:sz w:val="22"/>
          <w:szCs w:val="22"/>
        </w:rPr>
        <w:t xml:space="preserve">Charger et valider un fichier source structuré.</w:t>
      </w:r>
    </w:p>
    <w:p>
      <w:pPr>
        <w:spacing w:after="80"/>
      </w:pPr>
    </w:p>
    <w:p>
      <w:pPr>
        <w:pStyle w:val="Heading3"/>
      </w:pPr>
      <w:r>
        <w:t xml:space="preserve">Composants</w:t>
      </w:r>
    </w:p>
    <w:p>
      <w:pPr>
        <w:pStyle w:val="ListParagraph"/>
        <w:numPr>
          <w:ilvl w:val="0"/>
          <w:numId w:val="2"/>
        </w:numPr>
        <w:spacing w:after="60"/>
      </w:pPr>
      <w:r>
        <w:rPr>
          <w:rFonts w:ascii="Arial" w:cs="Arial" w:eastAsia="Arial" w:hAnsi="Arial"/>
          <w:sz w:val="22"/>
          <w:szCs w:val="22"/>
        </w:rPr>
        <w:t xml:space="preserve">Zone de glisser-déposer (drag &amp; drop) ou bouton de sélection de fichier (CSV / XLSX).</w:t>
      </w:r>
    </w:p>
    <w:p>
      <w:pPr>
        <w:pStyle w:val="ListParagraph"/>
        <w:numPr>
          <w:ilvl w:val="0"/>
          <w:numId w:val="2"/>
        </w:numPr>
        <w:spacing w:after="60"/>
      </w:pPr>
      <w:r>
        <w:rPr>
          <w:rFonts w:ascii="Arial" w:cs="Arial" w:eastAsia="Arial" w:hAnsi="Arial"/>
          <w:sz w:val="22"/>
          <w:szCs w:val="22"/>
        </w:rPr>
        <w:t xml:space="preserve">Tableau de prévisualisation affichant les 10 premières lignes du fichier importé.</w:t>
      </w:r>
    </w:p>
    <w:p>
      <w:pPr>
        <w:pStyle w:val="ListParagraph"/>
        <w:numPr>
          <w:ilvl w:val="0"/>
          <w:numId w:val="2"/>
        </w:numPr>
        <w:spacing w:after="60"/>
      </w:pPr>
      <w:r>
        <w:rPr>
          <w:rFonts w:ascii="Arial" w:cs="Arial" w:eastAsia="Arial" w:hAnsi="Arial"/>
          <w:sz w:val="22"/>
          <w:szCs w:val="22"/>
        </w:rPr>
        <w:t xml:space="preserve">Panneau de validation : colonnes détectées, alertes données manquantes ou format inattendu.</w:t>
      </w:r>
    </w:p>
    <w:p>
      <w:pPr>
        <w:pStyle w:val="ListParagraph"/>
        <w:numPr>
          <w:ilvl w:val="0"/>
          <w:numId w:val="2"/>
        </w:numPr>
        <w:spacing w:after="60"/>
      </w:pPr>
      <w:r>
        <w:rPr>
          <w:rFonts w:ascii="Arial" w:cs="Arial" w:eastAsia="Arial" w:hAnsi="Arial"/>
          <w:sz w:val="22"/>
          <w:szCs w:val="22"/>
        </w:rPr>
        <w:t xml:space="preserve">Détection et affichage de la catégorie bilantaire par entreprise. Blocage si catégories hétérogènes.</w:t>
      </w:r>
    </w:p>
    <w:p>
      <w:pPr>
        <w:pStyle w:val="ListParagraph"/>
        <w:numPr>
          <w:ilvl w:val="0"/>
          <w:numId w:val="2"/>
        </w:numPr>
        <w:spacing w:after="60"/>
      </w:pPr>
      <w:r>
        <w:rPr>
          <w:rFonts w:ascii="Arial" w:cs="Arial" w:eastAsia="Arial" w:hAnsi="Arial"/>
          <w:sz w:val="22"/>
          <w:szCs w:val="22"/>
        </w:rPr>
        <w:t xml:space="preserve">Sélecteur de mapping : association des colonnes du fichier aux champs attendus si le nommage diffère du template.</w:t>
      </w:r>
    </w:p>
    <w:p>
      <w:pPr>
        <w:pStyle w:val="ListParagraph"/>
        <w:numPr>
          <w:ilvl w:val="0"/>
          <w:numId w:val="2"/>
        </w:numPr>
        <w:spacing w:after="60"/>
      </w:pPr>
      <w:r>
        <w:rPr>
          <w:rFonts w:ascii="Arial" w:cs="Arial" w:eastAsia="Arial" w:hAnsi="Arial"/>
          <w:sz w:val="22"/>
          <w:szCs w:val="22"/>
        </w:rPr>
        <w:t xml:space="preserve">Bouton « Valider et continuer » (actif uniquement si la validation passe).</w:t>
      </w:r>
    </w:p>
    <w:p>
      <w:pPr>
        <w:spacing w:after="80"/>
      </w:pPr>
    </w:p>
    <w:p>
      <w:pPr>
        <w:pStyle w:val="Heading2"/>
      </w:pPr>
      <w:r>
        <w:t xml:space="preserve">4.2 Écran 2 — Configuration de l’analyse</w:t>
      </w:r>
    </w:p>
    <w:p>
      <w:pPr>
        <w:spacing w:after="120"/>
      </w:pPr>
      <w:r>
        <w:rPr>
          <w:rFonts w:ascii="Arial" w:cs="Arial" w:eastAsia="Arial" w:hAnsi="Arial"/>
          <w:b/>
          <w:bCs/>
          <w:sz w:val="22"/>
          <w:szCs w:val="22"/>
        </w:rPr>
        <w:t xml:space="preserve">Objectif : </w:t>
      </w:r>
      <w:r>
        <w:rPr>
          <w:rFonts w:ascii="Arial" w:cs="Arial" w:eastAsia="Arial" w:hAnsi="Arial"/>
          <w:sz w:val="22"/>
          <w:szCs w:val="22"/>
        </w:rPr>
        <w:t xml:space="preserve">Paramétrer le périmètre et les options de l’ACP.</w:t>
      </w:r>
    </w:p>
    <w:p>
      <w:pPr>
        <w:spacing w:after="80"/>
      </w:pPr>
    </w:p>
    <w:p>
      <w:pPr>
        <w:pStyle w:val="Heading3"/>
      </w:pPr>
      <w:r>
        <w:t xml:space="preserve">Composants</w:t>
      </w:r>
    </w:p>
    <w:p>
      <w:pPr>
        <w:pStyle w:val="ListParagraph"/>
        <w:numPr>
          <w:ilvl w:val="0"/>
          <w:numId w:val="2"/>
        </w:numPr>
        <w:spacing w:after="60"/>
      </w:pPr>
      <w:r>
        <w:rPr>
          <w:rFonts w:ascii="Arial" w:cs="Arial" w:eastAsia="Arial" w:hAnsi="Arial"/>
          <w:sz w:val="22"/>
          <w:szCs w:val="22"/>
        </w:rPr>
        <w:t xml:space="preserve">Liste des entreprises avec cases à cocher pour inclusion/exclusion. Indication de la catégorie bilantaire.</w:t>
      </w:r>
    </w:p>
    <w:p>
      <w:pPr>
        <w:pStyle w:val="ListParagraph"/>
        <w:numPr>
          <w:ilvl w:val="0"/>
          <w:numId w:val="2"/>
        </w:numPr>
        <w:spacing w:after="60"/>
      </w:pPr>
      <w:r>
        <w:rPr>
          <w:rFonts w:ascii="Arial" w:cs="Arial" w:eastAsia="Arial" w:hAnsi="Arial"/>
          <w:sz w:val="22"/>
          <w:szCs w:val="22"/>
        </w:rPr>
        <w:t xml:space="preserve">Liste des années détectées avec cases à cocher.</w:t>
      </w:r>
    </w:p>
    <w:p>
      <w:pPr>
        <w:pStyle w:val="ListParagraph"/>
        <w:numPr>
          <w:ilvl w:val="0"/>
          <w:numId w:val="2"/>
        </w:numPr>
        <w:spacing w:after="60"/>
      </w:pPr>
      <w:r>
        <w:rPr>
          <w:rFonts w:ascii="Arial" w:cs="Arial" w:eastAsia="Arial" w:hAnsi="Arial"/>
          <w:sz w:val="22"/>
          <w:szCs w:val="22"/>
        </w:rPr>
        <w:t xml:space="preserve">Liste des variables actives (postes comptables) avec possibilité de désélection. Les variables proposées dépendent du schéma bilantaire détecté.</w:t>
      </w:r>
    </w:p>
    <w:p>
      <w:pPr>
        <w:pStyle w:val="ListParagraph"/>
        <w:numPr>
          <w:ilvl w:val="0"/>
          <w:numId w:val="2"/>
        </w:numPr>
        <w:spacing w:after="60"/>
      </w:pPr>
      <w:r>
        <w:rPr>
          <w:rFonts w:ascii="Arial" w:cs="Arial" w:eastAsia="Arial" w:hAnsi="Arial"/>
          <w:sz w:val="22"/>
          <w:szCs w:val="22"/>
        </w:rPr>
        <w:t xml:space="preserve">Indicateur du nombre d’observations résultantes (entreprises × années).</w:t>
      </w:r>
    </w:p>
    <w:p>
      <w:pPr>
        <w:pStyle w:val="ListParagraph"/>
        <w:numPr>
          <w:ilvl w:val="0"/>
          <w:numId w:val="2"/>
        </w:numPr>
        <w:spacing w:after="60"/>
      </w:pPr>
      <w:r>
        <w:rPr>
          <w:rFonts w:ascii="Arial" w:cs="Arial" w:eastAsia="Arial" w:hAnsi="Arial"/>
          <w:sz w:val="22"/>
          <w:szCs w:val="22"/>
        </w:rPr>
        <w:t xml:space="preserve">Option de standardisation (centrée-réduite par défaut, désactivable).</w:t>
      </w:r>
    </w:p>
    <w:p>
      <w:pPr>
        <w:pStyle w:val="ListParagraph"/>
        <w:numPr>
          <w:ilvl w:val="0"/>
          <w:numId w:val="2"/>
        </w:numPr>
        <w:spacing w:after="60"/>
      </w:pPr>
      <w:r>
        <w:rPr>
          <w:rFonts w:ascii="Arial" w:cs="Arial" w:eastAsia="Arial" w:hAnsi="Arial"/>
          <w:sz w:val="22"/>
          <w:szCs w:val="22"/>
        </w:rPr>
        <w:t xml:space="preserve">Bouton « Lancer l’ACP ».</w:t>
      </w:r>
    </w:p>
    <w:p>
      <w:pPr>
        <w:spacing w:after="80"/>
      </w:pPr>
    </w:p>
    <w:p>
      <w:pPr>
        <w:pStyle w:val="Heading2"/>
      </w:pPr>
      <w:r>
        <w:t xml:space="preserve">4.3 Écran 3 — Visualisation (biplot interactif)</w:t>
      </w:r>
    </w:p>
    <w:p>
      <w:pPr>
        <w:spacing w:after="120"/>
      </w:pPr>
      <w:r>
        <w:rPr>
          <w:rFonts w:ascii="Arial" w:cs="Arial" w:eastAsia="Arial" w:hAnsi="Arial"/>
          <w:b/>
          <w:bCs/>
          <w:sz w:val="22"/>
          <w:szCs w:val="22"/>
        </w:rPr>
        <w:t xml:space="preserve">Objectif : </w:t>
      </w:r>
      <w:r>
        <w:rPr>
          <w:rFonts w:ascii="Arial" w:cs="Arial" w:eastAsia="Arial" w:hAnsi="Arial"/>
          <w:sz w:val="22"/>
          <w:szCs w:val="22"/>
        </w:rPr>
        <w:t xml:space="preserve">Afficher et explorer la cartographie factorielle.</w:t>
      </w:r>
    </w:p>
    <w:p>
      <w:pPr>
        <w:spacing w:after="80"/>
      </w:pPr>
    </w:p>
    <w:p>
      <w:pPr>
        <w:pStyle w:val="Heading3"/>
      </w:pPr>
      <w:r>
        <w:t xml:space="preserve">Composants</w:t>
      </w:r>
    </w:p>
    <w:p>
      <w:pPr>
        <w:pStyle w:val="ListParagraph"/>
        <w:numPr>
          <w:ilvl w:val="0"/>
          <w:numId w:val="2"/>
        </w:numPr>
        <w:spacing w:after="60"/>
      </w:pPr>
      <w:r>
        <w:rPr>
          <w:rFonts w:ascii="Arial" w:cs="Arial" w:eastAsia="Arial" w:hAnsi="Arial"/>
          <w:sz w:val="22"/>
          <w:szCs w:val="22"/>
        </w:rPr>
        <w:t xml:space="preserve">Zone graphique principale : biplot 2D occupant au moins 70% de l’écran.</w:t>
      </w:r>
    </w:p>
    <w:p>
      <w:pPr>
        <w:pStyle w:val="ListParagraph"/>
        <w:numPr>
          <w:ilvl w:val="0"/>
          <w:numId w:val="2"/>
        </w:numPr>
        <w:spacing w:after="60"/>
      </w:pPr>
      <w:r>
        <w:rPr>
          <w:rFonts w:ascii="Arial" w:cs="Arial" w:eastAsia="Arial" w:hAnsi="Arial"/>
          <w:sz w:val="22"/>
          <w:szCs w:val="22"/>
        </w:rPr>
        <w:t xml:space="preserve">Individus représentés par des points colorés par entreprise (légende latérale).</w:t>
      </w:r>
    </w:p>
    <w:p>
      <w:pPr>
        <w:pStyle w:val="ListParagraph"/>
        <w:numPr>
          <w:ilvl w:val="0"/>
          <w:numId w:val="2"/>
        </w:numPr>
        <w:spacing w:after="60"/>
      </w:pPr>
      <w:r>
        <w:rPr>
          <w:rFonts w:ascii="Arial" w:cs="Arial" w:eastAsia="Arial" w:hAnsi="Arial"/>
          <w:sz w:val="22"/>
          <w:szCs w:val="22"/>
        </w:rPr>
        <w:t xml:space="preserve">Variables représentées par des vecteurs (flèches) depuis l’origine, avec labels.</w:t>
      </w:r>
    </w:p>
    <w:p>
      <w:pPr>
        <w:pStyle w:val="ListParagraph"/>
        <w:numPr>
          <w:ilvl w:val="0"/>
          <w:numId w:val="2"/>
        </w:numPr>
        <w:spacing w:after="60"/>
      </w:pPr>
      <w:r>
        <w:rPr>
          <w:rFonts w:ascii="Arial" w:cs="Arial" w:eastAsia="Arial" w:hAnsi="Arial"/>
          <w:sz w:val="22"/>
          <w:szCs w:val="22"/>
        </w:rPr>
        <w:t xml:space="preserve">Sélecteur d’axes : menus déroulants pour choisir l’axe horizontal et vertical (ex. : PC1 vs PC2, PC1 vs PC3).</w:t>
      </w:r>
    </w:p>
    <w:p>
      <w:pPr>
        <w:pStyle w:val="ListParagraph"/>
        <w:numPr>
          <w:ilvl w:val="0"/>
          <w:numId w:val="2"/>
        </w:numPr>
        <w:spacing w:after="60"/>
      </w:pPr>
      <w:r>
        <w:rPr>
          <w:rFonts w:ascii="Arial" w:cs="Arial" w:eastAsia="Arial" w:hAnsi="Arial"/>
          <w:sz w:val="22"/>
          <w:szCs w:val="22"/>
        </w:rPr>
        <w:t xml:space="preserve">Affichage du pourcentage de variance expliquée sur chaque axe, dans le label de l’axe.</w:t>
      </w:r>
    </w:p>
    <w:p>
      <w:pPr>
        <w:pStyle w:val="ListParagraph"/>
        <w:numPr>
          <w:ilvl w:val="0"/>
          <w:numId w:val="2"/>
        </w:numPr>
        <w:spacing w:after="60"/>
      </w:pPr>
      <w:r>
        <w:rPr>
          <w:rFonts w:ascii="Arial" w:cs="Arial" w:eastAsia="Arial" w:hAnsi="Arial"/>
          <w:sz w:val="22"/>
          <w:szCs w:val="22"/>
        </w:rPr>
        <w:t xml:space="preserve">Slider temporel en bas de l’écran : une position par année, avec bouton play/pause pour l’animation.</w:t>
      </w:r>
    </w:p>
    <w:p>
      <w:pPr>
        <w:pStyle w:val="ListParagraph"/>
        <w:numPr>
          <w:ilvl w:val="0"/>
          <w:numId w:val="2"/>
        </w:numPr>
        <w:spacing w:after="60"/>
      </w:pPr>
      <w:r>
        <w:rPr>
          <w:rFonts w:ascii="Arial" w:cs="Arial" w:eastAsia="Arial" w:hAnsi="Arial"/>
          <w:sz w:val="22"/>
          <w:szCs w:val="22"/>
        </w:rPr>
        <w:t xml:space="preserve">Tooltip au survol : nom de l’entreprise, année, coordonnées factorielles, contributions.</w:t>
      </w:r>
    </w:p>
    <w:p>
      <w:pPr>
        <w:pStyle w:val="ListParagraph"/>
        <w:numPr>
          <w:ilvl w:val="0"/>
          <w:numId w:val="2"/>
        </w:numPr>
        <w:spacing w:after="60"/>
      </w:pPr>
      <w:r>
        <w:rPr>
          <w:rFonts w:ascii="Arial" w:cs="Arial" w:eastAsia="Arial" w:hAnsi="Arial"/>
          <w:sz w:val="22"/>
          <w:szCs w:val="22"/>
        </w:rPr>
        <w:t xml:space="preserve">Zoom (molette), pan (clic-glisser), et bouton de réinitialisation de la vue.</w:t>
      </w:r>
    </w:p>
    <w:p>
      <w:pPr>
        <w:spacing w:after="80"/>
      </w:pPr>
    </w:p>
    <w:p>
      <w:pPr>
        <w:pStyle w:val="Heading2"/>
      </w:pPr>
      <w:r>
        <w:t xml:space="preserve">4.4 Écran 4 — Résultats et export</w:t>
      </w:r>
    </w:p>
    <w:p>
      <w:pPr>
        <w:spacing w:after="120"/>
      </w:pPr>
      <w:r>
        <w:rPr>
          <w:rFonts w:ascii="Arial" w:cs="Arial" w:eastAsia="Arial" w:hAnsi="Arial"/>
          <w:b/>
          <w:bCs/>
          <w:sz w:val="22"/>
          <w:szCs w:val="22"/>
        </w:rPr>
        <w:t xml:space="preserve">Objectif : </w:t>
      </w:r>
      <w:r>
        <w:rPr>
          <w:rFonts w:ascii="Arial" w:cs="Arial" w:eastAsia="Arial" w:hAnsi="Arial"/>
          <w:sz w:val="22"/>
          <w:szCs w:val="22"/>
        </w:rPr>
        <w:t xml:space="preserve">Consulter les résultats numériques et exporter.</w:t>
      </w:r>
    </w:p>
    <w:p>
      <w:pPr>
        <w:spacing w:after="80"/>
      </w:pPr>
    </w:p>
    <w:p>
      <w:pPr>
        <w:pStyle w:val="Heading3"/>
      </w:pPr>
      <w:r>
        <w:t xml:space="preserve">Composants</w:t>
      </w:r>
    </w:p>
    <w:p>
      <w:pPr>
        <w:pStyle w:val="ListParagraph"/>
        <w:numPr>
          <w:ilvl w:val="0"/>
          <w:numId w:val="2"/>
        </w:numPr>
        <w:spacing w:after="60"/>
      </w:pPr>
      <w:r>
        <w:rPr>
          <w:rFonts w:ascii="Arial" w:cs="Arial" w:eastAsia="Arial" w:hAnsi="Arial"/>
          <w:sz w:val="22"/>
          <w:szCs w:val="22"/>
        </w:rPr>
        <w:t xml:space="preserve">Tableau des valeurs propres : valeur propre, % de variance, % cumulé, avec diagramme en barres (scree plot).</w:t>
      </w:r>
    </w:p>
    <w:p>
      <w:pPr>
        <w:pStyle w:val="ListParagraph"/>
        <w:numPr>
          <w:ilvl w:val="0"/>
          <w:numId w:val="2"/>
        </w:numPr>
        <w:spacing w:after="60"/>
      </w:pPr>
      <w:r>
        <w:rPr>
          <w:rFonts w:ascii="Arial" w:cs="Arial" w:eastAsia="Arial" w:hAnsi="Arial"/>
          <w:sz w:val="22"/>
          <w:szCs w:val="22"/>
        </w:rPr>
        <w:t xml:space="preserve">Tableau des coordonnées factorielles par individu (entreprise-année).</w:t>
      </w:r>
    </w:p>
    <w:p>
      <w:pPr>
        <w:pStyle w:val="ListParagraph"/>
        <w:numPr>
          <w:ilvl w:val="0"/>
          <w:numId w:val="2"/>
        </w:numPr>
        <w:spacing w:after="60"/>
      </w:pPr>
      <w:r>
        <w:rPr>
          <w:rFonts w:ascii="Arial" w:cs="Arial" w:eastAsia="Arial" w:hAnsi="Arial"/>
          <w:sz w:val="22"/>
          <w:szCs w:val="22"/>
        </w:rPr>
        <w:t xml:space="preserve">Tableau des contributions des variables et des individus.</w:t>
      </w:r>
    </w:p>
    <w:p>
      <w:pPr>
        <w:pStyle w:val="ListParagraph"/>
        <w:numPr>
          <w:ilvl w:val="0"/>
          <w:numId w:val="2"/>
        </w:numPr>
        <w:spacing w:after="60"/>
      </w:pPr>
      <w:r>
        <w:rPr>
          <w:rFonts w:ascii="Arial" w:cs="Arial" w:eastAsia="Arial" w:hAnsi="Arial"/>
          <w:sz w:val="22"/>
          <w:szCs w:val="22"/>
        </w:rPr>
        <w:t xml:space="preserve">Tableau de la qualité de représentation (cos²).</w:t>
      </w:r>
    </w:p>
    <w:p>
      <w:pPr>
        <w:pStyle w:val="ListParagraph"/>
        <w:numPr>
          <w:ilvl w:val="0"/>
          <w:numId w:val="2"/>
        </w:numPr>
        <w:spacing w:after="60"/>
      </w:pPr>
      <w:r>
        <w:rPr>
          <w:rFonts w:ascii="Arial" w:cs="Arial" w:eastAsia="Arial" w:hAnsi="Arial"/>
          <w:sz w:val="22"/>
          <w:szCs w:val="22"/>
        </w:rPr>
        <w:t xml:space="preserve">Bouton « Exporter l’image » : choix du format (PNG/SVG/PDF) et de la résolution.</w:t>
      </w:r>
    </w:p>
    <w:p>
      <w:pPr>
        <w:pStyle w:val="ListParagraph"/>
        <w:numPr>
          <w:ilvl w:val="0"/>
          <w:numId w:val="2"/>
        </w:numPr>
        <w:spacing w:after="60"/>
      </w:pPr>
      <w:r>
        <w:rPr>
          <w:rFonts w:ascii="Arial" w:cs="Arial" w:eastAsia="Arial" w:hAnsi="Arial"/>
          <w:sz w:val="22"/>
          <w:szCs w:val="22"/>
        </w:rPr>
        <w:t xml:space="preserve">Bouton « Exporter les données » : génération d’un fichier CSV ou Excel.</w:t>
      </w:r>
    </w:p>
    <w:p>
      <w:pPr>
        <w:pStyle w:val="ListParagraph"/>
        <w:numPr>
          <w:ilvl w:val="0"/>
          <w:numId w:val="2"/>
        </w:numPr>
        <w:spacing w:after="60"/>
      </w:pPr>
      <w:r>
        <w:rPr>
          <w:rFonts w:ascii="Arial" w:cs="Arial" w:eastAsia="Arial" w:hAnsi="Arial"/>
          <w:sz w:val="22"/>
          <w:szCs w:val="22"/>
        </w:rPr>
        <w:t xml:space="preserve">Mention « Source : STATEC – Centrale des Bilans » intégrée automatiquement dans les exports si les données proviennent de la CdB (licence CC-BY-SA).</w:t>
      </w:r>
    </w:p>
    <w:p>
      <w:r>
        <w:br w:type="page"/>
      </w:r>
    </w:p>
    <w:p>
      <w:pPr>
        <w:pStyle w:val="Heading1"/>
      </w:pPr>
      <w:r>
        <w:t xml:space="preserve">5. Contraintes</w:t>
      </w:r>
    </w:p>
    <w:p>
      <w:pPr>
        <w:spacing w:after="80"/>
      </w:pPr>
    </w:p>
    <w:p>
      <w:pPr>
        <w:pStyle w:val="Heading2"/>
      </w:pPr>
      <w:r>
        <w:t xml:space="preserve">5.1 Contraintes techniques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Domaine</w:t>
            </w:r>
          </w:p>
        </w:tc>
        <w:tc>
          <w:tcPr>
            <w:tcW w:type="dxa" w:w="65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Contrainte</w:t>
            </w:r>
          </w:p>
        </w:tc>
      </w:tr>
      <w:tr>
        <w:tc>
          <w:tcPr>
            <w:tcW w:type="dxa" w:w="25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b/>
                <w:bCs/>
                <w:sz w:val="22"/>
                <w:szCs w:val="22"/>
              </w:rPr>
              <w:t xml:space="preserve">Framework desktop</w:t>
            </w:r>
          </w:p>
        </w:tc>
        <w:tc>
          <w:tcPr>
            <w:tcW w:type="dxa" w:w="6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Electron (recommandé) ou Tauri. Choix à la discrétion du développeur.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2"/>
                <w:szCs w:val="22"/>
              </w:rPr>
              <w:t xml:space="preserve">Frontend</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React (TypeScript recommandé). Visualisation : D3.js, Plotly.js ou équivalent supportant biplot interactif avec animations.</w:t>
            </w:r>
          </w:p>
        </w:tc>
      </w:tr>
      <w:tr>
        <w:tc>
          <w:tcPr>
            <w:tcW w:type="dxa" w:w="25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b/>
                <w:bCs/>
                <w:sz w:val="22"/>
                <w:szCs w:val="22"/>
              </w:rPr>
              <w:t xml:space="preserve">Backend / calcul</w:t>
            </w:r>
          </w:p>
        </w:tc>
        <w:tc>
          <w:tcPr>
            <w:tcW w:type="dxa" w:w="6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Python avec scikit-learn (PCA) et pandas. Communication frontend-backend via processus local (API locale ou IPC Electron).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2"/>
                <w:szCs w:val="22"/>
              </w:rPr>
              <w:t xml:space="preserve">Parsing XML (Phase 2)</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Python lxml en mode streaming (iterparse) pour gérer les fichiers XML de 500+ Mo sans saturation mémoire. Validation contre les schémas XSD de la CdB.</w:t>
            </w:r>
          </w:p>
        </w:tc>
      </w:tr>
      <w:tr>
        <w:tc>
          <w:tcPr>
            <w:tcW w:type="dxa" w:w="25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b/>
                <w:bCs/>
                <w:sz w:val="22"/>
                <w:szCs w:val="22"/>
              </w:rPr>
              <w:t xml:space="preserve">Serveur MCP (Phase 2)</w:t>
            </w:r>
          </w:p>
        </w:tc>
        <w:tc>
          <w:tcPr>
            <w:tcW w:type="dxa" w:w="6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Communication avec mcp.data.public.lu/mcp via le protocole MCP (Streamable HTTP). Outils utilisés : search_datasets, list_dataset_resources, get_resource_info. Serveur public, pas de clé API requise.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2"/>
                <w:szCs w:val="22"/>
              </w:rPr>
              <w:t xml:space="preserve">Données / stockage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Pas de base de données pour le MVP. Phase 2 : cache local des fichiers XML (répertoire configurable), métadonnées de cache en JSON. Paramètres utilisateur stockés en JSON local.</w:t>
            </w:r>
          </w:p>
        </w:tc>
      </w:tr>
      <w:tr>
        <w:tc>
          <w:tcPr>
            <w:tcW w:type="dxa" w:w="25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b/>
                <w:bCs/>
                <w:sz w:val="22"/>
                <w:szCs w:val="22"/>
              </w:rPr>
              <w:t xml:space="preserve">Plateforme cible</w:t>
            </w:r>
          </w:p>
        </w:tc>
        <w:tc>
          <w:tcPr>
            <w:tcW w:type="dxa" w:w="6526"/>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rFonts w:ascii="Arial" w:cs="Arial" w:eastAsia="Arial" w:hAnsi="Arial"/>
                <w:sz w:val="22"/>
                <w:szCs w:val="22"/>
              </w:rPr>
              <w:t xml:space="preserve">Windows 10/11 (environnement principal). Compatibilité macOS souhaitable mais non bloquante.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2"/>
                <w:szCs w:val="22"/>
              </w:rPr>
              <w:t xml:space="preserve">Performance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MVP : ACP sur 500 observations × 20 variables en moins de 2 secondes. Animation slider ≥30 fps. Phase 2 : parsing XML 500 Mo en moins de 60 secondes.</w:t>
            </w:r>
          </w:p>
        </w:tc>
      </w:tr>
    </w:tbl>
    <w:p>
      <w:pPr>
        <w:spacing w:after="80"/>
      </w:pPr>
    </w:p>
    <w:p>
      <w:pPr>
        <w:pStyle w:val="Heading2"/>
      </w:pPr>
      <w:r>
        <w:t xml:space="preserve">5.2 Contraintes méthodologiques</w:t>
      </w:r>
    </w:p>
    <w:p>
      <w:pPr>
        <w:pStyle w:val="ListParagraph"/>
        <w:numPr>
          <w:ilvl w:val="0"/>
          <w:numId w:val="2"/>
        </w:numPr>
        <w:spacing w:after="60"/>
      </w:pPr>
      <w:r>
        <w:rPr>
          <w:rFonts w:ascii="Arial" w:cs="Arial" w:eastAsia="Arial" w:hAnsi="Arial"/>
          <w:sz w:val="22"/>
          <w:szCs w:val="22"/>
        </w:rPr>
        <w:t xml:space="preserve">L’ACP est réalisée sur la matrice centrée-réduite (option désactivable) des variables exprimées en pourcentage du total bilan.</w:t>
      </w:r>
    </w:p>
    <w:p>
      <w:pPr>
        <w:pStyle w:val="ListParagraph"/>
        <w:numPr>
          <w:ilvl w:val="0"/>
          <w:numId w:val="2"/>
        </w:numPr>
        <w:spacing w:after="60"/>
      </w:pPr>
      <w:r>
        <w:rPr>
          <w:rFonts w:ascii="Arial" w:cs="Arial" w:eastAsia="Arial" w:hAnsi="Arial"/>
          <w:sz w:val="22"/>
          <w:szCs w:val="22"/>
        </w:rPr>
        <w:t xml:space="preserve">La matrice d’entrée de l’ACP est l’empilement vertical de toutes les observations (entreprise × année), garantissant un espace factoriel unique et des axes communs.</w:t>
      </w:r>
    </w:p>
    <w:p>
      <w:pPr>
        <w:pStyle w:val="ListParagraph"/>
        <w:numPr>
          <w:ilvl w:val="0"/>
          <w:numId w:val="2"/>
        </w:numPr>
        <w:spacing w:after="60"/>
      </w:pPr>
      <w:r>
        <w:rPr>
          <w:rFonts w:ascii="Arial" w:cs="Arial" w:eastAsia="Arial" w:hAnsi="Arial"/>
          <w:sz w:val="22"/>
          <w:szCs w:val="22"/>
        </w:rPr>
        <w:t xml:space="preserve">Les résultats numériques doivent être cohérents (à l’arrondi près) avec ceux produits par FactoMineR::PCA() sous R.</w:t>
      </w:r>
    </w:p>
    <w:p>
      <w:pPr>
        <w:pStyle w:val="ListParagraph"/>
        <w:numPr>
          <w:ilvl w:val="0"/>
          <w:numId w:val="2"/>
        </w:numPr>
        <w:spacing w:after="60"/>
      </w:pPr>
      <w:r>
        <w:rPr>
          <w:rFonts w:ascii="Arial" w:cs="Arial" w:eastAsia="Arial" w:hAnsi="Arial"/>
          <w:sz w:val="22"/>
          <w:szCs w:val="22"/>
        </w:rPr>
        <w:t xml:space="preserve">Contrainte d’homogénéité bilantaire : toutes les entreprises d’une analyse doivent relever du même schéma comptable eCDF (bilan abregé, complet, holdings/SPF, etc.). Ce contrôle est obligatoire et bloquant, tant pour l’import CSV (MVP) que pour la collecte CdB (Phase 2).</w:t>
      </w:r>
    </w:p>
    <w:p>
      <w:pPr>
        <w:pStyle w:val="ListParagraph"/>
        <w:numPr>
          <w:ilvl w:val="0"/>
          <w:numId w:val="2"/>
        </w:numPr>
        <w:spacing w:after="60"/>
      </w:pPr>
      <w:r>
        <w:rPr>
          <w:rFonts w:ascii="Arial" w:cs="Arial" w:eastAsia="Arial" w:hAnsi="Arial"/>
          <w:sz w:val="22"/>
          <w:szCs w:val="22"/>
        </w:rPr>
        <w:t xml:space="preserve">Le jeu de variables actives proposé pour l’ACP dépend du schéma bilantaire sélectionné. Le mapping champs eCDF → postes comptables est paramétré par catégorie bilantaire.</w:t>
      </w:r>
    </w:p>
    <w:p>
      <w:pPr>
        <w:spacing w:after="80"/>
      </w:pPr>
    </w:p>
    <w:p>
      <w:pPr>
        <w:pStyle w:val="Heading2"/>
      </w:pPr>
      <w:r>
        <w:t xml:space="preserve">5.3 Contraintes fonctionnelles</w:t>
      </w:r>
    </w:p>
    <w:p>
      <w:pPr>
        <w:pStyle w:val="ListParagraph"/>
        <w:numPr>
          <w:ilvl w:val="0"/>
          <w:numId w:val="2"/>
        </w:numPr>
        <w:spacing w:after="60"/>
      </w:pPr>
      <w:r>
        <w:rPr>
          <w:rFonts w:ascii="Arial" w:cs="Arial" w:eastAsia="Arial" w:hAnsi="Arial"/>
          <w:sz w:val="22"/>
          <w:szCs w:val="22"/>
        </w:rPr>
        <w:t xml:space="preserve">L’application fonctionne hors ligne (aucune connexion requise après installation, sauf pour la collecte CdB en Phase 2).</w:t>
      </w:r>
    </w:p>
    <w:p>
      <w:pPr>
        <w:pStyle w:val="ListParagraph"/>
        <w:numPr>
          <w:ilvl w:val="0"/>
          <w:numId w:val="2"/>
        </w:numPr>
        <w:spacing w:after="60"/>
      </w:pPr>
      <w:r>
        <w:rPr>
          <w:rFonts w:ascii="Arial" w:cs="Arial" w:eastAsia="Arial" w:hAnsi="Arial"/>
          <w:sz w:val="22"/>
          <w:szCs w:val="22"/>
        </w:rPr>
        <w:t xml:space="preserve">Utilisateur unique, pas de gestion de comptes ni d’authentification.</w:t>
      </w:r>
    </w:p>
    <w:p>
      <w:pPr>
        <w:pStyle w:val="ListParagraph"/>
        <w:numPr>
          <w:ilvl w:val="0"/>
          <w:numId w:val="2"/>
        </w:numPr>
        <w:spacing w:after="60"/>
      </w:pPr>
      <w:r>
        <w:rPr>
          <w:rFonts w:ascii="Arial" w:cs="Arial" w:eastAsia="Arial" w:hAnsi="Arial"/>
          <w:sz w:val="22"/>
          <w:szCs w:val="22"/>
        </w:rPr>
        <w:t xml:space="preserve">Interface en français.</w:t>
      </w:r>
    </w:p>
    <w:p>
      <w:pPr>
        <w:pStyle w:val="ListParagraph"/>
        <w:numPr>
          <w:ilvl w:val="0"/>
          <w:numId w:val="2"/>
        </w:numPr>
        <w:spacing w:after="60"/>
      </w:pPr>
      <w:r>
        <w:rPr>
          <w:rFonts w:ascii="Arial" w:cs="Arial" w:eastAsia="Arial" w:hAnsi="Arial"/>
          <w:sz w:val="22"/>
          <w:szCs w:val="22"/>
        </w:rPr>
        <w:t xml:space="preserve">Un fichier template (modèle de données) est fourni par catégorie bilantaire pour guider la préparation des fichiers d’import (MVP).</w:t>
      </w:r>
    </w:p>
    <w:p>
      <w:pPr>
        <w:spacing w:after="80"/>
      </w:pPr>
    </w:p>
    <w:p>
      <w:pPr>
        <w:pStyle w:val="Heading2"/>
      </w:pPr>
      <w:r>
        <w:t xml:space="preserve">5.4 Contraintes réglementaires et licence</w:t>
      </w:r>
    </w:p>
    <w:p>
      <w:pPr>
        <w:pStyle w:val="ListParagraph"/>
        <w:numPr>
          <w:ilvl w:val="0"/>
          <w:numId w:val="2"/>
        </w:numPr>
        <w:spacing w:after="60"/>
      </w:pPr>
      <w:r>
        <w:rPr>
          <w:rFonts w:ascii="Arial" w:cs="Arial" w:eastAsia="Arial" w:hAnsi="Arial"/>
          <w:sz w:val="22"/>
          <w:szCs w:val="22"/>
        </w:rPr>
        <w:t xml:space="preserve">Les données de la Centrale des Bilans sont sous licence CC-BY-SA. L’application doit intégrer automatiquement la mention « Source : STATEC – Centrale des Bilans » dans tout export produit à partir de données CdB.</w:t>
      </w:r>
    </w:p>
    <w:p>
      <w:pPr>
        <w:pStyle w:val="ListParagraph"/>
        <w:numPr>
          <w:ilvl w:val="0"/>
          <w:numId w:val="2"/>
        </w:numPr>
        <w:spacing w:after="60"/>
      </w:pPr>
      <w:r>
        <w:rPr>
          <w:rFonts w:ascii="Arial" w:cs="Arial" w:eastAsia="Arial" w:hAnsi="Arial"/>
          <w:sz w:val="22"/>
          <w:szCs w:val="22"/>
        </w:rPr>
        <w:t xml:space="preserve">Certains bilans et/ou comptes de profits et pertes peuvent être marqués comme confidentiels par les entreprises. L’application ne doit traiter que les dépôts publics.</w:t>
      </w:r>
    </w:p>
    <w:p>
      <w:pPr>
        <w:pStyle w:val="ListParagraph"/>
        <w:numPr>
          <w:ilvl w:val="0"/>
          <w:numId w:val="2"/>
        </w:numPr>
        <w:spacing w:after="60"/>
      </w:pPr>
      <w:r>
        <w:rPr>
          <w:rFonts w:ascii="Arial" w:cs="Arial" w:eastAsia="Arial" w:hAnsi="Arial"/>
          <w:sz w:val="22"/>
          <w:szCs w:val="22"/>
        </w:rPr>
        <w:t xml:space="preserve">Le STATEC ne fournit pas d’assistance IT. Le module de parsing doit être autonome et robuste face aux cas limites (champs manquants, encodage, etc.).</w:t>
      </w:r>
    </w:p>
    <w:p>
      <w:pPr>
        <w:spacing w:after="80"/>
      </w:pPr>
    </w:p>
    <w:p>
      <w:pPr>
        <w:pStyle w:val="Heading2"/>
      </w:pPr>
      <w:r>
        <w:t xml:space="preserve">5.5 Contraintes de livraison</w:t>
      </w:r>
    </w:p>
    <w:p>
      <w:pPr>
        <w:pStyle w:val="ListParagraph"/>
        <w:numPr>
          <w:ilvl w:val="0"/>
          <w:numId w:val="2"/>
        </w:numPr>
        <w:spacing w:after="60"/>
      </w:pPr>
      <w:r>
        <w:rPr>
          <w:rFonts w:ascii="Arial" w:cs="Arial" w:eastAsia="Arial" w:hAnsi="Arial"/>
          <w:sz w:val="22"/>
          <w:szCs w:val="22"/>
        </w:rPr>
        <w:t xml:space="preserve">Le code source est structuré pour être généré et itéré via Claude Code.</w:t>
      </w:r>
    </w:p>
    <w:p>
      <w:pPr>
        <w:pStyle w:val="ListParagraph"/>
        <w:numPr>
          <w:ilvl w:val="0"/>
          <w:numId w:val="2"/>
        </w:numPr>
        <w:spacing w:after="60"/>
      </w:pPr>
      <w:r>
        <w:rPr>
          <w:rFonts w:ascii="Arial" w:cs="Arial" w:eastAsia="Arial" w:hAnsi="Arial"/>
          <w:sz w:val="22"/>
          <w:szCs w:val="22"/>
        </w:rPr>
        <w:t xml:space="preserve">Architecture modulaire : module d’import, module de collecte CdB (Phase 2), module de calcul, module de visualisation, module d’export.</w:t>
      </w:r>
    </w:p>
    <w:p>
      <w:pPr>
        <w:pStyle w:val="ListParagraph"/>
        <w:numPr>
          <w:ilvl w:val="0"/>
          <w:numId w:val="2"/>
        </w:numPr>
        <w:spacing w:after="60"/>
      </w:pPr>
      <w:r>
        <w:rPr>
          <w:rFonts w:ascii="Arial" w:cs="Arial" w:eastAsia="Arial" w:hAnsi="Arial"/>
          <w:sz w:val="22"/>
          <w:szCs w:val="22"/>
        </w:rPr>
        <w:t xml:space="preserve">Code commenté en français.</w:t>
      </w:r>
    </w:p>
    <w:p>
      <w:pPr>
        <w:pStyle w:val="ListParagraph"/>
        <w:numPr>
          <w:ilvl w:val="0"/>
          <w:numId w:val="2"/>
        </w:numPr>
        <w:spacing w:after="60"/>
      </w:pPr>
      <w:r>
        <w:rPr>
          <w:rFonts w:ascii="Arial" w:cs="Arial" w:eastAsia="Arial" w:hAnsi="Arial"/>
          <w:sz w:val="22"/>
          <w:szCs w:val="22"/>
        </w:rPr>
        <w:t xml:space="preserve">Un jeu de données de test fictif est fourni avec le projet (un par catégorie bilantaire).</w:t>
      </w:r>
    </w:p>
    <w:p>
      <w:pPr>
        <w:pStyle w:val="ListParagraph"/>
        <w:numPr>
          <w:ilvl w:val="0"/>
          <w:numId w:val="2"/>
        </w:numPr>
        <w:spacing w:after="60"/>
      </w:pPr>
      <w:r>
        <w:rPr>
          <w:rFonts w:ascii="Arial" w:cs="Arial" w:eastAsia="Arial" w:hAnsi="Arial"/>
          <w:sz w:val="22"/>
          <w:szCs w:val="22"/>
        </w:rPr>
        <w:t xml:space="preserve">Phase 2 : un prototype exploratoire est livré avant intégration, pour valider la faisabilité technique (parsing XML, performance, couverture des schémas).</w:t>
      </w:r>
    </w:p>
    <w:p>
      <w:pPr>
        <w:spacing w:after="80"/>
      </w:pPr>
    </w:p>
    <w:p>
      <w:pPr>
        <w:spacing w:after="80"/>
      </w:pPr>
    </w:p>
    <w:p>
      <w:pPr>
        <w:pBdr>
          <w:top w:val="single" w:color="2E5090" w:sz="2" w:space="8"/>
        </w:pBdr>
        <w:spacing w:before="600"/>
        <w:jc w:val="center"/>
      </w:pPr>
      <w:r>
        <w:rPr>
          <w:rFonts w:ascii="Arial" w:cs="Arial" w:eastAsia="Arial" w:hAnsi="Arial"/>
          <w:i/>
          <w:iCs/>
          <w:color w:val="888888"/>
          <w:sz w:val="20"/>
          <w:szCs w:val="20"/>
        </w:rPr>
        <w:t xml:space="preserve">Fin du document — Version 2.0 (MVP + Phase 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Logistikê sàrl — Document confidentiel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4"/>
      </w:pBdr>
      <w:jc w:val="right"/>
    </w:pPr>
    <w:r>
      <w:rPr>
        <w:rFonts w:ascii="Arial" w:cs="Arial" w:eastAsia="Arial" w:hAnsi="Arial"/>
        <w:i/>
        <w:iCs/>
        <w:color w:val="888888"/>
        <w:sz w:val="18"/>
        <w:szCs w:val="18"/>
      </w:rPr>
      <w:t xml:space="preserve">PRD — FinMap : Cartographie Factorielle Financière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6" w:space="4"/>
      </w:pBd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2026-03-09T15:18:46.789Z</dcterms:created>
  <dcterms:modified xsi:type="dcterms:W3CDTF">2026-03-09T15:18:46.790Z</dcterms:modified>
</cp:coreProperties>
</file>

<file path=docProps/custom.xml><?xml version="1.0" encoding="utf-8"?>
<Properties xmlns="http://schemas.openxmlformats.org/officeDocument/2006/custom-properties" xmlns:vt="http://schemas.openxmlformats.org/officeDocument/2006/docPropsVTypes"/>
</file>