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0295" w:rsidRDefault="001F7F70">
      <w:pPr>
        <w:pStyle w:val="Ttulo"/>
      </w:pPr>
      <w:bookmarkStart w:id="0" w:name="_GoBack"/>
      <w:bookmarkEnd w:id="0"/>
      <w:r>
        <w:t>Proyecto II</w:t>
      </w:r>
    </w:p>
    <w:p w:rsidR="000B0295" w:rsidRDefault="001F7F70">
      <w:pPr>
        <w:pStyle w:val="Author"/>
      </w:pPr>
      <w:r>
        <w:t>Robert</w:t>
      </w:r>
    </w:p>
    <w:p w:rsidR="000B0295" w:rsidRDefault="001F7F70">
      <w:pPr>
        <w:pStyle w:val="Fecha"/>
      </w:pPr>
      <w:r>
        <w:t>2025-03-27</w:t>
      </w:r>
    </w:p>
    <w:p w:rsidR="000B0295" w:rsidRDefault="001F7F70">
      <w:pPr>
        <w:pStyle w:val="Ttulo1"/>
      </w:pPr>
      <w:bookmarkStart w:id="1" w:name="objetivo-ipv"/>
      <w:r>
        <w:t>Objetivo IPV</w:t>
      </w:r>
    </w:p>
    <w:p w:rsidR="000B0295" w:rsidRDefault="001F7F70">
      <w:pPr>
        <w:pStyle w:val="FirstParagraph"/>
      </w:pPr>
      <w:r>
        <w:t>Las primeras predicciones del modelo, entrenado con datos de 2018, no han reflejado correctamente los precios actuales de la vivienda en Valencia. Por ello, se va a realizar un pequeño análisis exploratorio del Índice de Precios de la Vivienda (IPV), con e</w:t>
      </w:r>
      <w:r>
        <w:t>l objetivo de observar cómo han evolucionado los precios desde 2018 hasta 2025. Este análisis permitirá ajustar las predicciones del modelo a la situación actual del mercado, mejorando así su precisión.</w:t>
      </w:r>
    </w:p>
    <w:p w:rsidR="000B0295" w:rsidRDefault="001F7F70">
      <w:pPr>
        <w:pStyle w:val="Ttulo4"/>
      </w:pPr>
      <w:bookmarkStart w:id="2" w:name="carga-de-librerías"/>
      <w:r>
        <w:t>Carga de librerías</w:t>
      </w:r>
    </w:p>
    <w:p w:rsidR="000B0295" w:rsidRDefault="001F7F7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(readxl)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(ggplot2)</w:t>
      </w:r>
    </w:p>
    <w:p w:rsidR="000B0295" w:rsidRDefault="001F7F70">
      <w:pPr>
        <w:pStyle w:val="Ttulo4"/>
      </w:pPr>
      <w:bookmarkStart w:id="3" w:name="carga-de-datos"/>
      <w:bookmarkEnd w:id="2"/>
      <w:r>
        <w:t>C</w:t>
      </w:r>
      <w:r>
        <w:t>arga de datos</w:t>
      </w:r>
    </w:p>
    <w:p w:rsidR="000B0295" w:rsidRDefault="001F7F70">
      <w:pPr>
        <w:pStyle w:val="SourceCode"/>
      </w:pPr>
      <w:r>
        <w:rPr>
          <w:rStyle w:val="NormalTok"/>
        </w:rPr>
        <w:t xml:space="preserve">datos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suppressMessages</w:t>
      </w:r>
      <w:r>
        <w:rPr>
          <w:rStyle w:val="NormalTok"/>
        </w:rPr>
        <w:t>(</w:t>
      </w:r>
      <w:r>
        <w:rPr>
          <w:rStyle w:val="FunctionTok"/>
        </w:rPr>
        <w:t>suppressWarnings</w:t>
      </w:r>
      <w:r>
        <w:rPr>
          <w:rStyle w:val="NormalTok"/>
        </w:rPr>
        <w:t>(</w:t>
      </w:r>
      <w:r>
        <w:rPr>
          <w:rStyle w:val="FunctionTok"/>
        </w:rPr>
        <w:t>read_excel</w:t>
      </w:r>
      <w:r>
        <w:rPr>
          <w:rStyle w:val="NormalTok"/>
        </w:rPr>
        <w:t>(</w:t>
      </w:r>
      <w:r>
        <w:rPr>
          <w:rStyle w:val="StringTok"/>
        </w:rPr>
        <w:t>"IPV_ComunidadValenciana.xlsx"</w:t>
      </w:r>
      <w:r>
        <w:rPr>
          <w:rStyle w:val="NormalTok"/>
        </w:rPr>
        <w:t>)))</w:t>
      </w:r>
    </w:p>
    <w:p w:rsidR="000B0295" w:rsidRDefault="001F7F70">
      <w:pPr>
        <w:pStyle w:val="FirstParagraph"/>
      </w:pPr>
      <w:r>
        <w:t>Primero observaremos la evolución año a año desde 2007 hasta 2024 para tener una visión global de la situación del mercado inmobiliario.</w:t>
      </w:r>
    </w:p>
    <w:p w:rsidR="000B0295" w:rsidRDefault="001F7F70">
      <w:pPr>
        <w:pStyle w:val="SourceCode"/>
      </w:pPr>
      <w:r>
        <w:rPr>
          <w:rStyle w:val="NormalTok"/>
        </w:rPr>
        <w:t xml:space="preserve">IPV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(d</w:t>
      </w:r>
      <w:r>
        <w:rPr>
          <w:rStyle w:val="NormalTok"/>
        </w:rPr>
        <w:t>atos[</w:t>
      </w:r>
      <w:r>
        <w:rPr>
          <w:rStyle w:val="DecValTok"/>
        </w:rPr>
        <w:t>13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SpecialCharTok"/>
        </w:rPr>
        <w:t>:</w:t>
      </w:r>
      <w:r>
        <w:rPr>
          <w:rStyle w:val="DecValTok"/>
        </w:rPr>
        <w:t>73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variacion_pct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(datos[</w:t>
      </w:r>
      <w:r>
        <w:rPr>
          <w:rStyle w:val="DecValTok"/>
        </w:rPr>
        <w:t>13</w:t>
      </w:r>
      <w:r>
        <w:rPr>
          <w:rStyle w:val="NormalTok"/>
        </w:rPr>
        <w:t xml:space="preserve">, </w:t>
      </w:r>
      <w:r>
        <w:rPr>
          <w:rStyle w:val="DecValTok"/>
        </w:rPr>
        <w:t>74</w:t>
      </w:r>
      <w:r>
        <w:rPr>
          <w:rStyle w:val="SpecialCharTok"/>
        </w:rPr>
        <w:t>:</w:t>
      </w:r>
      <w:r>
        <w:rPr>
          <w:rStyle w:val="DecValTok"/>
        </w:rPr>
        <w:t>135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trimestre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as.character</w:t>
      </w:r>
      <w:r>
        <w:rPr>
          <w:rStyle w:val="NormalTok"/>
        </w:rPr>
        <w:t>(datos[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SpecialCharTok"/>
        </w:rPr>
        <w:t>:</w:t>
      </w:r>
      <w:r>
        <w:rPr>
          <w:rStyle w:val="DecValTok"/>
        </w:rPr>
        <w:t>73</w:t>
      </w:r>
      <w:r>
        <w:rPr>
          <w:rStyle w:val="NormalTok"/>
        </w:rPr>
        <w:t>])</w:t>
      </w:r>
      <w:r>
        <w:br/>
      </w:r>
      <w:r>
        <w:br/>
      </w:r>
      <w:r>
        <w:rPr>
          <w:rStyle w:val="CommentTok"/>
        </w:rPr>
        <w:t># Extraer el año de cada trimestre</w:t>
      </w:r>
      <w:r>
        <w:br/>
      </w:r>
      <w:r>
        <w:rPr>
          <w:rStyle w:val="NormalTok"/>
        </w:rPr>
        <w:t xml:space="preserve">anio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substr</w:t>
      </w:r>
      <w:r>
        <w:rPr>
          <w:rStyle w:val="NormalTok"/>
        </w:rPr>
        <w:t xml:space="preserve">(trimestre,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Calcular el promedio anual del IPV</w:t>
      </w:r>
      <w:r>
        <w:br/>
      </w:r>
      <w:r>
        <w:rPr>
          <w:rStyle w:val="NormalTok"/>
        </w:rPr>
        <w:t xml:space="preserve">df_anual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aggregate</w:t>
      </w:r>
      <w:r>
        <w:rPr>
          <w:rStyle w:val="NormalTok"/>
        </w:rPr>
        <w:t xml:space="preserve">(IPV </w:t>
      </w:r>
      <w:r>
        <w:rPr>
          <w:rStyle w:val="SpecialCharTok"/>
        </w:rPr>
        <w:t>~</w:t>
      </w:r>
      <w:r>
        <w:rPr>
          <w:rStyle w:val="NormalTok"/>
        </w:rPr>
        <w:t xml:space="preserve"> anio, </w:t>
      </w:r>
      <w:r>
        <w:rPr>
          <w:rStyle w:val="AttributeTok"/>
        </w:rPr>
        <w:t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(df_anual,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anio, </w:t>
      </w:r>
      <w:r>
        <w:rPr>
          <w:rStyle w:val="AttributeTok"/>
        </w:rPr>
        <w:t>y =</w:t>
      </w:r>
      <w:r>
        <w:rPr>
          <w:rStyle w:val="NormalTok"/>
        </w:rPr>
        <w:t xml:space="preserve"> IPV, </w:t>
      </w:r>
      <w:r>
        <w:rPr>
          <w:rStyle w:val="AttributeTok"/>
        </w:rPr>
        <w:t>group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geom_line</w:t>
      </w:r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"blue"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geom_point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"Evolución anual del Índice de Precios de la Vivienda (IPV) en la Comunidad Valenciana"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"Año"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NormalTok"/>
        </w:rPr>
        <w:t xml:space="preserve">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"IPV promedio anual"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axis.text.x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angle =</w:t>
      </w:r>
      <w:r>
        <w:rPr>
          <w:rStyle w:val="NormalTok"/>
        </w:rPr>
        <w:t xml:space="preserve"> </w:t>
      </w:r>
      <w:r>
        <w:rPr>
          <w:rStyle w:val="DecValTok"/>
        </w:rPr>
        <w:t>90</w:t>
      </w:r>
      <w:r>
        <w:rPr>
          <w:rStyle w:val="NormalTok"/>
        </w:rPr>
        <w:t xml:space="preserve">, 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))</w:t>
      </w:r>
    </w:p>
    <w:p w:rsidR="000B0295" w:rsidRDefault="001F7F70">
      <w:pPr>
        <w:pStyle w:val="FirstParagraph"/>
      </w:pPr>
      <w:r>
        <w:rPr>
          <w:noProof/>
          <w:lang w:val="es-ES" w:eastAsia="es-ES"/>
        </w:rPr>
        <w:lastRenderedPageBreak/>
        <w:drawing>
          <wp:inline distT="0" distB="0" distL="0" distR="0">
            <wp:extent cx="4620126" cy="3696101"/>
            <wp:effectExtent l="0" t="0" r="0" b="0"/>
            <wp:docPr id="2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IPV_files/figure-docx/evolución%20anual%202007-2024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0295" w:rsidRDefault="001F7F70">
      <w:pPr>
        <w:pStyle w:val="Textoindependiente"/>
      </w:pPr>
      <w:r>
        <w:t>El gráfico muestra claramente la evolución del Índice de Precios de la Vivienda (IPV) en la Comunidad Valenciana desde 2007 hasta 2024, reflejando las principales t</w:t>
      </w:r>
      <w:r>
        <w:t>endencias del mercado inmobiliario en este periodo. Se observa una fuerte caída en los precios desde 2008 hasta 2013, consecuencia directa de la crisis financiera y el estallido de la burbuja inmobiliaria, lo que llevó a una importante corrección en el val</w:t>
      </w:r>
      <w:r>
        <w:t xml:space="preserve">or de la vivienda. A partir de 2013, el mercado entra en una fase de estabilización, con precios que se mantienen bajos durante algunos años, señalando un periodo de ajuste y menor actividad. Sin embargo, desde 2016 se inicia una recuperación progresiva y </w:t>
      </w:r>
      <w:r>
        <w:t xml:space="preserve">sostenida, con incrementos anuales cada vez más pronunciados, especialmente a partir de 2020, cuando el crecimiento se acelera notablemente. Este repunte puede estar relacionado con la recuperación económica tras la pandemia, el aumento de la demanda y la </w:t>
      </w:r>
      <w:r>
        <w:t>escasez de oferta en el mercado, factores que han impulsado los precios hasta alcanzar en 2024 niveles superiores a los registrados antes de la crisis. En conjunto, el análisis evidencia cómo el mercado de la vivienda en la Comunidad Valenciana ha superado</w:t>
      </w:r>
      <w:r>
        <w:t xml:space="preserve"> la etapa de ajuste post-crisis y se encuentra actualmente en una fase de expansión, con precios en máximos históricos.</w:t>
      </w:r>
    </w:p>
    <w:p w:rsidR="000B0295" w:rsidRDefault="001F7F70">
      <w:pPr>
        <w:pStyle w:val="Textoindependiente"/>
      </w:pPr>
      <w:r>
        <w:t xml:space="preserve">Ahora miraremos la evolución entre 2018(datos con los que se ha entrenado el modelo) y 2024 más detalladamente, por trimestre y mirando </w:t>
      </w:r>
      <w:r>
        <w:t>las variaciones porcentuales.</w:t>
      </w:r>
    </w:p>
    <w:p w:rsidR="000B0295" w:rsidRDefault="001F7F70">
      <w:pPr>
        <w:pStyle w:val="SourceCode"/>
      </w:pPr>
      <w:r>
        <w:rPr>
          <w:rStyle w:val="CommentTok"/>
        </w:rPr>
        <w:t># Filtrar los datos desde 2018 hasta 2024</w:t>
      </w:r>
      <w:r>
        <w:br/>
      </w:r>
      <w:r>
        <w:rPr>
          <w:rStyle w:val="NormalTok"/>
        </w:rPr>
        <w:t xml:space="preserve">indices_2018_2024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which</w:t>
      </w:r>
      <w:r>
        <w:rPr>
          <w:rStyle w:val="NormalTok"/>
        </w:rPr>
        <w:t xml:space="preserve">(anio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StringTok"/>
        </w:rPr>
        <w:t>"2018"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anio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StringTok"/>
        </w:rPr>
        <w:t>"2024"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IPV_2018_2024 </w:t>
      </w:r>
      <w:r>
        <w:rPr>
          <w:rStyle w:val="OtherTok"/>
        </w:rPr>
        <w:t>=</w:t>
      </w:r>
      <w:r>
        <w:rPr>
          <w:rStyle w:val="NormalTok"/>
        </w:rPr>
        <w:t xml:space="preserve"> IPV[indices_2018_2024]</w:t>
      </w:r>
      <w:r>
        <w:br/>
      </w:r>
      <w:r>
        <w:rPr>
          <w:rStyle w:val="NormalTok"/>
        </w:rPr>
        <w:t xml:space="preserve">variacion_pct_2018_2024 </w:t>
      </w:r>
      <w:r>
        <w:rPr>
          <w:rStyle w:val="OtherTok"/>
        </w:rPr>
        <w:t>=</w:t>
      </w:r>
      <w:r>
        <w:rPr>
          <w:rStyle w:val="NormalTok"/>
        </w:rPr>
        <w:t xml:space="preserve"> variacion_pct[indices_2018_2024]</w:t>
      </w:r>
      <w:r>
        <w:br/>
      </w:r>
      <w:r>
        <w:rPr>
          <w:rStyle w:val="NormalTok"/>
        </w:rPr>
        <w:lastRenderedPageBreak/>
        <w:t xml:space="preserve">trimestre_2018_2024 </w:t>
      </w:r>
      <w:r>
        <w:rPr>
          <w:rStyle w:val="OtherTok"/>
        </w:rPr>
        <w:t>=</w:t>
      </w:r>
      <w:r>
        <w:rPr>
          <w:rStyle w:val="NormalTok"/>
        </w:rPr>
        <w:t xml:space="preserve"> trimestre[indices_2018_2024]</w:t>
      </w:r>
      <w:r>
        <w:br/>
      </w:r>
      <w:r>
        <w:br/>
      </w:r>
      <w:r>
        <w:rPr>
          <w:rStyle w:val="CommentTok"/>
        </w:rPr>
        <w:t># Calcular variaciones porcentuales trimestrales</w:t>
      </w:r>
      <w:r>
        <w:br/>
      </w:r>
      <w:r>
        <w:br/>
      </w:r>
      <w:r>
        <w:br/>
      </w:r>
      <w:r>
        <w:rPr>
          <w:rStyle w:val="NormalTok"/>
        </w:rPr>
        <w:t xml:space="preserve">df_trimestral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Trimestre =</w:t>
      </w:r>
      <w:r>
        <w:rPr>
          <w:rStyle w:val="NormalTok"/>
        </w:rPr>
        <w:t xml:space="preserve"> trimestre_2018_2024,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IPV =</w:t>
      </w:r>
      <w:r>
        <w:rPr>
          <w:rStyle w:val="NormalTok"/>
        </w:rPr>
        <w:t xml:space="preserve"> IPV_2018_2024,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Variacion =</w:t>
      </w:r>
      <w:r>
        <w:rPr>
          <w:rStyle w:val="NormalTok"/>
        </w:rPr>
        <w:t xml:space="preserve"> variacion_pct_2018_2024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(df_trimestral, </w:t>
      </w:r>
      <w:r>
        <w:rPr>
          <w:rStyle w:val="FunctionTok"/>
        </w:rPr>
        <w:t>ae</w:t>
      </w:r>
      <w:r>
        <w:rPr>
          <w:rStyle w:val="FunctionTok"/>
        </w:rPr>
        <w:t>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Trimestre, </w:t>
      </w:r>
      <w:r>
        <w:rPr>
          <w:rStyle w:val="AttributeTok"/>
        </w:rPr>
        <w:t>y =</w:t>
      </w:r>
      <w:r>
        <w:rPr>
          <w:rStyle w:val="NormalTok"/>
        </w:rPr>
        <w:t xml:space="preserve"> IPV, </w:t>
      </w:r>
      <w:r>
        <w:rPr>
          <w:rStyle w:val="AttributeTok"/>
        </w:rPr>
        <w:t>group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geom_line</w:t>
      </w:r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"darkgreen"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geom_point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"Evolución trimestral del IPV (2018-2024)"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"Trimestre"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"IPV"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axis.text.x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angle =</w:t>
      </w:r>
      <w:r>
        <w:rPr>
          <w:rStyle w:val="NormalTok"/>
        </w:rPr>
        <w:t xml:space="preserve"> </w:t>
      </w:r>
      <w:r>
        <w:rPr>
          <w:rStyle w:val="DecValTok"/>
        </w:rPr>
        <w:t>90</w:t>
      </w:r>
      <w:r>
        <w:rPr>
          <w:rStyle w:val="NormalTok"/>
        </w:rPr>
        <w:t xml:space="preserve">, 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))</w:t>
      </w:r>
    </w:p>
    <w:p w:rsidR="000B0295" w:rsidRDefault="001F7F70">
      <w:pPr>
        <w:pStyle w:val="FirstParagraph"/>
      </w:pPr>
      <w:r>
        <w:rPr>
          <w:noProof/>
          <w:lang w:val="es-ES" w:eastAsia="es-ES"/>
        </w:rPr>
        <w:drawing>
          <wp:inline distT="0" distB="0" distL="0" distR="0">
            <wp:extent cx="4620126" cy="3696101"/>
            <wp:effectExtent l="0" t="0" r="0" b="0"/>
            <wp:docPr id="2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IPV_files/figure-docx/evolución%20trimestral%202018-2024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0295" w:rsidRDefault="001F7F70">
      <w:pPr>
        <w:pStyle w:val="SourceCode"/>
      </w:pP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(df_trimestral,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Trimestre, </w:t>
      </w:r>
      <w:r>
        <w:rPr>
          <w:rStyle w:val="AttributeTok"/>
        </w:rPr>
        <w:t>y =</w:t>
      </w:r>
      <w:r>
        <w:rPr>
          <w:rStyle w:val="NormalTok"/>
        </w:rPr>
        <w:t xml:space="preserve"> Variacion, </w:t>
      </w:r>
      <w:r>
        <w:rPr>
          <w:rStyle w:val="AttributeTok"/>
        </w:rPr>
        <w:t>group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stat =</w:t>
      </w:r>
      <w:r>
        <w:rPr>
          <w:rStyle w:val="NormalTok"/>
        </w:rPr>
        <w:t xml:space="preserve"> </w:t>
      </w:r>
      <w:r>
        <w:rPr>
          <w:rStyle w:val="StringTok"/>
        </w:rPr>
        <w:t>"identity"</w:t>
      </w:r>
      <w:r>
        <w:rPr>
          <w:rStyle w:val="NormalTok"/>
        </w:rPr>
        <w:t xml:space="preserve">,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"orange"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"Variación porcentual trimestral del IPV (2018-2024)"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"Trimestre"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NormalTok"/>
        </w:rPr>
        <w:t xml:space="preserve">   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"Variación (%)"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axis.text.x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angle =</w:t>
      </w:r>
      <w:r>
        <w:rPr>
          <w:rStyle w:val="NormalTok"/>
        </w:rPr>
        <w:t xml:space="preserve"> </w:t>
      </w:r>
      <w:r>
        <w:rPr>
          <w:rStyle w:val="DecValTok"/>
        </w:rPr>
        <w:t>90</w:t>
      </w:r>
      <w:r>
        <w:rPr>
          <w:rStyle w:val="NormalTok"/>
        </w:rPr>
        <w:t xml:space="preserve">, 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))</w:t>
      </w:r>
    </w:p>
    <w:p w:rsidR="000B0295" w:rsidRDefault="001F7F70">
      <w:pPr>
        <w:pStyle w:val="FirstParagraph"/>
      </w:pPr>
      <w:r>
        <w:rPr>
          <w:noProof/>
          <w:lang w:val="es-ES" w:eastAsia="es-ES"/>
        </w:rPr>
        <w:lastRenderedPageBreak/>
        <w:drawing>
          <wp:inline distT="0" distB="0" distL="0" distR="0">
            <wp:extent cx="4620126" cy="3696101"/>
            <wp:effectExtent l="0" t="0" r="0" b="0"/>
            <wp:docPr id="2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IPV_files/figure-docx/evolución%20trimestral%202018-2024-2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0295" w:rsidRDefault="001F7F70">
      <w:pPr>
        <w:pStyle w:val="Textoindependiente"/>
      </w:pPr>
      <w:r>
        <w:t xml:space="preserve">El análisis trimestral del Índice de Precios de la Vivienda (IPV) en la Comunidad Valenciana entre 2018 y 2024 revela una tendencia claramente alcista, con un crecimiento sostenido y acelerado especialmente en los últimos trimestres del periodo analizado. </w:t>
      </w:r>
      <w:r>
        <w:t>El gráfico de la evolución trimestral muestra cómo, tras un inicio de ciclo con incrementos moderados, el IPV experimenta una subida cada vez más pronunciada a partir de 2021, alcanzando máximos históricos al cierre de 2024. Por su parte, la variación porc</w:t>
      </w:r>
      <w:r>
        <w:t xml:space="preserve">entual trimestral pone de manifiesto la existencia de cierta volatilidad, con algunos trimestres de crecimiento más moderado e incluso leves descensos, pero predominando los aumentos significativos, especialmente a partir de 2023, donde se observan varios </w:t>
      </w:r>
      <w:r>
        <w:t>trimestres con incrementos superiores al 2% e incluso picos cercanos al 5%. Estos datos reflejan un mercado inmobiliario muy dinámico y tensionado en la Comunidad Valenciana en los últimos años, con una demanda creciente que ha impulsado los precios de man</w:t>
      </w:r>
      <w:r>
        <w:t>era notable y sostenida, y que justifica la necesidad de ajustar los modelos predictivos a la nueva realidad del mercado.</w:t>
      </w:r>
    </w:p>
    <w:bookmarkEnd w:id="3"/>
    <w:bookmarkEnd w:id="1"/>
    <w:sectPr w:rsidR="000B0295"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CA92E8B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0295"/>
    <w:rsid w:val="000B0295"/>
    <w:rsid w:val="001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80C5218-A4E0-4AB4-B3A2-F9BB33B6C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II</vt:lpstr>
    </vt:vector>
  </TitlesOfParts>
  <Company/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II</dc:title>
  <dc:creator>Robert</dc:creator>
  <cp:keywords/>
  <cp:lastModifiedBy>Robert Torres Mingarro</cp:lastModifiedBy>
  <cp:revision>2</cp:revision>
  <dcterms:created xsi:type="dcterms:W3CDTF">2025-05-22T20:29:00Z</dcterms:created>
  <dcterms:modified xsi:type="dcterms:W3CDTF">2025-05-22T20:29:00Z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2025-03-27</vt:lpwstr>
  </property>
  <property fmtid="{D5CDD505-2E9C-101B-9397-08002B2CF9AE}" pid="3" name="output">
    <vt:lpwstr>word_document</vt:lpwstr>
  </property>
</Properties>
</file>