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44"/>
          <w:szCs w:val="44"/>
        </w:rPr>
      </w:pPr>
      <w:r>
        <w:rPr>
          <w:rFonts w:hint="eastAsia" w:ascii="黑体" w:hAnsi="黑体" w:eastAsia="黑体" w:cs="黑体"/>
          <w:sz w:val="44"/>
          <w:szCs w:val="44"/>
        </w:rPr>
        <w:t>实验三</w:t>
      </w:r>
      <w:r>
        <w:rPr>
          <w:rFonts w:hint="eastAsia" w:ascii="黑体" w:hAnsi="黑体" w:eastAsia="黑体" w:cs="黑体"/>
          <w:sz w:val="44"/>
          <w:szCs w:val="44"/>
          <w:lang w:eastAsia="zh-CN"/>
        </w:rPr>
        <w:t>：</w:t>
      </w:r>
      <w:r>
        <w:rPr>
          <w:rFonts w:hint="eastAsia" w:ascii="黑体" w:hAnsi="黑体" w:eastAsia="黑体" w:cs="黑体"/>
          <w:sz w:val="44"/>
          <w:szCs w:val="44"/>
        </w:rPr>
        <w:t>调幅信号的解调</w:t>
      </w:r>
    </w:p>
    <w:p>
      <w:pPr>
        <w:numPr>
          <w:ilvl w:val="0"/>
          <w:numId w:val="1"/>
        </w:numPr>
        <w:rPr>
          <w:rFonts w:hint="eastAsia" w:ascii="黑体" w:hAnsi="黑体" w:eastAsia="黑体" w:cs="黑体"/>
          <w:b w:val="0"/>
          <w:bCs w:val="0"/>
          <w:sz w:val="32"/>
          <w:szCs w:val="32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</w:rPr>
        <w:t>实验目的</w:t>
      </w:r>
    </w:p>
    <w:p>
      <w:pPr>
        <w:numPr>
          <w:ilvl w:val="0"/>
          <w:numId w:val="2"/>
        </w:numPr>
        <w:ind w:left="420" w:leftChars="0"/>
        <w:rPr>
          <w:rFonts w:hint="eastAsia" w:ascii="仿宋_GB2312" w:hAnsi="仿宋_GB2312" w:eastAsia="仿宋_GB2312" w:cs="仿宋_GB2312"/>
          <w:sz w:val="28"/>
          <w:szCs w:val="36"/>
          <w:lang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理解</w:t>
      </w:r>
      <w:r>
        <w:rPr>
          <w:rFonts w:hint="eastAsia" w:ascii="仿宋_GB2312" w:hAnsi="仿宋_GB2312" w:eastAsia="仿宋_GB2312" w:cs="仿宋_GB2312"/>
          <w:sz w:val="28"/>
          <w:szCs w:val="36"/>
        </w:rPr>
        <w:t>幅度解调的原理，掌握调幅信号的解调方法</w:t>
      </w:r>
      <w:r>
        <w:rPr>
          <w:rFonts w:hint="eastAsia" w:ascii="仿宋_GB2312" w:hAnsi="仿宋_GB2312" w:eastAsia="仿宋_GB2312" w:cs="仿宋_GB2312"/>
          <w:sz w:val="28"/>
          <w:szCs w:val="36"/>
          <w:lang w:eastAsia="zh-CN"/>
        </w:rPr>
        <w:t>。</w:t>
      </w:r>
    </w:p>
    <w:p>
      <w:pPr>
        <w:numPr>
          <w:ilvl w:val="0"/>
          <w:numId w:val="2"/>
        </w:numPr>
        <w:ind w:left="420" w:leftChars="0"/>
        <w:rPr>
          <w:rFonts w:hint="eastAsia" w:ascii="仿宋_GB2312" w:hAnsi="仿宋_GB2312" w:eastAsia="仿宋_GB2312" w:cs="仿宋_GB2312"/>
          <w:sz w:val="28"/>
          <w:szCs w:val="36"/>
        </w:rPr>
      </w:pPr>
      <w:r>
        <w:rPr>
          <w:rFonts w:hint="eastAsia" w:ascii="仿宋_GB2312" w:hAnsi="仿宋_GB2312" w:eastAsia="仿宋_GB2312" w:cs="仿宋_GB2312"/>
          <w:sz w:val="28"/>
          <w:szCs w:val="36"/>
        </w:rPr>
        <w:t>学习用集成模拟相乘器，实现同步检波的方法与电路</w:t>
      </w:r>
      <w:r>
        <w:rPr>
          <w:rFonts w:hint="eastAsia" w:ascii="仿宋_GB2312" w:hAnsi="仿宋_GB2312" w:eastAsia="仿宋_GB2312" w:cs="仿宋_GB2312"/>
          <w:sz w:val="28"/>
          <w:szCs w:val="36"/>
          <w:lang w:eastAsia="zh-CN"/>
        </w:rPr>
        <w:t>。</w:t>
      </w:r>
    </w:p>
    <w:p>
      <w:pPr>
        <w:numPr>
          <w:ilvl w:val="0"/>
          <w:numId w:val="2"/>
        </w:numPr>
        <w:ind w:left="420" w:leftChars="0"/>
        <w:rPr>
          <w:rFonts w:hint="eastAsia" w:ascii="仿宋_GB2312" w:hAnsi="仿宋_GB2312" w:eastAsia="仿宋_GB2312" w:cs="仿宋_GB2312"/>
          <w:sz w:val="28"/>
          <w:szCs w:val="36"/>
        </w:rPr>
      </w:pPr>
      <w:r>
        <w:rPr>
          <w:rFonts w:hint="eastAsia" w:ascii="仿宋_GB2312" w:hAnsi="仿宋_GB2312" w:eastAsia="仿宋_GB2312" w:cs="仿宋_GB2312"/>
          <w:sz w:val="28"/>
          <w:szCs w:val="36"/>
        </w:rPr>
        <w:t>研究二极管峰值包络检波的失真情况</w:t>
      </w:r>
      <w:r>
        <w:rPr>
          <w:rFonts w:hint="eastAsia" w:ascii="仿宋_GB2312" w:hAnsi="仿宋_GB2312" w:eastAsia="仿宋_GB2312" w:cs="仿宋_GB2312"/>
          <w:sz w:val="28"/>
          <w:szCs w:val="36"/>
          <w:lang w:eastAsia="zh-CN"/>
        </w:rPr>
        <w:t>。</w:t>
      </w:r>
    </w:p>
    <w:p>
      <w:pPr>
        <w:numPr>
          <w:ilvl w:val="0"/>
          <w:numId w:val="1"/>
        </w:numPr>
        <w:rPr>
          <w:rFonts w:hint="eastAsia" w:ascii="黑体" w:hAnsi="黑体" w:eastAsia="黑体" w:cs="黑体"/>
          <w:b w:val="0"/>
          <w:bCs w:val="0"/>
          <w:sz w:val="32"/>
          <w:szCs w:val="32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</w:rPr>
        <w:t>预习内容</w:t>
      </w:r>
    </w:p>
    <w:p>
      <w:pPr>
        <w:numPr>
          <w:ilvl w:val="0"/>
          <w:numId w:val="3"/>
        </w:numPr>
        <w:ind w:left="420" w:leftChars="0"/>
        <w:rPr>
          <w:rFonts w:hint="eastAsia" w:ascii="仿宋_GB2312" w:hAnsi="仿宋_GB2312" w:eastAsia="仿宋_GB2312" w:cs="仿宋_GB2312"/>
          <w:sz w:val="28"/>
          <w:szCs w:val="36"/>
          <w:lang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</w:rPr>
        <w:t>实现平方率</w: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检波</w:t>
      </w:r>
      <w:r>
        <w:rPr>
          <w:rFonts w:hint="eastAsia" w:ascii="仿宋_GB2312" w:hAnsi="仿宋_GB2312" w:eastAsia="仿宋_GB2312" w:cs="仿宋_GB2312"/>
          <w:sz w:val="28"/>
          <w:szCs w:val="36"/>
        </w:rPr>
        <w:t>同步</w: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检波</w:t>
      </w:r>
      <w:r>
        <w:rPr>
          <w:rFonts w:hint="eastAsia" w:ascii="仿宋_GB2312" w:hAnsi="仿宋_GB2312" w:eastAsia="仿宋_GB2312" w:cs="仿宋_GB2312"/>
          <w:sz w:val="28"/>
          <w:szCs w:val="36"/>
        </w:rPr>
        <w:t>以及峰值包络</w: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检波</w:t>
      </w:r>
      <w:r>
        <w:rPr>
          <w:rFonts w:hint="eastAsia" w:ascii="仿宋_GB2312" w:hAnsi="仿宋_GB2312" w:eastAsia="仿宋_GB2312" w:cs="仿宋_GB2312"/>
          <w:sz w:val="28"/>
          <w:szCs w:val="36"/>
        </w:rPr>
        <w:t>的框图或者简单的电路图</w:t>
      </w:r>
      <w:r>
        <w:rPr>
          <w:rFonts w:hint="eastAsia" w:ascii="仿宋_GB2312" w:hAnsi="仿宋_GB2312" w:eastAsia="仿宋_GB2312" w:cs="仿宋_GB2312"/>
          <w:sz w:val="28"/>
          <w:szCs w:val="36"/>
          <w:lang w:eastAsia="zh-CN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仿宋_GB2312" w:hAnsi="仿宋_GB2312" w:eastAsia="仿宋_GB2312" w:cs="仿宋_GB2312"/>
          <w:sz w:val="28"/>
          <w:szCs w:val="36"/>
          <w:lang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</w:rPr>
        <w:t>以下为简易框图</w:t>
      </w:r>
      <w:r>
        <w:rPr>
          <w:rFonts w:hint="eastAsia" w:ascii="仿宋_GB2312" w:hAnsi="仿宋_GB2312" w:eastAsia="仿宋_GB2312" w:cs="仿宋_GB2312"/>
          <w:sz w:val="28"/>
          <w:szCs w:val="36"/>
          <w:lang w:eastAsia="zh-CN"/>
        </w:rPr>
        <w:t>：</w:t>
      </w:r>
    </w:p>
    <w:p>
      <w:pPr>
        <w:numPr>
          <w:ilvl w:val="0"/>
          <w:numId w:val="0"/>
        </w:numPr>
        <w:jc w:val="center"/>
        <w:rPr>
          <w:rFonts w:hint="eastAsia" w:ascii="仿宋_GB2312" w:hAnsi="仿宋_GB2312" w:eastAsia="仿宋_GB2312" w:cs="仿宋_GB2312"/>
          <w:sz w:val="28"/>
          <w:szCs w:val="36"/>
          <w:lang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eastAsia="zh-CN"/>
        </w:rPr>
        <w:drawing>
          <wp:inline distT="0" distB="0" distL="114300" distR="114300">
            <wp:extent cx="5039995" cy="909955"/>
            <wp:effectExtent l="0" t="0" r="0" b="0"/>
            <wp:docPr id="1" name="图片 1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未命名文件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平方律检波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039995" cy="2071370"/>
            <wp:effectExtent l="0" t="0" r="0" b="0"/>
            <wp:docPr id="2" name="图片 2" descr="未命名文件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未命名文件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同步检波</w:t>
      </w:r>
    </w:p>
    <w:p>
      <w:pPr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039995" cy="2456180"/>
            <wp:effectExtent l="0" t="0" r="444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 w:ascii="宋体" w:hAnsi="宋体" w:cs="宋体" w:eastAsiaTheme="minorEastAsia"/>
          <w:kern w:val="0"/>
          <w:sz w:val="24"/>
          <w:szCs w:val="24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峰值包络检波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仿宋_GB2312" w:hAnsi="仿宋_GB2312" w:eastAsia="仿宋_GB2312" w:cs="仿宋_GB2312"/>
          <w:sz w:val="28"/>
          <w:szCs w:val="36"/>
          <w:lang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</w:rPr>
        <w:t>优缺点比较</w:t>
      </w:r>
      <w:r>
        <w:rPr>
          <w:rFonts w:hint="eastAsia" w:ascii="仿宋_GB2312" w:hAnsi="仿宋_GB2312" w:eastAsia="仿宋_GB2312" w:cs="仿宋_GB2312"/>
          <w:sz w:val="28"/>
          <w:szCs w:val="36"/>
          <w:lang w:eastAsia="zh-CN"/>
        </w:rPr>
        <w:t>：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</w:rPr>
        <w:t>平方律</w: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检波</w:t>
      </w:r>
      <w:r>
        <w:rPr>
          <w:rFonts w:hint="eastAsia" w:ascii="仿宋_GB2312" w:hAnsi="仿宋_GB2312" w:eastAsia="仿宋_GB2312" w:cs="仿宋_GB2312"/>
          <w:sz w:val="28"/>
          <w:szCs w:val="36"/>
        </w:rPr>
        <w:t>解调输出信号与输入信号幅度的平方成正比，解调输出的频谱不仅在</w: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Ωm</w:t>
      </w:r>
      <w:r>
        <w:rPr>
          <w:rFonts w:hint="eastAsia" w:ascii="仿宋_GB2312" w:hAnsi="仿宋_GB2312" w:eastAsia="仿宋_GB2312" w:cs="仿宋_GB2312"/>
          <w:sz w:val="28"/>
          <w:szCs w:val="36"/>
        </w:rPr>
        <w:t>到2</w: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Ωm出现了</w:t>
      </w:r>
      <w:r>
        <w:rPr>
          <w:rFonts w:hint="eastAsia" w:ascii="仿宋_GB2312" w:hAnsi="仿宋_GB2312" w:eastAsia="仿宋_GB2312" w:cs="仿宋_GB2312"/>
          <w:sz w:val="28"/>
          <w:szCs w:val="36"/>
        </w:rPr>
        <w:t>新的频率分量，而且在0~</w: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Ωm</w:t>
      </w:r>
      <w:r>
        <w:rPr>
          <w:rFonts w:hint="eastAsia" w:ascii="仿宋_GB2312" w:hAnsi="仿宋_GB2312" w:eastAsia="仿宋_GB2312" w:cs="仿宋_GB2312"/>
          <w:sz w:val="28"/>
          <w:szCs w:val="36"/>
        </w:rPr>
        <w:t>范围内的频谱结构也与</w: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原</w:t>
      </w:r>
      <w:r>
        <w:rPr>
          <w:rFonts w:hint="eastAsia" w:ascii="仿宋_GB2312" w:hAnsi="仿宋_GB2312" w:eastAsia="仿宋_GB2312" w:cs="仿宋_GB2312"/>
          <w:sz w:val="28"/>
          <w:szCs w:val="36"/>
        </w:rPr>
        <w:t>调制信号频谱结构不同，</w: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故</w:t>
      </w:r>
      <w:r>
        <w:rPr>
          <w:rFonts w:hint="eastAsia" w:ascii="仿宋_GB2312" w:hAnsi="仿宋_GB2312" w:eastAsia="仿宋_GB2312" w:cs="仿宋_GB2312"/>
          <w:sz w:val="28"/>
          <w:szCs w:val="36"/>
        </w:rPr>
        <w:t>解调过程必然产生</w: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失真</w:t>
      </w:r>
      <w:r>
        <w:rPr>
          <w:rFonts w:hint="eastAsia" w:ascii="仿宋_GB2312" w:hAnsi="仿宋_GB2312" w:eastAsia="仿宋_GB2312" w:cs="仿宋_GB2312"/>
          <w:sz w:val="28"/>
          <w:szCs w:val="36"/>
        </w:rPr>
        <w:t>，该方法通常仅用做</w: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功率指示。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 w:ascii="仿宋_GB2312" w:hAnsi="仿宋_GB2312" w:eastAsia="仿宋_GB2312" w:cs="仿宋_GB2312"/>
          <w:sz w:val="28"/>
          <w:szCs w:val="36"/>
        </w:rPr>
      </w:pPr>
      <w:r>
        <w:rPr>
          <w:rFonts w:hint="eastAsia" w:ascii="仿宋_GB2312" w:hAnsi="仿宋_GB2312" w:eastAsia="仿宋_GB2312" w:cs="仿宋_GB2312"/>
          <w:sz w:val="28"/>
          <w:szCs w:val="36"/>
        </w:rPr>
        <w:t>同步检波理论上该电路可对任何信号实现无失真解调，包括各种调制度的全载波调幅信号</w:t>
      </w:r>
      <w:r>
        <w:rPr>
          <w:rFonts w:hint="eastAsia" w:ascii="仿宋_GB2312" w:hAnsi="仿宋_GB2312" w:eastAsia="仿宋_GB2312" w:cs="仿宋_GB2312"/>
          <w:sz w:val="28"/>
          <w:szCs w:val="36"/>
          <w:lang w:eastAsia="zh-CN"/>
        </w:rPr>
        <w:t>，</w: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抑制载波</w:t>
      </w:r>
      <w:r>
        <w:rPr>
          <w:rFonts w:hint="eastAsia" w:ascii="仿宋_GB2312" w:hAnsi="仿宋_GB2312" w:eastAsia="仿宋_GB2312" w:cs="仿宋_GB2312"/>
          <w:sz w:val="28"/>
          <w:szCs w:val="36"/>
        </w:rPr>
        <w:t>的双边带调制信号</w:t>
      </w:r>
      <w:r>
        <w:rPr>
          <w:rFonts w:hint="eastAsia" w:ascii="仿宋_GB2312" w:hAnsi="仿宋_GB2312" w:eastAsia="仿宋_GB2312" w:cs="仿宋_GB2312"/>
          <w:sz w:val="28"/>
          <w:szCs w:val="36"/>
          <w:lang w:eastAsia="zh-CN"/>
        </w:rPr>
        <w:t>、</w: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残留边</w:t>
      </w:r>
      <w:r>
        <w:rPr>
          <w:rFonts w:hint="eastAsia" w:ascii="仿宋_GB2312" w:hAnsi="仿宋_GB2312" w:eastAsia="仿宋_GB2312" w:cs="仿宋_GB2312"/>
          <w:sz w:val="28"/>
          <w:szCs w:val="36"/>
        </w:rPr>
        <w:t>带调制信号</w:t>
      </w:r>
      <w:r>
        <w:rPr>
          <w:rFonts w:hint="eastAsia" w:ascii="仿宋_GB2312" w:hAnsi="仿宋_GB2312" w:eastAsia="仿宋_GB2312" w:cs="仿宋_GB2312"/>
          <w:sz w:val="28"/>
          <w:szCs w:val="36"/>
          <w:lang w:eastAsia="zh-CN"/>
        </w:rPr>
        <w:t>、</w:t>
      </w:r>
      <w:r>
        <w:rPr>
          <w:rFonts w:hint="eastAsia" w:ascii="仿宋_GB2312" w:hAnsi="仿宋_GB2312" w:eastAsia="仿宋_GB2312" w:cs="仿宋_GB2312"/>
          <w:sz w:val="28"/>
          <w:szCs w:val="36"/>
        </w:rPr>
        <w:t>单边带调幅信号</w: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等</w:t>
      </w:r>
      <w:r>
        <w:rPr>
          <w:rFonts w:hint="eastAsia" w:ascii="仿宋_GB2312" w:hAnsi="仿宋_GB2312" w:eastAsia="仿宋_GB2312" w:cs="仿宋_GB2312"/>
          <w:sz w:val="28"/>
          <w:szCs w:val="36"/>
        </w:rPr>
        <w:t>。缺点是实际工作中</w: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载波</w:t>
      </w:r>
      <w:r>
        <w:rPr>
          <w:rFonts w:hint="eastAsia" w:ascii="仿宋_GB2312" w:hAnsi="仿宋_GB2312" w:eastAsia="仿宋_GB2312" w:cs="仿宋_GB2312"/>
          <w:sz w:val="28"/>
          <w:szCs w:val="36"/>
        </w:rPr>
        <w:t>信号的</w: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提取</w:t>
      </w:r>
      <w:r>
        <w:rPr>
          <w:rFonts w:hint="eastAsia" w:ascii="仿宋_GB2312" w:hAnsi="仿宋_GB2312" w:eastAsia="仿宋_GB2312" w:cs="仿宋_GB2312"/>
          <w:sz w:val="28"/>
          <w:szCs w:val="36"/>
        </w:rPr>
        <w:t>比较麻烦。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 w:ascii="仿宋_GB2312" w:hAnsi="仿宋_GB2312" w:eastAsia="仿宋_GB2312" w:cs="仿宋_GB2312"/>
          <w:sz w:val="28"/>
          <w:szCs w:val="36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二</w:t>
      </w:r>
      <w:r>
        <w:rPr>
          <w:rFonts w:hint="eastAsia" w:ascii="仿宋_GB2312" w:hAnsi="仿宋_GB2312" w:eastAsia="仿宋_GB2312" w:cs="仿宋_GB2312"/>
          <w:sz w:val="28"/>
          <w:szCs w:val="36"/>
        </w:rPr>
        <w:t>极管风包络检</w: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波</w:t>
      </w:r>
      <w:r>
        <w:rPr>
          <w:rFonts w:hint="eastAsia" w:ascii="仿宋_GB2312" w:hAnsi="仿宋_GB2312" w:eastAsia="仿宋_GB2312" w:cs="仿宋_GB2312"/>
          <w:sz w:val="28"/>
          <w:szCs w:val="36"/>
        </w:rPr>
        <w:t>要求时间常数RC远大于输入条幅信号载波的周期，但又必须是小于调制信号的周期，否则会引起解调的失真</w:t>
      </w:r>
      <w:r>
        <w:rPr>
          <w:rFonts w:hint="eastAsia" w:ascii="仿宋_GB2312" w:hAnsi="仿宋_GB2312" w:eastAsia="仿宋_GB2312" w:cs="仿宋_GB2312"/>
          <w:sz w:val="28"/>
          <w:szCs w:val="36"/>
          <w:lang w:eastAsia="zh-CN"/>
        </w:rPr>
        <w:t>，</w:t>
      </w:r>
      <w:r>
        <w:rPr>
          <w:rFonts w:hint="eastAsia" w:ascii="仿宋_GB2312" w:hAnsi="仿宋_GB2312" w:eastAsia="仿宋_GB2312" w:cs="仿宋_GB2312"/>
          <w:sz w:val="28"/>
          <w:szCs w:val="36"/>
        </w:rPr>
        <w:t>二极管放置包络检波</w: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器须</w:t>
      </w:r>
      <w:r>
        <w:rPr>
          <w:rFonts w:hint="eastAsia" w:ascii="仿宋_GB2312" w:hAnsi="仿宋_GB2312" w:eastAsia="仿宋_GB2312" w:cs="仿宋_GB2312"/>
          <w:sz w:val="28"/>
          <w:szCs w:val="36"/>
        </w:rPr>
        <w:t>工作在输入条幅信号幅度较大的情况，否则将工作在二极管伏安特性的弯曲段，使其与幅度较大的部分工作状态不同，也将引起解调信号的失真，优点是电路简单易于实现</w:t>
      </w:r>
      <w:r>
        <w:rPr>
          <w:rFonts w:hint="eastAsia" w:ascii="仿宋_GB2312" w:hAnsi="仿宋_GB2312" w:eastAsia="仿宋_GB2312" w:cs="仿宋_GB2312"/>
          <w:sz w:val="28"/>
          <w:szCs w:val="36"/>
          <w:lang w:eastAsia="zh-CN"/>
        </w:rPr>
        <w:t>。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Vam=V(1+msin2Π*10^3t)sin2Π*10^5t</w:t>
      </w:r>
    </w:p>
    <w:p>
      <w:pPr>
        <w:ind w:firstLine="420" w:firstLineChars="0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</w:rPr>
        <w:t>不产生对角切割，式成则M满足公式</w: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: m^2&lt;&lt;1/(1+(RCΩ)^2)</w:t>
      </w:r>
    </w:p>
    <w:p>
      <w:pPr>
        <w:ind w:firstLine="420" w:firstLineChars="0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 xml:space="preserve">在m最大时，R=4.7kΩ  c=0.1mF  Ω=2Π*10^3rad/s  </w:t>
      </w:r>
    </w:p>
    <w:p>
      <w:pPr>
        <w:ind w:firstLine="420" w:firstLineChars="0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Mmax=31.6%</w:t>
      </w:r>
    </w:p>
    <w:p>
      <w:pPr>
        <w:numPr>
          <w:ilvl w:val="0"/>
          <w:numId w:val="1"/>
        </w:numP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试验仪器设备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双踪示波器、双路直流稳压电源（+12V~-8V）、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函数信号发生器（可产生子波、三角波及正弦波）、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高频信号发生器数字万用表，幅度调制与解调实验电路板</w:t>
      </w:r>
    </w:p>
    <w:p>
      <w:pPr>
        <w:numPr>
          <w:ilvl w:val="0"/>
          <w:numId w:val="1"/>
        </w:numP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实验数据整理</w:t>
      </w:r>
    </w:p>
    <w:p>
      <w:pPr>
        <w:numPr>
          <w:ilvl w:val="0"/>
          <w:numId w:val="5"/>
        </w:numPr>
        <w:ind w:leftChars="0" w:firstLine="420" w:firstLineChars="0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用模拟相乘器构成解调器</w:t>
      </w:r>
    </w:p>
    <w:p>
      <w:pPr>
        <w:numPr>
          <w:ilvl w:val="0"/>
          <w:numId w:val="6"/>
        </w:numPr>
        <w:ind w:left="420" w:leftChars="0" w:firstLine="420" w:firstLineChars="0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解调全载波、调幅信号图像如下</w:t>
      </w:r>
    </w:p>
    <w:p>
      <w:pPr>
        <w:numPr>
          <w:numId w:val="0"/>
        </w:numPr>
        <w:jc w:val="center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drawing>
          <wp:inline distT="0" distB="0" distL="114300" distR="114300">
            <wp:extent cx="3599815" cy="2643505"/>
            <wp:effectExtent l="0" t="0" r="12065" b="8255"/>
            <wp:docPr id="3" name="图片 3" descr="848580007766828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48580007766828599"/>
                    <pic:cNvPicPr>
                      <a:picLocks noChangeAspect="1"/>
                    </pic:cNvPicPr>
                  </pic:nvPicPr>
                  <pic:blipFill>
                    <a:blip r:embed="rId7"/>
                    <a:srcRect l="13564" t="25864" r="45081" b="3364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m=30%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图为</w:t>
      </w:r>
      <m:oMath>
        <m:r>
          <w:rPr>
            <w:rFonts w:hint="eastAsia" w:ascii="Cambria Math" w:hAnsi="Cambria Math"/>
            <w:sz w:val="28"/>
            <w:szCs w:val="28"/>
          </w:rPr>
          <m:t>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=30%</m:t>
        </m:r>
      </m:oMath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的解调波形，此时输出幅度约为</w:t>
      </w:r>
      <w:r>
        <w:rPr>
          <w:rFonts w:hint="eastAsia"/>
          <w:position w:val="-6"/>
          <w:sz w:val="28"/>
          <w:szCs w:val="28"/>
        </w:rPr>
        <w:object>
          <v:shape id="_x0000_i1027" o:spt="75" type="#_x0000_t75" style="height:13.8pt;width:42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KSEE3" ShapeID="_x0000_i1027" DrawAspect="Content" ObjectID="_1468075725" r:id="rId8">
            <o:LockedField>false</o:LockedField>
          </o:OLEObject>
        </w:objec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，对比调制信号发现，解调信号与调制信号基本一致，波形未失真。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ascii="等线" w:hAnsi="等线" w:eastAsia="等线" w:cs="等线"/>
          <w:position w:val="-124"/>
          <w:sz w:val="20"/>
          <w:szCs w:val="20"/>
        </w:rPr>
      </w:pPr>
      <w:r>
        <w:rPr>
          <w:rFonts w:ascii="等线" w:hAnsi="等线" w:eastAsia="等线" w:cs="等线"/>
          <w:position w:val="-124"/>
          <w:sz w:val="20"/>
          <w:szCs w:val="20"/>
        </w:rPr>
        <w:drawing>
          <wp:inline distT="0" distB="0" distL="0" distR="0">
            <wp:extent cx="3599815" cy="2726690"/>
            <wp:effectExtent l="0" t="0" r="12065" b="127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l="1747" t="17488" r="37321" b="2098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m=100%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如图为</w:t>
      </w:r>
      <m:oMath>
        <m:r>
          <m:rPr>
            <m:sty m:val="p"/>
          </m:rPr>
          <w:rPr>
            <w:rFonts w:hint="eastAsia" w:ascii="Cambria Math" w:hAnsi="Cambria Math" w:eastAsia="仿宋_GB2312" w:cs="仿宋_GB2312"/>
            <w:sz w:val="28"/>
            <w:szCs w:val="36"/>
            <w:lang w:val="en-US" w:eastAsia="zh-CN"/>
          </w:rPr>
          <m:t>m=100%</m:t>
        </m:r>
      </m:oMath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的解调波形，此时输出幅度约为</w: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object>
          <v:shape id="_x0000_i1028" o:spt="75" type="#_x0000_t75" style="height:13.8pt;width:46.8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Equation.KSEE3" ShapeID="_x0000_i1028" DrawAspect="Content" ObjectID="_1468075726" r:id="rId11">
            <o:LockedField>false</o:LockedField>
          </o:OLEObject>
        </w:objec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，对比调制信号发现，解调信号与调制信号基本一致，波形未失真。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ascii="等线" w:hAnsi="等线" w:eastAsia="等线" w:cs="等线"/>
          <w:position w:val="-124"/>
          <w:sz w:val="20"/>
          <w:szCs w:val="20"/>
        </w:rPr>
      </w:pPr>
      <w:r>
        <w:rPr>
          <w:rFonts w:ascii="等线" w:hAnsi="等线" w:eastAsia="等线" w:cs="等线"/>
          <w:position w:val="-124"/>
          <w:sz w:val="20"/>
          <w:szCs w:val="20"/>
        </w:rPr>
        <w:drawing>
          <wp:inline distT="0" distB="0" distL="0" distR="0">
            <wp:extent cx="3599815" cy="2691765"/>
            <wp:effectExtent l="0" t="0" r="12065" b="5715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 l="5540" t="15352" r="34108" b="2447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过调制时的解调波形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如图为过调制时的解调波形，此时输出幅度约为</w: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object>
          <v:shape id="_x0000_i1029" o:spt="75" type="#_x0000_t75" style="height:13.8pt;width:34.2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KSEE3" ShapeID="_x0000_i1029" DrawAspect="Content" ObjectID="_1468075727" r:id="rId14">
            <o:LockedField>false</o:LockedField>
          </o:OLEObject>
        </w:objec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，对比调制信号发现，解调信号与调制信号基本一致，波形未失真。</w:t>
      </w:r>
    </w:p>
    <w:p>
      <w:pPr>
        <w:numPr>
          <w:ilvl w:val="0"/>
          <w:numId w:val="6"/>
        </w:numPr>
        <w:ind w:left="420" w:leftChars="0" w:firstLine="420" w:firstLineChars="0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去掉C3’C4’M=30%的调幅波输入时的解调器输出波形</w:t>
      </w:r>
    </w:p>
    <w:p>
      <w:pPr>
        <w:numPr>
          <w:numId w:val="0"/>
        </w:numPr>
        <w:jc w:val="center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drawing>
          <wp:inline distT="0" distB="0" distL="114300" distR="114300">
            <wp:extent cx="3599815" cy="2108200"/>
            <wp:effectExtent l="0" t="0" r="12065" b="10160"/>
            <wp:docPr id="4" name="图片 4" descr="896890169488810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96890169488810225"/>
                    <pic:cNvPicPr>
                      <a:picLocks noChangeAspect="1"/>
                    </pic:cNvPicPr>
                  </pic:nvPicPr>
                  <pic:blipFill>
                    <a:blip r:embed="rId16"/>
                    <a:srcRect l="11237" t="18486" r="11526" b="2120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firstLine="420" w:firstLineChars="0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解调抑制载波的双边带调幅信号</w:t>
      </w:r>
    </w:p>
    <w:p>
      <w:pPr>
        <w:numPr>
          <w:numId w:val="0"/>
        </w:numPr>
        <w:jc w:val="center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ascii="等线" w:hAnsi="等线" w:eastAsia="等线" w:cs="等线"/>
          <w:position w:val="-124"/>
          <w:sz w:val="20"/>
          <w:szCs w:val="20"/>
        </w:rPr>
        <w:drawing>
          <wp:inline distT="0" distB="0" distL="0" distR="0">
            <wp:extent cx="3599815" cy="2752725"/>
            <wp:effectExtent l="0" t="0" r="12065" b="5715"/>
            <wp:docPr id="6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 l="6407" t="14758" r="33819" b="2429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firstLine="420" w:firstLineChars="0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去掉C3’C4’输出波形</w:t>
      </w:r>
    </w:p>
    <w:p>
      <w:pPr>
        <w:numPr>
          <w:numId w:val="0"/>
        </w:numPr>
        <w:jc w:val="center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drawing>
          <wp:inline distT="0" distB="0" distL="114300" distR="114300">
            <wp:extent cx="3599815" cy="2736850"/>
            <wp:effectExtent l="0" t="0" r="12065" b="6350"/>
            <wp:docPr id="7" name="图片 7" descr="186966641934692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86966641934692626"/>
                    <pic:cNvPicPr>
                      <a:picLocks noChangeAspect="1"/>
                    </pic:cNvPicPr>
                  </pic:nvPicPr>
                  <pic:blipFill>
                    <a:blip r:embed="rId17"/>
                    <a:srcRect l="8898" t="24128" r="51362" b="3558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420" w:firstLineChars="0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二极管峰值包络检波</w:t>
      </w:r>
    </w:p>
    <w:p>
      <w:pPr>
        <w:numPr>
          <w:ilvl w:val="0"/>
          <w:numId w:val="7"/>
        </w:numPr>
        <w:ind w:left="420" w:leftChars="0" w:firstLine="420" w:firstLineChars="0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解调全载波调幅信号</w:t>
      </w:r>
    </w:p>
    <w:p>
      <w:pPr>
        <w:numPr>
          <w:numId w:val="0"/>
        </w:numPr>
        <w:jc w:val="center"/>
        <w:rPr>
          <w:rFonts w:ascii="等线" w:hAnsi="等线" w:eastAsia="等线" w:cs="等线"/>
          <w:position w:val="-124"/>
          <w:sz w:val="20"/>
          <w:szCs w:val="20"/>
        </w:rPr>
      </w:pPr>
      <w:r>
        <w:rPr>
          <w:rFonts w:ascii="等线" w:hAnsi="等线" w:eastAsia="等线" w:cs="等线"/>
          <w:position w:val="-124"/>
          <w:sz w:val="20"/>
          <w:szCs w:val="20"/>
        </w:rPr>
        <w:drawing>
          <wp:inline distT="0" distB="0" distL="0" distR="0">
            <wp:extent cx="3599815" cy="2635885"/>
            <wp:effectExtent l="0" t="0" r="12065" b="635"/>
            <wp:docPr id="8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rcRect l="4516" t="14373" r="38625" b="3011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m≤30%的调幅波的检波</w:t>
      </w:r>
    </w:p>
    <w:p>
      <w:pPr>
        <w:jc w:val="center"/>
        <w:rPr>
          <w:rFonts w:ascii="等线" w:hAnsi="等线" w:eastAsia="等线" w:cs="等线"/>
          <w:position w:val="-124"/>
          <w:sz w:val="20"/>
          <w:szCs w:val="20"/>
        </w:rPr>
      </w:pPr>
      <w:r>
        <w:rPr>
          <w:rFonts w:ascii="等线" w:hAnsi="等线" w:eastAsia="等线" w:cs="等线"/>
          <w:position w:val="-124"/>
          <w:sz w:val="20"/>
          <w:szCs w:val="20"/>
        </w:rPr>
        <w:drawing>
          <wp:inline distT="0" distB="0" distL="0" distR="0">
            <wp:extent cx="3599815" cy="2902585"/>
            <wp:effectExtent l="0" t="0" r="12065" b="8255"/>
            <wp:docPr id="10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 l="2853" t="15931" r="39053" b="2370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f=</w:t>
      </w:r>
      <w:r>
        <w:rPr>
          <w:rFonts w:hint="eastAsia"/>
          <w:lang w:val="en-US" w:eastAsia="zh-CN"/>
        </w:rPr>
        <w:t>500K</w:t>
      </w:r>
      <w:r>
        <w:rPr>
          <w:rFonts w:hint="eastAsia"/>
          <w:lang w:eastAsia="zh-CN"/>
        </w:rPr>
        <w:t>Hz</w:t>
      </w:r>
    </w:p>
    <w:p>
      <w:pPr>
        <w:jc w:val="center"/>
        <w:rPr>
          <w:rFonts w:ascii="等线" w:hAnsi="等线" w:eastAsia="等线" w:cs="等线"/>
          <w:position w:val="-124"/>
          <w:sz w:val="20"/>
          <w:szCs w:val="20"/>
        </w:rPr>
      </w:pPr>
      <w:r>
        <w:rPr>
          <w:rFonts w:ascii="等线" w:hAnsi="等线" w:eastAsia="等线" w:cs="等线"/>
          <w:position w:val="-124"/>
          <w:sz w:val="20"/>
          <w:szCs w:val="20"/>
        </w:rPr>
        <w:drawing>
          <wp:inline distT="0" distB="0" distL="0" distR="0">
            <wp:extent cx="3599815" cy="2704465"/>
            <wp:effectExtent l="0" t="0" r="12065" b="8255"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rcRect l="10672" t="4256" r="21573" b="2788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并电容</w:t>
      </w:r>
      <w:r>
        <w:rPr>
          <w:rFonts w:hint="eastAsia"/>
          <w:lang w:val="en-US" w:eastAsia="zh-CN"/>
        </w:rPr>
        <w:t>C2</w:t>
      </w:r>
    </w:p>
    <w:p>
      <w:pPr>
        <w:jc w:val="center"/>
        <w:rPr>
          <w:rFonts w:ascii="等线" w:hAnsi="等线" w:eastAsia="等线" w:cs="等线"/>
          <w:position w:val="-124"/>
          <w:sz w:val="20"/>
          <w:szCs w:val="20"/>
        </w:rPr>
      </w:pPr>
      <w:r>
        <w:rPr>
          <w:rFonts w:ascii="等线" w:hAnsi="等线" w:eastAsia="等线" w:cs="等线"/>
          <w:position w:val="-124"/>
          <w:sz w:val="20"/>
          <w:szCs w:val="20"/>
        </w:rPr>
        <w:drawing>
          <wp:inline distT="0" distB="0" distL="0" distR="0">
            <wp:extent cx="3599815" cy="2554605"/>
            <wp:effectExtent l="0" t="0" r="12065" b="5715"/>
            <wp:docPr id="16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rcRect l="9770" t="30127" r="49861" b="31685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 w:ascii="等线" w:hAnsi="等线" w:cs="等线" w:eastAsiaTheme="minorEastAsia"/>
          <w:position w:val="-124"/>
          <w:sz w:val="20"/>
          <w:szCs w:val="20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m=100%</w:t>
      </w:r>
    </w:p>
    <w:p>
      <w:pPr>
        <w:numPr>
          <w:ilvl w:val="0"/>
          <w:numId w:val="7"/>
        </w:numPr>
        <w:ind w:left="420" w:leftChars="0" w:firstLine="420" w:firstLineChars="0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解调抑制载波的双边带调幅信号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载波信号不变，将调制信号幅度调至300</w: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object>
          <v:shape id="_x0000_i1033" o:spt="75" type="#_x0000_t75" style="height:13.8pt;width:22.2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3" ShapeID="_x0000_i1033" DrawAspect="Content" ObjectID="_1468075728" r:id="rId22">
            <o:LockedField>false</o:LockedField>
          </o:OLEObject>
        </w:objec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，调节</w: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object>
          <v:shape id="_x0000_i1034" o:spt="75" type="#_x0000_t75" style="height:16.8pt;width:1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3" ShapeID="_x0000_i1034" DrawAspect="Content" ObjectID="_1468075729" r:id="rId24">
            <o:LockedField>false</o:LockedField>
          </o:OLEObject>
        </w:object>
      </w: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，使调制器输出为抑制载波的双边带调幅信号，然后加至包络检波器输入端，观察并记录检波输出波形，并与调制信号相比较。</w:t>
      </w:r>
    </w:p>
    <w:p>
      <w:pPr>
        <w:numPr>
          <w:numId w:val="0"/>
        </w:numPr>
        <w:jc w:val="center"/>
        <w:rPr>
          <w:rFonts w:ascii="等线" w:hAnsi="等线" w:eastAsia="等线" w:cs="等线"/>
          <w:position w:val="-124"/>
          <w:sz w:val="20"/>
          <w:szCs w:val="20"/>
        </w:rPr>
      </w:pPr>
      <w:r>
        <w:rPr>
          <w:rFonts w:ascii="等线" w:hAnsi="等线" w:eastAsia="等线" w:cs="等线"/>
          <w:position w:val="-124"/>
          <w:sz w:val="20"/>
          <w:szCs w:val="20"/>
        </w:rPr>
        <w:drawing>
          <wp:inline distT="0" distB="0" distL="0" distR="0">
            <wp:extent cx="3599815" cy="2618740"/>
            <wp:effectExtent l="0" t="0" r="12065" b="2540"/>
            <wp:docPr id="12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rcRect l="13405" t="27011" r="41395" b="2914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jc w:val="center"/>
        <w:rPr>
          <w:rFonts w:hint="eastAsia" w:ascii="等线" w:hAnsi="等线" w:cs="等线" w:eastAsiaTheme="minorEastAsia"/>
          <w:position w:val="-124"/>
          <w:sz w:val="20"/>
          <w:szCs w:val="20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>二极管峰值包络检波的解调波形</w:t>
      </w:r>
    </w:p>
    <w:p>
      <w:pPr>
        <w:numPr>
          <w:ilvl w:val="0"/>
          <w:numId w:val="1"/>
        </w:numP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思考题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（一）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1.可用同步解调实现无失真解调，因为FC与调幅器频率相同，当中比较小且φ不等于1/2Π时</w:t>
      </w:r>
      <w:bookmarkStart w:id="0" w:name="_GoBack"/>
      <w:bookmarkEnd w:id="0"/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可实现无失真解调。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2.不能实现无失真解调。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3.如果φ=0则可以实现，不等于0则产生失真。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4.不能实现无失真解调。</w:t>
      </w:r>
    </w:p>
    <w:p>
      <w:pPr>
        <w:numPr>
          <w:ilvl w:val="0"/>
          <w:numId w:val="0"/>
        </w:numPr>
        <w:ind w:firstLine="420" w:firstLineChars="0"/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36"/>
          <w:lang w:val="en-US" w:eastAsia="zh-CN"/>
        </w:rPr>
        <w:t>（二）为抑制载波的调幅波包括部反映调制信号的波形，所以不能用二极管峰值包络检波。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9AB467"/>
    <w:multiLevelType w:val="singleLevel"/>
    <w:tmpl w:val="819AB46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8DFEB3D"/>
    <w:multiLevelType w:val="singleLevel"/>
    <w:tmpl w:val="A8DFEB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ECDEADE"/>
    <w:multiLevelType w:val="singleLevel"/>
    <w:tmpl w:val="AECDEAD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B6F4C487"/>
    <w:multiLevelType w:val="singleLevel"/>
    <w:tmpl w:val="B6F4C487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4">
    <w:nsid w:val="D0855F22"/>
    <w:multiLevelType w:val="singleLevel"/>
    <w:tmpl w:val="D0855F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303A1CA5"/>
    <w:multiLevelType w:val="singleLevel"/>
    <w:tmpl w:val="303A1CA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5BFEEFB"/>
    <w:multiLevelType w:val="singleLevel"/>
    <w:tmpl w:val="45BFEEFB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5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8D099C"/>
    <w:rsid w:val="2D8D099C"/>
    <w:rsid w:val="430B5408"/>
    <w:rsid w:val="73AA1016"/>
    <w:rsid w:val="75743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wmf"/><Relationship Id="rId8" Type="http://schemas.openxmlformats.org/officeDocument/2006/relationships/oleObject" Target="embeddings/oleObject1.bin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8.jpeg"/><Relationship Id="rId25" Type="http://schemas.openxmlformats.org/officeDocument/2006/relationships/image" Target="media/image17.wmf"/><Relationship Id="rId24" Type="http://schemas.openxmlformats.org/officeDocument/2006/relationships/oleObject" Target="embeddings/oleObject5.bin"/><Relationship Id="rId23" Type="http://schemas.openxmlformats.org/officeDocument/2006/relationships/image" Target="media/image16.wmf"/><Relationship Id="rId22" Type="http://schemas.openxmlformats.org/officeDocument/2006/relationships/oleObject" Target="embeddings/oleObject4.bin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wmf"/><Relationship Id="rId14" Type="http://schemas.openxmlformats.org/officeDocument/2006/relationships/oleObject" Target="embeddings/oleObject3.bin"/><Relationship Id="rId13" Type="http://schemas.openxmlformats.org/officeDocument/2006/relationships/image" Target="media/image8.jpeg"/><Relationship Id="rId12" Type="http://schemas.openxmlformats.org/officeDocument/2006/relationships/image" Target="media/image7.wmf"/><Relationship Id="rId11" Type="http://schemas.openxmlformats.org/officeDocument/2006/relationships/oleObject" Target="embeddings/oleObject2.bin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2020-12-08T16:55:00Z</dcterms:created>
  <dc:creator>Noria</dc:creator>
  <cp:lastModifiedBy>Goo-goo eyes</cp:lastModifiedBy>
  <dcterms:modified xsi:type="dcterms:W3CDTF">2020-12-17T15:14:35Z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