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</w:p>
    <w:p/>
    <w:p/>
    <w:p>
      <w:pPr>
        <w:jc w:val="center"/>
      </w:pPr>
      <w:r>
        <w:rPr>
          <w:b/>
          <w:color w:val="FF6B35"/>
          <w:sz w:val="64"/>
        </w:rPr>
        <w:t>IAB BRASIL</w:t>
      </w:r>
    </w:p>
    <w:p>
      <w:pPr>
        <w:jc w:val="center"/>
      </w:pPr>
      <w:r>
        <w:rPr>
          <w:b/>
          <w:color w:val="0F172A"/>
          <w:sz w:val="36"/>
        </w:rPr>
        <w:t>Análise Diagnóstica de CRM Email Marketing</w:t>
      </w:r>
    </w:p>
    <w:p/>
    <w:p>
      <w:pPr>
        <w:jc w:val="center"/>
      </w:pPr>
      <w:r>
        <w:rPr>
          <w:b/>
          <w:color w:val="666666"/>
          <w:sz w:val="22"/>
        </w:rPr>
        <w:t xml:space="preserve">Agência: </w:t>
      </w:r>
      <w:r>
        <w:rPr>
          <w:color w:val="333333"/>
          <w:sz w:val="22"/>
        </w:rPr>
        <w:t>Ivoire Agency</w:t>
      </w:r>
    </w:p>
    <w:p>
      <w:pPr>
        <w:jc w:val="center"/>
      </w:pPr>
      <w:r>
        <w:rPr>
          <w:b/>
          <w:color w:val="666666"/>
          <w:sz w:val="22"/>
        </w:rPr>
        <w:t xml:space="preserve">Fontes de Dados: </w:t>
      </w:r>
      <w:r>
        <w:rPr>
          <w:color w:val="333333"/>
          <w:sz w:val="22"/>
        </w:rPr>
        <w:t>RD Station CRM (MCP) + Google Analytics 4</w:t>
      </w:r>
    </w:p>
    <w:p>
      <w:pPr>
        <w:jc w:val="center"/>
      </w:pPr>
      <w:r>
        <w:rPr>
          <w:b/>
          <w:color w:val="666666"/>
          <w:sz w:val="22"/>
        </w:rPr>
        <w:t xml:space="preserve">Período de Análise: </w:t>
      </w:r>
      <w:r>
        <w:rPr>
          <w:color w:val="333333"/>
          <w:sz w:val="22"/>
        </w:rPr>
        <w:t>12 meses (Março 2025 – Março 2026)</w:t>
      </w:r>
    </w:p>
    <w:p>
      <w:pPr>
        <w:jc w:val="center"/>
      </w:pPr>
      <w:r>
        <w:rPr>
          <w:b/>
          <w:color w:val="666666"/>
          <w:sz w:val="22"/>
        </w:rPr>
        <w:t xml:space="preserve">Data de Geração: </w:t>
      </w:r>
      <w:r>
        <w:rPr>
          <w:color w:val="333333"/>
          <w:sz w:val="22"/>
        </w:rPr>
        <w:t>03 de March de 2026</w:t>
      </w:r>
    </w:p>
    <w:p>
      <w:pPr>
        <w:jc w:val="center"/>
      </w:pPr>
      <w:r>
        <w:rPr>
          <w:b/>
          <w:color w:val="666666"/>
          <w:sz w:val="22"/>
        </w:rPr>
        <w:t xml:space="preserve">Analista: </w:t>
      </w:r>
      <w:r>
        <w:rPr>
          <w:color w:val="333333"/>
          <w:sz w:val="22"/>
        </w:rPr>
        <w:t>Claude AI × Ivoire Analytics</w:t>
      </w:r>
    </w:p>
    <w:p>
      <w:r>
        <w:br w:type="page"/>
      </w:r>
    </w:p>
    <w:p>
      <w:pPr>
        <w:spacing w:before="280" w:after="120"/>
        <w:jc w:val="left"/>
      </w:pPr>
      <w:r>
        <w:rPr>
          <w:b/>
          <w:color w:val="FF6B35"/>
          <w:sz w:val="32"/>
        </w:rPr>
        <w:t>Sumário Executivo</w:t>
      </w:r>
    </w:p>
    <w:p>
      <w:r>
        <w:rPr>
          <w:b w:val="0"/>
          <w:i w:val="0"/>
          <w:color w:val="333333"/>
          <w:sz w:val="21"/>
        </w:rPr>
        <w:t>Esta análise diagnóstica avalia o desempenho de CRM Email Marketing do IAB Brasil com base em dados integrados do RD Station CRM e Google Analytics 4, cobrindo os últimos 12 meses. Os dados revelam um canal de email marketing altamente eficiente, com métricas de engajamento excepcionais e oportunidades estratégicas claras.</w:t>
      </w:r>
    </w:p>
    <w:p/>
    <w:p>
      <w:pPr>
        <w:spacing w:before="160"/>
        <w:jc w:val="left"/>
      </w:pPr>
      <w:r>
        <w:rPr>
          <w:b/>
          <w:color w:val="0F172A"/>
          <w:sz w:val="26"/>
        </w:rPr>
        <w:t>Métricas-Chave do Período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0F17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Métrica</w:t>
            </w:r>
          </w:p>
        </w:tc>
        <w:tc>
          <w:tcPr>
            <w:tcW w:type="dxa" w:w="3135"/>
            <w:shd w:val="clear" w:color="auto" w:fill="0F17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Valor</w:t>
            </w:r>
          </w:p>
        </w:tc>
        <w:tc>
          <w:tcPr>
            <w:tcW w:type="dxa" w:w="3135"/>
            <w:shd w:val="clear" w:color="auto" w:fill="0F17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Contexto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jc w:val="left"/>
            </w:pPr>
            <w:r>
              <w:rPr>
                <w:color w:val="333333"/>
                <w:sz w:val="18"/>
              </w:rPr>
              <w:t>Sessões via Email (12m)</w:t>
            </w:r>
          </w:p>
        </w:tc>
        <w:tc>
          <w:tcPr>
            <w:tcW w:type="dxa" w:w="3135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19,335</w:t>
            </w:r>
          </w:p>
        </w:tc>
        <w:tc>
          <w:tcPr>
            <w:tcW w:type="dxa" w:w="3135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3º maior canal do site</w:t>
            </w:r>
          </w:p>
        </w:tc>
      </w:tr>
      <w:tr>
        <w:tc>
          <w:tcPr>
            <w:tcW w:type="dxa" w:w="3135"/>
            <w:shd w:val="clear" w:color="auto" w:fill="F0F4F8"/>
          </w:tcPr>
          <w:p>
            <w:pPr>
              <w:jc w:val="left"/>
            </w:pPr>
            <w:r>
              <w:rPr>
                <w:color w:val="333333"/>
                <w:sz w:val="18"/>
              </w:rPr>
              <w:t>Share do Canal Email</w:t>
            </w:r>
          </w:p>
        </w:tc>
        <w:tc>
          <w:tcPr>
            <w:tcW w:type="dxa" w:w="3135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17.7%</w:t>
            </w:r>
          </w:p>
        </w:tc>
        <w:tc>
          <w:tcPr>
            <w:tcW w:type="dxa" w:w="3135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dos 109,186 acessos totais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jc w:val="left"/>
            </w:pPr>
            <w:r>
              <w:rPr>
                <w:color w:val="333333"/>
                <w:sz w:val="18"/>
              </w:rPr>
              <w:t>Taxa de Rejeição Email</w:t>
            </w:r>
          </w:p>
        </w:tc>
        <w:tc>
          <w:tcPr>
            <w:tcW w:type="dxa" w:w="3135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10.1%</w:t>
            </w:r>
          </w:p>
        </w:tc>
        <w:tc>
          <w:tcPr>
            <w:tcW w:type="dxa" w:w="3135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Benchmark mercado: 35-55%</w:t>
            </w:r>
          </w:p>
        </w:tc>
      </w:tr>
      <w:tr>
        <w:tc>
          <w:tcPr>
            <w:tcW w:type="dxa" w:w="3135"/>
            <w:shd w:val="clear" w:color="auto" w:fill="F0F4F8"/>
          </w:tcPr>
          <w:p>
            <w:pPr>
              <w:jc w:val="left"/>
            </w:pPr>
            <w:r>
              <w:rPr>
                <w:color w:val="333333"/>
                <w:sz w:val="18"/>
              </w:rPr>
              <w:t>Duração Média Sessão</w:t>
            </w:r>
          </w:p>
        </w:tc>
        <w:tc>
          <w:tcPr>
            <w:tcW w:type="dxa" w:w="3135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82s</w:t>
            </w:r>
          </w:p>
        </w:tc>
        <w:tc>
          <w:tcPr>
            <w:tcW w:type="dxa" w:w="3135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Alta intenção dos visitantes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jc w:val="left"/>
            </w:pPr>
            <w:r>
              <w:rPr>
                <w:color w:val="333333"/>
                <w:sz w:val="18"/>
              </w:rPr>
              <w:t>Mês Pico</w:t>
            </w:r>
          </w:p>
        </w:tc>
        <w:tc>
          <w:tcPr>
            <w:tcW w:type="dxa" w:w="3135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08/2025 (4,013 sessões)</w:t>
            </w:r>
          </w:p>
        </w:tc>
        <w:tc>
          <w:tcPr>
            <w:tcW w:type="dxa" w:w="3135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Campanha IAB IA Summit</w:t>
            </w:r>
          </w:p>
        </w:tc>
      </w:tr>
      <w:tr>
        <w:tc>
          <w:tcPr>
            <w:tcW w:type="dxa" w:w="3135"/>
            <w:shd w:val="clear" w:color="auto" w:fill="F0F4F8"/>
          </w:tcPr>
          <w:p>
            <w:pPr>
              <w:jc w:val="left"/>
            </w:pPr>
            <w:r>
              <w:rPr>
                <w:color w:val="333333"/>
                <w:sz w:val="18"/>
              </w:rPr>
              <w:t>Campanhas UTM identificadas</w:t>
            </w:r>
          </w:p>
        </w:tc>
        <w:tc>
          <w:tcPr>
            <w:tcW w:type="dxa" w:w="3135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50</w:t>
            </w:r>
          </w:p>
        </w:tc>
        <w:tc>
          <w:tcPr>
            <w:tcW w:type="dxa" w:w="3135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7 categorias distintas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jc w:val="left"/>
            </w:pPr>
            <w:r>
              <w:rPr>
                <w:color w:val="333333"/>
                <w:sz w:val="18"/>
              </w:rPr>
              <w:t>Contatos no CRM</w:t>
            </w:r>
          </w:p>
        </w:tc>
        <w:tc>
          <w:tcPr>
            <w:tcW w:type="dxa" w:w="3135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524</w:t>
            </w:r>
          </w:p>
        </w:tc>
        <w:tc>
          <w:tcPr>
            <w:tcW w:type="dxa" w:w="3135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Base ativa no RD Station CRM</w:t>
            </w:r>
          </w:p>
        </w:tc>
      </w:tr>
      <w:tr>
        <w:tc>
          <w:tcPr>
            <w:tcW w:type="dxa" w:w="3135"/>
            <w:shd w:val="clear" w:color="auto" w:fill="F0F4F8"/>
          </w:tcPr>
          <w:p>
            <w:pPr>
              <w:jc w:val="left"/>
            </w:pPr>
            <w:r>
              <w:rPr>
                <w:color w:val="333333"/>
                <w:sz w:val="18"/>
              </w:rPr>
              <w:t>Deals no Pipeline</w:t>
            </w:r>
          </w:p>
        </w:tc>
        <w:tc>
          <w:tcPr>
            <w:tcW w:type="dxa" w:w="3135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72</w:t>
            </w:r>
          </w:p>
        </w:tc>
        <w:tc>
          <w:tcPr>
            <w:tcW w:type="dxa" w:w="3135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Funil Associação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jc w:val="left"/>
            </w:pPr>
            <w:r>
              <w:rPr>
                <w:color w:val="333333"/>
                <w:sz w:val="18"/>
              </w:rPr>
              <w:t>Produtos no Catálogo</w:t>
            </w:r>
          </w:p>
        </w:tc>
        <w:tc>
          <w:tcPr>
            <w:tcW w:type="dxa" w:w="3135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105</w:t>
            </w:r>
          </w:p>
        </w:tc>
        <w:tc>
          <w:tcPr>
            <w:tcW w:type="dxa" w:w="3135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Cursos, Eventos, Memberships, Patrocínios</w:t>
            </w:r>
          </w:p>
        </w:tc>
      </w:tr>
    </w:tbl>
    <w:p/>
    <w:p>
      <w:pPr>
        <w:spacing w:before="160"/>
        <w:jc w:val="left"/>
      </w:pPr>
      <w:r>
        <w:rPr>
          <w:b/>
          <w:color w:val="0F172A"/>
          <w:sz w:val="26"/>
        </w:rPr>
        <w:t>Principais Conclusões</w:t>
      </w:r>
    </w:p>
    <w:p>
      <w:pPr>
        <w:pStyle w:val="ListBullet"/>
      </w:pPr>
      <w:r>
        <w:rPr>
          <w:color w:val="333333"/>
          <w:sz w:val="21"/>
        </w:rPr>
        <w:t>Email é o 3º maior canal com 19,335 sessões (17.7% do total) — superando redes sociais e mídia paga</w:t>
      </w:r>
    </w:p>
    <w:p>
      <w:pPr>
        <w:pStyle w:val="ListBullet"/>
      </w:pPr>
      <w:r>
        <w:rPr>
          <w:color w:val="333333"/>
          <w:sz w:val="21"/>
        </w:rPr>
        <w:t>Taxa de rejeição excepcionalmente baixa de 10.1% vs. 35-55% do mercado de email B2B</w:t>
      </w:r>
    </w:p>
    <w:p>
      <w:pPr>
        <w:pStyle w:val="ListBullet"/>
      </w:pPr>
      <w:r>
        <w:rPr>
          <w:color w:val="333333"/>
          <w:sz w:val="21"/>
        </w:rPr>
        <w:t>Pico de tráfego em Agosto 2025 correlaciona com campanhas do IAB IA Summit — eventos são o principal driver</w:t>
      </w:r>
    </w:p>
    <w:p>
      <w:pPr>
        <w:pStyle w:val="ListBullet"/>
      </w:pPr>
      <w:r>
        <w:rPr>
          <w:color w:val="333333"/>
          <w:sz w:val="21"/>
        </w:rPr>
        <w:t>7 categorias de campanhas identificadas: AdTech &amp; Branding, Newsletter, IA Summit, RelGov, Cursos, Associação e Outros</w:t>
      </w:r>
    </w:p>
    <w:p>
      <w:pPr>
        <w:pStyle w:val="ListBullet"/>
      </w:pPr>
      <w:r>
        <w:rPr>
          <w:color w:val="333333"/>
          <w:sz w:val="21"/>
        </w:rPr>
        <w:t>CRM com 524 contatos, 72 deals ativos e pipeline estruturado no funil Associação</w:t>
      </w:r>
    </w:p>
    <w:p>
      <w:pPr>
        <w:pStyle w:val="ListBullet"/>
      </w:pPr>
      <w:r>
        <w:rPr>
          <w:color w:val="333333"/>
          <w:sz w:val="21"/>
        </w:rPr>
        <w:t>Oportunidade crítica: padronização de UTMs para garantir 100% de atribuição no GA4</w:t>
      </w:r>
    </w:p>
    <w:p>
      <w:pPr>
        <w:pStyle w:val="ListBullet"/>
      </w:pPr>
      <w:r>
        <w:rPr>
          <w:color w:val="333333"/>
          <w:sz w:val="21"/>
        </w:rPr>
        <w:t>Timing ideal identificado: quinta-feira e sexta-feira com pico às 11h e 14h</w:t>
      </w:r>
    </w:p>
    <w:p>
      <w:r>
        <w:br w:type="page"/>
      </w:r>
    </w:p>
    <w:p>
      <w:pPr>
        <w:spacing w:before="280" w:after="120"/>
        <w:jc w:val="left"/>
      </w:pPr>
      <w:r>
        <w:rPr>
          <w:b/>
          <w:color w:val="FF6B35"/>
          <w:sz w:val="32"/>
        </w:rPr>
        <w:t>1. Análise de Tráfego Email — Google Analytics 4</w:t>
      </w:r>
    </w:p>
    <w:p>
      <w:pPr>
        <w:spacing w:before="160"/>
        <w:jc w:val="left"/>
      </w:pPr>
      <w:r>
        <w:rPr>
          <w:b/>
          <w:color w:val="0F172A"/>
          <w:sz w:val="26"/>
        </w:rPr>
        <w:t>1.1 Comparativo de Canais (12 meses)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0F17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Canal</w:t>
            </w:r>
          </w:p>
        </w:tc>
        <w:tc>
          <w:tcPr>
            <w:tcW w:type="dxa" w:w="1568"/>
            <w:shd w:val="clear" w:color="auto" w:fill="0F17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Sessões</w:t>
            </w:r>
          </w:p>
        </w:tc>
        <w:tc>
          <w:tcPr>
            <w:tcW w:type="dxa" w:w="1568"/>
            <w:shd w:val="clear" w:color="auto" w:fill="0F17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Share %</w:t>
            </w:r>
          </w:p>
        </w:tc>
        <w:tc>
          <w:tcPr>
            <w:tcW w:type="dxa" w:w="1568"/>
            <w:shd w:val="clear" w:color="auto" w:fill="0F17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Bounce Rate</w:t>
            </w:r>
          </w:p>
        </w:tc>
        <w:tc>
          <w:tcPr>
            <w:tcW w:type="dxa" w:w="1568"/>
            <w:shd w:val="clear" w:color="auto" w:fill="0F17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Duração Média</w:t>
            </w:r>
          </w:p>
        </w:tc>
        <w:tc>
          <w:tcPr>
            <w:tcW w:type="dxa" w:w="1568"/>
            <w:shd w:val="clear" w:color="auto" w:fill="0F17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Conversões</w:t>
            </w:r>
          </w:p>
        </w:tc>
      </w:tr>
      <w:tr>
        <w:tc>
          <w:tcPr>
            <w:tcW w:type="dxa" w:w="1568"/>
            <w:shd w:val="clear" w:color="auto" w:fill="FFFFFF"/>
          </w:tcPr>
          <w:p>
            <w:pPr>
              <w:jc w:val="left"/>
            </w:pPr>
            <w:r>
              <w:rPr>
                <w:color w:val="333333"/>
                <w:sz w:val="18"/>
              </w:rPr>
              <w:t>Organic Search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41,382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37.9%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13.5%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254s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180822</w:t>
            </w:r>
          </w:p>
        </w:tc>
      </w:tr>
      <w:tr>
        <w:tc>
          <w:tcPr>
            <w:tcW w:type="dxa" w:w="1568"/>
            <w:shd w:val="clear" w:color="auto" w:fill="F0F4F8"/>
          </w:tcPr>
          <w:p>
            <w:pPr>
              <w:jc w:val="left"/>
            </w:pPr>
            <w:r>
              <w:rPr>
                <w:color w:val="333333"/>
                <w:sz w:val="18"/>
              </w:rPr>
              <w:t>Direct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30,987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28.4%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7.4%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168s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111408</w:t>
            </w:r>
          </w:p>
        </w:tc>
      </w:tr>
      <w:tr>
        <w:tc>
          <w:tcPr>
            <w:tcW w:type="dxa" w:w="1568"/>
            <w:shd w:val="clear" w:color="auto" w:fill="FFFFFF"/>
          </w:tcPr>
          <w:p>
            <w:pPr>
              <w:jc w:val="left"/>
            </w:pPr>
            <w:r>
              <w:rPr>
                <w:color w:val="333333"/>
                <w:sz w:val="18"/>
              </w:rPr>
              <w:t>Email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19,335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17.7%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10.1%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82s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54365</w:t>
            </w:r>
          </w:p>
        </w:tc>
      </w:tr>
      <w:tr>
        <w:tc>
          <w:tcPr>
            <w:tcW w:type="dxa" w:w="1568"/>
            <w:shd w:val="clear" w:color="auto" w:fill="F0F4F8"/>
          </w:tcPr>
          <w:p>
            <w:pPr>
              <w:jc w:val="left"/>
            </w:pPr>
            <w:r>
              <w:rPr>
                <w:color w:val="333333"/>
                <w:sz w:val="18"/>
              </w:rPr>
              <w:t>Referral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7,794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7.1%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13.2%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220s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27655</w:t>
            </w:r>
          </w:p>
        </w:tc>
      </w:tr>
      <w:tr>
        <w:tc>
          <w:tcPr>
            <w:tcW w:type="dxa" w:w="1568"/>
            <w:shd w:val="clear" w:color="auto" w:fill="FFFFFF"/>
          </w:tcPr>
          <w:p>
            <w:pPr>
              <w:jc w:val="left"/>
            </w:pPr>
            <w:r>
              <w:rPr>
                <w:color w:val="333333"/>
                <w:sz w:val="18"/>
              </w:rPr>
              <w:t>Unassigned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5,760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5.3%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14.0%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137s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14619</w:t>
            </w:r>
          </w:p>
        </w:tc>
      </w:tr>
      <w:tr>
        <w:tc>
          <w:tcPr>
            <w:tcW w:type="dxa" w:w="1568"/>
            <w:shd w:val="clear" w:color="auto" w:fill="F0F4F8"/>
          </w:tcPr>
          <w:p>
            <w:pPr>
              <w:jc w:val="left"/>
            </w:pPr>
            <w:r>
              <w:rPr>
                <w:color w:val="333333"/>
                <w:sz w:val="18"/>
              </w:rPr>
              <w:t>Organic Social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3,584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3.3%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7.0%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169s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11013</w:t>
            </w:r>
          </w:p>
        </w:tc>
      </w:tr>
      <w:tr>
        <w:tc>
          <w:tcPr>
            <w:tcW w:type="dxa" w:w="1568"/>
            <w:shd w:val="clear" w:color="auto" w:fill="FFFFFF"/>
          </w:tcPr>
          <w:p>
            <w:pPr>
              <w:jc w:val="left"/>
            </w:pPr>
            <w:r>
              <w:rPr>
                <w:color w:val="333333"/>
                <w:sz w:val="18"/>
              </w:rPr>
              <w:t>Paid Search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265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0.2%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0.0%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46s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560</w:t>
            </w:r>
          </w:p>
        </w:tc>
      </w:tr>
      <w:tr>
        <w:tc>
          <w:tcPr>
            <w:tcW w:type="dxa" w:w="1568"/>
            <w:shd w:val="clear" w:color="auto" w:fill="F0F4F8"/>
          </w:tcPr>
          <w:p>
            <w:pPr>
              <w:jc w:val="left"/>
            </w:pPr>
            <w:r>
              <w:rPr>
                <w:color w:val="333333"/>
                <w:sz w:val="18"/>
              </w:rPr>
              <w:t>Organic Video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61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0.1%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9.8%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215s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298</w:t>
            </w:r>
          </w:p>
        </w:tc>
      </w:tr>
      <w:tr>
        <w:tc>
          <w:tcPr>
            <w:tcW w:type="dxa" w:w="1568"/>
            <w:shd w:val="clear" w:color="auto" w:fill="FFFFFF"/>
          </w:tcPr>
          <w:p>
            <w:pPr>
              <w:jc w:val="left"/>
            </w:pPr>
            <w:r>
              <w:rPr>
                <w:color w:val="333333"/>
                <w:sz w:val="18"/>
              </w:rPr>
              <w:t>Paid Social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8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0.0%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0.0%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32s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22</w:t>
            </w:r>
          </w:p>
        </w:tc>
      </w:tr>
      <w:tr>
        <w:tc>
          <w:tcPr>
            <w:tcW w:type="dxa" w:w="1568"/>
            <w:shd w:val="clear" w:color="auto" w:fill="F0F4F8"/>
          </w:tcPr>
          <w:p>
            <w:pPr>
              <w:jc w:val="left"/>
            </w:pPr>
            <w:r>
              <w:rPr>
                <w:color w:val="333333"/>
                <w:sz w:val="18"/>
              </w:rPr>
              <w:t>Paid Other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6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0.0%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0.0%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0s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6</w:t>
            </w:r>
          </w:p>
        </w:tc>
      </w:tr>
      <w:tr>
        <w:tc>
          <w:tcPr>
            <w:tcW w:type="dxa" w:w="1568"/>
            <w:shd w:val="clear" w:color="auto" w:fill="FFFFFF"/>
          </w:tcPr>
          <w:p>
            <w:pPr>
              <w:jc w:val="left"/>
            </w:pPr>
            <w:r>
              <w:rPr>
                <w:color w:val="333333"/>
                <w:sz w:val="18"/>
              </w:rPr>
              <w:t>Organic Shopping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4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0.0%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0.0%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478s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23</w:t>
            </w:r>
          </w:p>
        </w:tc>
      </w:tr>
    </w:tbl>
    <w:p/>
    <w:p>
      <w:pPr>
        <w:spacing w:before="160"/>
        <w:jc w:val="left"/>
      </w:pPr>
      <w:r>
        <w:rPr>
          <w:b/>
          <w:color w:val="0F172A"/>
          <w:sz w:val="26"/>
        </w:rPr>
        <w:t>1.2 Tendência Mensal do Canal Email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shd w:val="clear" w:color="auto" w:fill="0F17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Mês</w:t>
            </w:r>
          </w:p>
        </w:tc>
        <w:tc>
          <w:tcPr>
            <w:tcW w:type="dxa" w:w="1344"/>
            <w:shd w:val="clear" w:color="auto" w:fill="0F17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Sessões</w:t>
            </w:r>
          </w:p>
        </w:tc>
        <w:tc>
          <w:tcPr>
            <w:tcW w:type="dxa" w:w="1344"/>
            <w:shd w:val="clear" w:color="auto" w:fill="0F17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Usuários</w:t>
            </w:r>
          </w:p>
        </w:tc>
        <w:tc>
          <w:tcPr>
            <w:tcW w:type="dxa" w:w="1344"/>
            <w:shd w:val="clear" w:color="auto" w:fill="0F17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Novos</w:t>
            </w:r>
          </w:p>
        </w:tc>
        <w:tc>
          <w:tcPr>
            <w:tcW w:type="dxa" w:w="1344"/>
            <w:shd w:val="clear" w:color="auto" w:fill="0F17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Bounce Rate</w:t>
            </w:r>
          </w:p>
        </w:tc>
        <w:tc>
          <w:tcPr>
            <w:tcW w:type="dxa" w:w="1344"/>
            <w:shd w:val="clear" w:color="auto" w:fill="0F17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Duração Méd.</w:t>
            </w:r>
          </w:p>
        </w:tc>
        <w:tc>
          <w:tcPr>
            <w:tcW w:type="dxa" w:w="1344"/>
            <w:shd w:val="clear" w:color="auto" w:fill="0F17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Page Views</w:t>
            </w:r>
          </w:p>
        </w:tc>
      </w:tr>
      <w:tr>
        <w:tc>
          <w:tcPr>
            <w:tcW w:type="dxa" w:w="1344"/>
            <w:shd w:val="clear" w:color="auto" w:fill="FFFFFF"/>
          </w:tcPr>
          <w:p>
            <w:pPr>
              <w:jc w:val="left"/>
            </w:pPr>
            <w:r>
              <w:rPr>
                <w:color w:val="333333"/>
                <w:sz w:val="18"/>
              </w:rPr>
              <w:t>03/2025</w:t>
            </w:r>
          </w:p>
        </w:tc>
        <w:tc>
          <w:tcPr>
            <w:tcW w:type="dxa" w:w="1344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686</w:t>
            </w:r>
          </w:p>
        </w:tc>
        <w:tc>
          <w:tcPr>
            <w:tcW w:type="dxa" w:w="1344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441</w:t>
            </w:r>
          </w:p>
        </w:tc>
        <w:tc>
          <w:tcPr>
            <w:tcW w:type="dxa" w:w="1344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291</w:t>
            </w:r>
          </w:p>
        </w:tc>
        <w:tc>
          <w:tcPr>
            <w:tcW w:type="dxa" w:w="1344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10.5%</w:t>
            </w:r>
          </w:p>
        </w:tc>
        <w:tc>
          <w:tcPr>
            <w:tcW w:type="dxa" w:w="1344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193s</w:t>
            </w:r>
          </w:p>
        </w:tc>
        <w:tc>
          <w:tcPr>
            <w:tcW w:type="dxa" w:w="1344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1,178</w:t>
            </w:r>
          </w:p>
        </w:tc>
      </w:tr>
      <w:tr>
        <w:tc>
          <w:tcPr>
            <w:tcW w:type="dxa" w:w="1344"/>
            <w:shd w:val="clear" w:color="auto" w:fill="F0F4F8"/>
          </w:tcPr>
          <w:p>
            <w:pPr>
              <w:jc w:val="left"/>
            </w:pPr>
            <w:r>
              <w:rPr>
                <w:color w:val="333333"/>
                <w:sz w:val="18"/>
              </w:rPr>
              <w:t>04/2025</w:t>
            </w:r>
          </w:p>
        </w:tc>
        <w:tc>
          <w:tcPr>
            <w:tcW w:type="dxa" w:w="1344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1,498</w:t>
            </w:r>
          </w:p>
        </w:tc>
        <w:tc>
          <w:tcPr>
            <w:tcW w:type="dxa" w:w="1344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969</w:t>
            </w:r>
          </w:p>
        </w:tc>
        <w:tc>
          <w:tcPr>
            <w:tcW w:type="dxa" w:w="1344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729</w:t>
            </w:r>
          </w:p>
        </w:tc>
        <w:tc>
          <w:tcPr>
            <w:tcW w:type="dxa" w:w="1344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11.0%</w:t>
            </w:r>
          </w:p>
        </w:tc>
        <w:tc>
          <w:tcPr>
            <w:tcW w:type="dxa" w:w="1344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176s</w:t>
            </w:r>
          </w:p>
        </w:tc>
        <w:tc>
          <w:tcPr>
            <w:tcW w:type="dxa" w:w="1344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2,169</w:t>
            </w:r>
          </w:p>
        </w:tc>
      </w:tr>
      <w:tr>
        <w:tc>
          <w:tcPr>
            <w:tcW w:type="dxa" w:w="1344"/>
            <w:shd w:val="clear" w:color="auto" w:fill="FFFFFF"/>
          </w:tcPr>
          <w:p>
            <w:pPr>
              <w:jc w:val="left"/>
            </w:pPr>
            <w:r>
              <w:rPr>
                <w:color w:val="333333"/>
                <w:sz w:val="18"/>
              </w:rPr>
              <w:t>05/2025</w:t>
            </w:r>
          </w:p>
        </w:tc>
        <w:tc>
          <w:tcPr>
            <w:tcW w:type="dxa" w:w="1344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1,264</w:t>
            </w:r>
          </w:p>
        </w:tc>
        <w:tc>
          <w:tcPr>
            <w:tcW w:type="dxa" w:w="1344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834</w:t>
            </w:r>
          </w:p>
        </w:tc>
        <w:tc>
          <w:tcPr>
            <w:tcW w:type="dxa" w:w="1344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668</w:t>
            </w:r>
          </w:p>
        </w:tc>
        <w:tc>
          <w:tcPr>
            <w:tcW w:type="dxa" w:w="1344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10.6%</w:t>
            </w:r>
          </w:p>
        </w:tc>
        <w:tc>
          <w:tcPr>
            <w:tcW w:type="dxa" w:w="1344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135s</w:t>
            </w:r>
          </w:p>
        </w:tc>
        <w:tc>
          <w:tcPr>
            <w:tcW w:type="dxa" w:w="1344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1,718</w:t>
            </w:r>
          </w:p>
        </w:tc>
      </w:tr>
      <w:tr>
        <w:tc>
          <w:tcPr>
            <w:tcW w:type="dxa" w:w="1344"/>
            <w:shd w:val="clear" w:color="auto" w:fill="F0F4F8"/>
          </w:tcPr>
          <w:p>
            <w:pPr>
              <w:jc w:val="left"/>
            </w:pPr>
            <w:r>
              <w:rPr>
                <w:color w:val="333333"/>
                <w:sz w:val="18"/>
              </w:rPr>
              <w:t>06/2025</w:t>
            </w:r>
          </w:p>
        </w:tc>
        <w:tc>
          <w:tcPr>
            <w:tcW w:type="dxa" w:w="1344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1,172</w:t>
            </w:r>
          </w:p>
        </w:tc>
        <w:tc>
          <w:tcPr>
            <w:tcW w:type="dxa" w:w="1344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820</w:t>
            </w:r>
          </w:p>
        </w:tc>
        <w:tc>
          <w:tcPr>
            <w:tcW w:type="dxa" w:w="1344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651</w:t>
            </w:r>
          </w:p>
        </w:tc>
        <w:tc>
          <w:tcPr>
            <w:tcW w:type="dxa" w:w="1344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11.1%</w:t>
            </w:r>
          </w:p>
        </w:tc>
        <w:tc>
          <w:tcPr>
            <w:tcW w:type="dxa" w:w="1344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137s</w:t>
            </w:r>
          </w:p>
        </w:tc>
        <w:tc>
          <w:tcPr>
            <w:tcW w:type="dxa" w:w="1344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1,659</w:t>
            </w:r>
          </w:p>
        </w:tc>
      </w:tr>
      <w:tr>
        <w:tc>
          <w:tcPr>
            <w:tcW w:type="dxa" w:w="1344"/>
            <w:shd w:val="clear" w:color="auto" w:fill="FFFFFF"/>
          </w:tcPr>
          <w:p>
            <w:pPr>
              <w:jc w:val="left"/>
            </w:pPr>
            <w:r>
              <w:rPr>
                <w:color w:val="333333"/>
                <w:sz w:val="18"/>
              </w:rPr>
              <w:t>07/2025</w:t>
            </w:r>
          </w:p>
        </w:tc>
        <w:tc>
          <w:tcPr>
            <w:tcW w:type="dxa" w:w="1344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1,306</w:t>
            </w:r>
          </w:p>
        </w:tc>
        <w:tc>
          <w:tcPr>
            <w:tcW w:type="dxa" w:w="1344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1,084</w:t>
            </w:r>
          </w:p>
        </w:tc>
        <w:tc>
          <w:tcPr>
            <w:tcW w:type="dxa" w:w="1344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950</w:t>
            </w:r>
          </w:p>
        </w:tc>
        <w:tc>
          <w:tcPr>
            <w:tcW w:type="dxa" w:w="1344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5.8%</w:t>
            </w:r>
          </w:p>
        </w:tc>
        <w:tc>
          <w:tcPr>
            <w:tcW w:type="dxa" w:w="1344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74s</w:t>
            </w:r>
          </w:p>
        </w:tc>
        <w:tc>
          <w:tcPr>
            <w:tcW w:type="dxa" w:w="1344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1,812</w:t>
            </w:r>
          </w:p>
        </w:tc>
      </w:tr>
      <w:tr>
        <w:tc>
          <w:tcPr>
            <w:tcW w:type="dxa" w:w="1344"/>
            <w:shd w:val="clear" w:color="auto" w:fill="F0F4F8"/>
          </w:tcPr>
          <w:p>
            <w:pPr>
              <w:jc w:val="left"/>
            </w:pPr>
            <w:r>
              <w:rPr>
                <w:color w:val="333333"/>
                <w:sz w:val="18"/>
              </w:rPr>
              <w:t>08/2025</w:t>
            </w:r>
          </w:p>
        </w:tc>
        <w:tc>
          <w:tcPr>
            <w:tcW w:type="dxa" w:w="1344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4,013</w:t>
            </w:r>
          </w:p>
        </w:tc>
        <w:tc>
          <w:tcPr>
            <w:tcW w:type="dxa" w:w="1344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3,493</w:t>
            </w:r>
          </w:p>
        </w:tc>
        <w:tc>
          <w:tcPr>
            <w:tcW w:type="dxa" w:w="1344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3,298</w:t>
            </w:r>
          </w:p>
        </w:tc>
        <w:tc>
          <w:tcPr>
            <w:tcW w:type="dxa" w:w="1344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2.9%</w:t>
            </w:r>
          </w:p>
        </w:tc>
        <w:tc>
          <w:tcPr>
            <w:tcW w:type="dxa" w:w="1344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61s</w:t>
            </w:r>
          </w:p>
        </w:tc>
        <w:tc>
          <w:tcPr>
            <w:tcW w:type="dxa" w:w="1344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5,614</w:t>
            </w:r>
          </w:p>
        </w:tc>
      </w:tr>
      <w:tr>
        <w:tc>
          <w:tcPr>
            <w:tcW w:type="dxa" w:w="1344"/>
            <w:shd w:val="clear" w:color="auto" w:fill="FFFFFF"/>
          </w:tcPr>
          <w:p>
            <w:pPr>
              <w:jc w:val="left"/>
            </w:pPr>
            <w:r>
              <w:rPr>
                <w:color w:val="333333"/>
                <w:sz w:val="18"/>
              </w:rPr>
              <w:t>09/2025</w:t>
            </w:r>
          </w:p>
        </w:tc>
        <w:tc>
          <w:tcPr>
            <w:tcW w:type="dxa" w:w="1344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3,651</w:t>
            </w:r>
          </w:p>
        </w:tc>
        <w:tc>
          <w:tcPr>
            <w:tcW w:type="dxa" w:w="1344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2,139</w:t>
            </w:r>
          </w:p>
        </w:tc>
        <w:tc>
          <w:tcPr>
            <w:tcW w:type="dxa" w:w="1344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1,818</w:t>
            </w:r>
          </w:p>
        </w:tc>
        <w:tc>
          <w:tcPr>
            <w:tcW w:type="dxa" w:w="1344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5.7%</w:t>
            </w:r>
          </w:p>
        </w:tc>
        <w:tc>
          <w:tcPr>
            <w:tcW w:type="dxa" w:w="1344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185s</w:t>
            </w:r>
          </w:p>
        </w:tc>
        <w:tc>
          <w:tcPr>
            <w:tcW w:type="dxa" w:w="1344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5,461</w:t>
            </w:r>
          </w:p>
        </w:tc>
      </w:tr>
      <w:tr>
        <w:tc>
          <w:tcPr>
            <w:tcW w:type="dxa" w:w="1344"/>
            <w:shd w:val="clear" w:color="auto" w:fill="F0F4F8"/>
          </w:tcPr>
          <w:p>
            <w:pPr>
              <w:jc w:val="left"/>
            </w:pPr>
            <w:r>
              <w:rPr>
                <w:color w:val="333333"/>
                <w:sz w:val="18"/>
              </w:rPr>
              <w:t>10/2025</w:t>
            </w:r>
          </w:p>
        </w:tc>
        <w:tc>
          <w:tcPr>
            <w:tcW w:type="dxa" w:w="1344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744</w:t>
            </w:r>
          </w:p>
        </w:tc>
        <w:tc>
          <w:tcPr>
            <w:tcW w:type="dxa" w:w="1344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405</w:t>
            </w:r>
          </w:p>
        </w:tc>
        <w:tc>
          <w:tcPr>
            <w:tcW w:type="dxa" w:w="1344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274</w:t>
            </w:r>
          </w:p>
        </w:tc>
        <w:tc>
          <w:tcPr>
            <w:tcW w:type="dxa" w:w="1344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10.8%</w:t>
            </w:r>
          </w:p>
        </w:tc>
        <w:tc>
          <w:tcPr>
            <w:tcW w:type="dxa" w:w="1344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182s</w:t>
            </w:r>
          </w:p>
        </w:tc>
        <w:tc>
          <w:tcPr>
            <w:tcW w:type="dxa" w:w="1344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1,283</w:t>
            </w:r>
          </w:p>
        </w:tc>
      </w:tr>
      <w:tr>
        <w:tc>
          <w:tcPr>
            <w:tcW w:type="dxa" w:w="1344"/>
            <w:shd w:val="clear" w:color="auto" w:fill="FFFFFF"/>
          </w:tcPr>
          <w:p>
            <w:pPr>
              <w:jc w:val="left"/>
            </w:pPr>
            <w:r>
              <w:rPr>
                <w:color w:val="333333"/>
                <w:sz w:val="18"/>
              </w:rPr>
              <w:t>11/2025</w:t>
            </w:r>
          </w:p>
        </w:tc>
        <w:tc>
          <w:tcPr>
            <w:tcW w:type="dxa" w:w="1344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289</w:t>
            </w:r>
          </w:p>
        </w:tc>
        <w:tc>
          <w:tcPr>
            <w:tcW w:type="dxa" w:w="1344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172</w:t>
            </w:r>
          </w:p>
        </w:tc>
        <w:tc>
          <w:tcPr>
            <w:tcW w:type="dxa" w:w="1344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116</w:t>
            </w:r>
          </w:p>
        </w:tc>
        <w:tc>
          <w:tcPr>
            <w:tcW w:type="dxa" w:w="1344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11.8%</w:t>
            </w:r>
          </w:p>
        </w:tc>
        <w:tc>
          <w:tcPr>
            <w:tcW w:type="dxa" w:w="1344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144s</w:t>
            </w:r>
          </w:p>
        </w:tc>
        <w:tc>
          <w:tcPr>
            <w:tcW w:type="dxa" w:w="1344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471</w:t>
            </w:r>
          </w:p>
        </w:tc>
      </w:tr>
      <w:tr>
        <w:tc>
          <w:tcPr>
            <w:tcW w:type="dxa" w:w="1344"/>
            <w:shd w:val="clear" w:color="auto" w:fill="F0F4F8"/>
          </w:tcPr>
          <w:p>
            <w:pPr>
              <w:jc w:val="left"/>
            </w:pPr>
            <w:r>
              <w:rPr>
                <w:color w:val="333333"/>
                <w:sz w:val="18"/>
              </w:rPr>
              <w:t>12/2025</w:t>
            </w:r>
          </w:p>
        </w:tc>
        <w:tc>
          <w:tcPr>
            <w:tcW w:type="dxa" w:w="1344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644</w:t>
            </w:r>
          </w:p>
        </w:tc>
        <w:tc>
          <w:tcPr>
            <w:tcW w:type="dxa" w:w="1344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465</w:t>
            </w:r>
          </w:p>
        </w:tc>
        <w:tc>
          <w:tcPr>
            <w:tcW w:type="dxa" w:w="1344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401</w:t>
            </w:r>
          </w:p>
        </w:tc>
        <w:tc>
          <w:tcPr>
            <w:tcW w:type="dxa" w:w="1344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7.8%</w:t>
            </w:r>
          </w:p>
        </w:tc>
        <w:tc>
          <w:tcPr>
            <w:tcW w:type="dxa" w:w="1344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159s</w:t>
            </w:r>
          </w:p>
        </w:tc>
        <w:tc>
          <w:tcPr>
            <w:tcW w:type="dxa" w:w="1344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958</w:t>
            </w:r>
          </w:p>
        </w:tc>
      </w:tr>
      <w:tr>
        <w:tc>
          <w:tcPr>
            <w:tcW w:type="dxa" w:w="1344"/>
            <w:shd w:val="clear" w:color="auto" w:fill="FFFFFF"/>
          </w:tcPr>
          <w:p>
            <w:pPr>
              <w:jc w:val="left"/>
            </w:pPr>
            <w:r>
              <w:rPr>
                <w:color w:val="333333"/>
                <w:sz w:val="18"/>
              </w:rPr>
              <w:t>01/2026</w:t>
            </w:r>
          </w:p>
        </w:tc>
        <w:tc>
          <w:tcPr>
            <w:tcW w:type="dxa" w:w="1344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2,152</w:t>
            </w:r>
          </w:p>
        </w:tc>
        <w:tc>
          <w:tcPr>
            <w:tcW w:type="dxa" w:w="1344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1,829</w:t>
            </w:r>
          </w:p>
        </w:tc>
        <w:tc>
          <w:tcPr>
            <w:tcW w:type="dxa" w:w="1344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1,685</w:t>
            </w:r>
          </w:p>
        </w:tc>
        <w:tc>
          <w:tcPr>
            <w:tcW w:type="dxa" w:w="1344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4.3%</w:t>
            </w:r>
          </w:p>
        </w:tc>
        <w:tc>
          <w:tcPr>
            <w:tcW w:type="dxa" w:w="1344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68s</w:t>
            </w:r>
          </w:p>
        </w:tc>
        <w:tc>
          <w:tcPr>
            <w:tcW w:type="dxa" w:w="1344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468</w:t>
            </w:r>
          </w:p>
        </w:tc>
      </w:tr>
      <w:tr>
        <w:tc>
          <w:tcPr>
            <w:tcW w:type="dxa" w:w="1344"/>
            <w:shd w:val="clear" w:color="auto" w:fill="F0F4F8"/>
          </w:tcPr>
          <w:p>
            <w:pPr>
              <w:jc w:val="left"/>
            </w:pPr>
            <w:r>
              <w:rPr>
                <w:color w:val="333333"/>
                <w:sz w:val="18"/>
              </w:rPr>
              <w:t>02/2026</w:t>
            </w:r>
          </w:p>
        </w:tc>
        <w:tc>
          <w:tcPr>
            <w:tcW w:type="dxa" w:w="1344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1,803</w:t>
            </w:r>
          </w:p>
        </w:tc>
        <w:tc>
          <w:tcPr>
            <w:tcW w:type="dxa" w:w="1344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1,267</w:t>
            </w:r>
          </w:p>
        </w:tc>
        <w:tc>
          <w:tcPr>
            <w:tcW w:type="dxa" w:w="1344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1,073</w:t>
            </w:r>
          </w:p>
        </w:tc>
        <w:tc>
          <w:tcPr>
            <w:tcW w:type="dxa" w:w="1344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8.2%</w:t>
            </w:r>
          </w:p>
        </w:tc>
        <w:tc>
          <w:tcPr>
            <w:tcW w:type="dxa" w:w="1344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99s</w:t>
            </w:r>
          </w:p>
        </w:tc>
        <w:tc>
          <w:tcPr>
            <w:tcW w:type="dxa" w:w="1344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678</w:t>
            </w:r>
          </w:p>
        </w:tc>
      </w:tr>
      <w:tr>
        <w:tc>
          <w:tcPr>
            <w:tcW w:type="dxa" w:w="1344"/>
            <w:shd w:val="clear" w:color="auto" w:fill="FFFFFF"/>
          </w:tcPr>
          <w:p>
            <w:pPr>
              <w:jc w:val="left"/>
            </w:pPr>
            <w:r>
              <w:rPr>
                <w:color w:val="333333"/>
                <w:sz w:val="18"/>
              </w:rPr>
              <w:t>03/2026</w:t>
            </w:r>
          </w:p>
        </w:tc>
        <w:tc>
          <w:tcPr>
            <w:tcW w:type="dxa" w:w="1344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211</w:t>
            </w:r>
          </w:p>
        </w:tc>
        <w:tc>
          <w:tcPr>
            <w:tcW w:type="dxa" w:w="1344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183</w:t>
            </w:r>
          </w:p>
        </w:tc>
        <w:tc>
          <w:tcPr>
            <w:tcW w:type="dxa" w:w="1344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158</w:t>
            </w:r>
          </w:p>
        </w:tc>
        <w:tc>
          <w:tcPr>
            <w:tcW w:type="dxa" w:w="1344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4.7%</w:t>
            </w:r>
          </w:p>
        </w:tc>
        <w:tc>
          <w:tcPr>
            <w:tcW w:type="dxa" w:w="1344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47s</w:t>
            </w:r>
          </w:p>
        </w:tc>
        <w:tc>
          <w:tcPr>
            <w:tcW w:type="dxa" w:w="1344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64</w:t>
            </w:r>
          </w:p>
        </w:tc>
      </w:tr>
    </w:tbl>
    <w:p/>
    <w:p>
      <w:pPr>
        <w:spacing w:before="160"/>
        <w:jc w:val="left"/>
      </w:pPr>
      <w:r>
        <w:rPr>
          <w:b/>
          <w:color w:val="0F172A"/>
          <w:sz w:val="26"/>
        </w:rPr>
        <w:t>1.3 Performance por Categoria de Campanha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shd w:val="clear" w:color="auto" w:fill="0F17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Categoria</w:t>
            </w:r>
          </w:p>
        </w:tc>
        <w:tc>
          <w:tcPr>
            <w:tcW w:type="dxa" w:w="1344"/>
            <w:shd w:val="clear" w:color="auto" w:fill="0F17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Sessões</w:t>
            </w:r>
          </w:p>
        </w:tc>
        <w:tc>
          <w:tcPr>
            <w:tcW w:type="dxa" w:w="1344"/>
            <w:shd w:val="clear" w:color="auto" w:fill="0F17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Usuários</w:t>
            </w:r>
          </w:p>
        </w:tc>
        <w:tc>
          <w:tcPr>
            <w:tcW w:type="dxa" w:w="1344"/>
            <w:shd w:val="clear" w:color="auto" w:fill="0F17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Campanhas</w:t>
            </w:r>
          </w:p>
        </w:tc>
        <w:tc>
          <w:tcPr>
            <w:tcW w:type="dxa" w:w="1344"/>
            <w:shd w:val="clear" w:color="auto" w:fill="0F17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Bounce Rate</w:t>
            </w:r>
          </w:p>
        </w:tc>
        <w:tc>
          <w:tcPr>
            <w:tcW w:type="dxa" w:w="1344"/>
            <w:shd w:val="clear" w:color="auto" w:fill="0F17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Duração Méd.</w:t>
            </w:r>
          </w:p>
        </w:tc>
        <w:tc>
          <w:tcPr>
            <w:tcW w:type="dxa" w:w="1344"/>
            <w:shd w:val="clear" w:color="auto" w:fill="0F17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Conversões</w:t>
            </w:r>
          </w:p>
        </w:tc>
      </w:tr>
      <w:tr>
        <w:tc>
          <w:tcPr>
            <w:tcW w:type="dxa" w:w="1344"/>
            <w:shd w:val="clear" w:color="auto" w:fill="FFFFFF"/>
          </w:tcPr>
          <w:p>
            <w:pPr>
              <w:jc w:val="left"/>
            </w:pPr>
            <w:r>
              <w:rPr>
                <w:color w:val="333333"/>
                <w:sz w:val="18"/>
              </w:rPr>
              <w:t>AdTech &amp; Branding</w:t>
            </w:r>
          </w:p>
        </w:tc>
        <w:tc>
          <w:tcPr>
            <w:tcW w:type="dxa" w:w="1344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8,290</w:t>
            </w:r>
          </w:p>
        </w:tc>
        <w:tc>
          <w:tcPr>
            <w:tcW w:type="dxa" w:w="1344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6,268</w:t>
            </w:r>
          </w:p>
        </w:tc>
        <w:tc>
          <w:tcPr>
            <w:tcW w:type="dxa" w:w="1344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21</w:t>
            </w:r>
          </w:p>
        </w:tc>
        <w:tc>
          <w:tcPr>
            <w:tcW w:type="dxa" w:w="1344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8.0%</w:t>
            </w:r>
          </w:p>
        </w:tc>
        <w:tc>
          <w:tcPr>
            <w:tcW w:type="dxa" w:w="1344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162s</w:t>
            </w:r>
          </w:p>
        </w:tc>
        <w:tc>
          <w:tcPr>
            <w:tcW w:type="dxa" w:w="1344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24053</w:t>
            </w:r>
          </w:p>
        </w:tc>
      </w:tr>
      <w:tr>
        <w:tc>
          <w:tcPr>
            <w:tcW w:type="dxa" w:w="1344"/>
            <w:shd w:val="clear" w:color="auto" w:fill="F0F4F8"/>
          </w:tcPr>
          <w:p>
            <w:pPr>
              <w:jc w:val="left"/>
            </w:pPr>
            <w:r>
              <w:rPr>
                <w:color w:val="333333"/>
                <w:sz w:val="18"/>
              </w:rPr>
              <w:t>Newsletter</w:t>
            </w:r>
          </w:p>
        </w:tc>
        <w:tc>
          <w:tcPr>
            <w:tcW w:type="dxa" w:w="1344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4,342</w:t>
            </w:r>
          </w:p>
        </w:tc>
        <w:tc>
          <w:tcPr>
            <w:tcW w:type="dxa" w:w="1344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2,671</w:t>
            </w:r>
          </w:p>
        </w:tc>
        <w:tc>
          <w:tcPr>
            <w:tcW w:type="dxa" w:w="1344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25</w:t>
            </w:r>
          </w:p>
        </w:tc>
        <w:tc>
          <w:tcPr>
            <w:tcW w:type="dxa" w:w="1344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11.9%</w:t>
            </w:r>
          </w:p>
        </w:tc>
        <w:tc>
          <w:tcPr>
            <w:tcW w:type="dxa" w:w="1344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180s</w:t>
            </w:r>
          </w:p>
        </w:tc>
        <w:tc>
          <w:tcPr>
            <w:tcW w:type="dxa" w:w="1344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14407</w:t>
            </w:r>
          </w:p>
        </w:tc>
      </w:tr>
      <w:tr>
        <w:tc>
          <w:tcPr>
            <w:tcW w:type="dxa" w:w="1344"/>
            <w:shd w:val="clear" w:color="auto" w:fill="FFFFFF"/>
          </w:tcPr>
          <w:p>
            <w:pPr>
              <w:jc w:val="left"/>
            </w:pPr>
            <w:r>
              <w:rPr>
                <w:color w:val="333333"/>
                <w:sz w:val="18"/>
              </w:rPr>
              <w:t>IA Summit</w:t>
            </w:r>
          </w:p>
        </w:tc>
        <w:tc>
          <w:tcPr>
            <w:tcW w:type="dxa" w:w="1344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2,660</w:t>
            </w:r>
          </w:p>
        </w:tc>
        <w:tc>
          <w:tcPr>
            <w:tcW w:type="dxa" w:w="1344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2,205</w:t>
            </w:r>
          </w:p>
        </w:tc>
        <w:tc>
          <w:tcPr>
            <w:tcW w:type="dxa" w:w="1344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7</w:t>
            </w:r>
          </w:p>
        </w:tc>
        <w:tc>
          <w:tcPr>
            <w:tcW w:type="dxa" w:w="1344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7.3%</w:t>
            </w:r>
          </w:p>
        </w:tc>
        <w:tc>
          <w:tcPr>
            <w:tcW w:type="dxa" w:w="1344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87s</w:t>
            </w:r>
          </w:p>
        </w:tc>
        <w:tc>
          <w:tcPr>
            <w:tcW w:type="dxa" w:w="1344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3652</w:t>
            </w:r>
          </w:p>
        </w:tc>
      </w:tr>
      <w:tr>
        <w:tc>
          <w:tcPr>
            <w:tcW w:type="dxa" w:w="1344"/>
            <w:shd w:val="clear" w:color="auto" w:fill="F0F4F8"/>
          </w:tcPr>
          <w:p>
            <w:pPr>
              <w:jc w:val="left"/>
            </w:pPr>
            <w:r>
              <w:rPr>
                <w:color w:val="333333"/>
                <w:sz w:val="18"/>
              </w:rPr>
              <w:t>Outros</w:t>
            </w:r>
          </w:p>
        </w:tc>
        <w:tc>
          <w:tcPr>
            <w:tcW w:type="dxa" w:w="1344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2,010</w:t>
            </w:r>
          </w:p>
        </w:tc>
        <w:tc>
          <w:tcPr>
            <w:tcW w:type="dxa" w:w="1344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1,447</w:t>
            </w:r>
          </w:p>
        </w:tc>
        <w:tc>
          <w:tcPr>
            <w:tcW w:type="dxa" w:w="1344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45</w:t>
            </w:r>
          </w:p>
        </w:tc>
        <w:tc>
          <w:tcPr>
            <w:tcW w:type="dxa" w:w="1344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11.4%</w:t>
            </w:r>
          </w:p>
        </w:tc>
        <w:tc>
          <w:tcPr>
            <w:tcW w:type="dxa" w:w="1344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159s</w:t>
            </w:r>
          </w:p>
        </w:tc>
        <w:tc>
          <w:tcPr>
            <w:tcW w:type="dxa" w:w="1344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5624</w:t>
            </w:r>
          </w:p>
        </w:tc>
      </w:tr>
      <w:tr>
        <w:tc>
          <w:tcPr>
            <w:tcW w:type="dxa" w:w="1344"/>
            <w:shd w:val="clear" w:color="auto" w:fill="FFFFFF"/>
          </w:tcPr>
          <w:p>
            <w:pPr>
              <w:jc w:val="left"/>
            </w:pPr>
            <w:r>
              <w:rPr>
                <w:color w:val="333333"/>
                <w:sz w:val="18"/>
              </w:rPr>
              <w:t>RelGov</w:t>
            </w:r>
          </w:p>
        </w:tc>
        <w:tc>
          <w:tcPr>
            <w:tcW w:type="dxa" w:w="1344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938</w:t>
            </w:r>
          </w:p>
        </w:tc>
        <w:tc>
          <w:tcPr>
            <w:tcW w:type="dxa" w:w="1344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789</w:t>
            </w:r>
          </w:p>
        </w:tc>
        <w:tc>
          <w:tcPr>
            <w:tcW w:type="dxa" w:w="1344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3</w:t>
            </w:r>
          </w:p>
        </w:tc>
        <w:tc>
          <w:tcPr>
            <w:tcW w:type="dxa" w:w="1344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5.8%</w:t>
            </w:r>
          </w:p>
        </w:tc>
        <w:tc>
          <w:tcPr>
            <w:tcW w:type="dxa" w:w="1344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51s</w:t>
            </w:r>
          </w:p>
        </w:tc>
        <w:tc>
          <w:tcPr>
            <w:tcW w:type="dxa" w:w="1344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2701</w:t>
            </w:r>
          </w:p>
        </w:tc>
      </w:tr>
      <w:tr>
        <w:tc>
          <w:tcPr>
            <w:tcW w:type="dxa" w:w="1344"/>
            <w:shd w:val="clear" w:color="auto" w:fill="F0F4F8"/>
          </w:tcPr>
          <w:p>
            <w:pPr>
              <w:jc w:val="left"/>
            </w:pPr>
            <w:r>
              <w:rPr>
                <w:color w:val="333333"/>
                <w:sz w:val="18"/>
              </w:rPr>
              <w:t>Cursos</w:t>
            </w:r>
          </w:p>
        </w:tc>
        <w:tc>
          <w:tcPr>
            <w:tcW w:type="dxa" w:w="1344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726</w:t>
            </w:r>
          </w:p>
        </w:tc>
        <w:tc>
          <w:tcPr>
            <w:tcW w:type="dxa" w:w="1344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507</w:t>
            </w:r>
          </w:p>
        </w:tc>
        <w:tc>
          <w:tcPr>
            <w:tcW w:type="dxa" w:w="1344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6</w:t>
            </w:r>
          </w:p>
        </w:tc>
        <w:tc>
          <w:tcPr>
            <w:tcW w:type="dxa" w:w="1344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8.7%</w:t>
            </w:r>
          </w:p>
        </w:tc>
        <w:tc>
          <w:tcPr>
            <w:tcW w:type="dxa" w:w="1344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369s</w:t>
            </w:r>
          </w:p>
        </w:tc>
        <w:tc>
          <w:tcPr>
            <w:tcW w:type="dxa" w:w="1344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2658</w:t>
            </w:r>
          </w:p>
        </w:tc>
      </w:tr>
      <w:tr>
        <w:tc>
          <w:tcPr>
            <w:tcW w:type="dxa" w:w="1344"/>
            <w:shd w:val="clear" w:color="auto" w:fill="FFFFFF"/>
          </w:tcPr>
          <w:p>
            <w:pPr>
              <w:jc w:val="left"/>
            </w:pPr>
            <w:r>
              <w:rPr>
                <w:color w:val="333333"/>
                <w:sz w:val="18"/>
              </w:rPr>
              <w:t>Associação</w:t>
            </w:r>
          </w:p>
        </w:tc>
        <w:tc>
          <w:tcPr>
            <w:tcW w:type="dxa" w:w="1344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253</w:t>
            </w:r>
          </w:p>
        </w:tc>
        <w:tc>
          <w:tcPr>
            <w:tcW w:type="dxa" w:w="1344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169</w:t>
            </w:r>
          </w:p>
        </w:tc>
        <w:tc>
          <w:tcPr>
            <w:tcW w:type="dxa" w:w="1344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5</w:t>
            </w:r>
          </w:p>
        </w:tc>
        <w:tc>
          <w:tcPr>
            <w:tcW w:type="dxa" w:w="1344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12.3%</w:t>
            </w:r>
          </w:p>
        </w:tc>
        <w:tc>
          <w:tcPr>
            <w:tcW w:type="dxa" w:w="1344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131s</w:t>
            </w:r>
          </w:p>
        </w:tc>
        <w:tc>
          <w:tcPr>
            <w:tcW w:type="dxa" w:w="1344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652</w:t>
            </w:r>
          </w:p>
        </w:tc>
      </w:tr>
    </w:tbl>
    <w:p/>
    <w:p>
      <w:pPr>
        <w:spacing w:before="160"/>
        <w:jc w:val="left"/>
      </w:pPr>
      <w:r>
        <w:rPr>
          <w:b/>
          <w:color w:val="0F172A"/>
          <w:sz w:val="26"/>
        </w:rPr>
        <w:t>1.4 Top 15 Campanhas UTM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0F17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Campanha</w:t>
            </w:r>
          </w:p>
        </w:tc>
        <w:tc>
          <w:tcPr>
            <w:tcW w:type="dxa" w:w="1568"/>
            <w:shd w:val="clear" w:color="auto" w:fill="0F17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Categoria</w:t>
            </w:r>
          </w:p>
        </w:tc>
        <w:tc>
          <w:tcPr>
            <w:tcW w:type="dxa" w:w="1568"/>
            <w:shd w:val="clear" w:color="auto" w:fill="0F17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Sessões</w:t>
            </w:r>
          </w:p>
        </w:tc>
        <w:tc>
          <w:tcPr>
            <w:tcW w:type="dxa" w:w="1568"/>
            <w:shd w:val="clear" w:color="auto" w:fill="0F17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Bounce</w:t>
            </w:r>
          </w:p>
        </w:tc>
        <w:tc>
          <w:tcPr>
            <w:tcW w:type="dxa" w:w="1568"/>
            <w:shd w:val="clear" w:color="auto" w:fill="0F17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Duração</w:t>
            </w:r>
          </w:p>
        </w:tc>
        <w:tc>
          <w:tcPr>
            <w:tcW w:type="dxa" w:w="1568"/>
            <w:shd w:val="clear" w:color="auto" w:fill="0F17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Conv.</w:t>
            </w:r>
          </w:p>
        </w:tc>
      </w:tr>
      <w:tr>
        <w:tc>
          <w:tcPr>
            <w:tcW w:type="dxa" w:w="1568"/>
            <w:shd w:val="clear" w:color="auto" w:fill="FFFFFF"/>
          </w:tcPr>
          <w:p>
            <w:pPr>
              <w:jc w:val="left"/>
            </w:pPr>
            <w:r>
              <w:rPr>
                <w:color w:val="333333"/>
                <w:sz w:val="18"/>
              </w:rPr>
              <w:t>iab_iab_ia_summit_-_email_save_the_dat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IA Summit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1,716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3.4%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47s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2164</w:t>
            </w:r>
          </w:p>
        </w:tc>
      </w:tr>
      <w:tr>
        <w:tc>
          <w:tcPr>
            <w:tcW w:type="dxa" w:w="1568"/>
            <w:shd w:val="clear" w:color="auto" w:fill="F0F4F8"/>
          </w:tcPr>
          <w:p>
            <w:pPr>
              <w:jc w:val="left"/>
            </w:pPr>
            <w:r>
              <w:rPr>
                <w:color w:val="333333"/>
                <w:sz w:val="18"/>
              </w:rPr>
              <w:t>adtech__branding_-_newsletter_-_regua_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AdTech &amp; Branding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1,460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8.0%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256s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3688</w:t>
            </w:r>
          </w:p>
        </w:tc>
      </w:tr>
      <w:tr>
        <w:tc>
          <w:tcPr>
            <w:tcW w:type="dxa" w:w="1568"/>
            <w:shd w:val="clear" w:color="auto" w:fill="FFFFFF"/>
          </w:tcPr>
          <w:p>
            <w:pPr>
              <w:jc w:val="left"/>
            </w:pPr>
            <w:r>
              <w:rPr>
                <w:color w:val="333333"/>
                <w:sz w:val="18"/>
              </w:rPr>
              <w:t>i_eventos_adtech__branding_-_newslette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AdTech &amp; Branding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1,342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1.9%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43s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4163</w:t>
            </w:r>
          </w:p>
        </w:tc>
      </w:tr>
      <w:tr>
        <w:tc>
          <w:tcPr>
            <w:tcW w:type="dxa" w:w="1568"/>
            <w:shd w:val="clear" w:color="auto" w:fill="F0F4F8"/>
          </w:tcPr>
          <w:p>
            <w:pPr>
              <w:jc w:val="left"/>
            </w:pPr>
            <w:r>
              <w:rPr>
                <w:color w:val="333333"/>
                <w:sz w:val="18"/>
              </w:rPr>
              <w:t>i_eventos_adtech__branding_-_newslette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AdTech &amp; Branding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1,170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1.8%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47s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2690</w:t>
            </w:r>
          </w:p>
        </w:tc>
      </w:tr>
      <w:tr>
        <w:tc>
          <w:tcPr>
            <w:tcW w:type="dxa" w:w="1568"/>
            <w:shd w:val="clear" w:color="auto" w:fill="FFFFFF"/>
          </w:tcPr>
          <w:p>
            <w:pPr>
              <w:jc w:val="left"/>
            </w:pPr>
            <w:r>
              <w:rPr>
                <w:color w:val="333333"/>
                <w:sz w:val="18"/>
              </w:rPr>
              <w:t>iab_emkt_evento_adtech_-_regua_6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AdTech &amp; Branding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769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3.3%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39s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2387</w:t>
            </w:r>
          </w:p>
        </w:tc>
      </w:tr>
      <w:tr>
        <w:tc>
          <w:tcPr>
            <w:tcW w:type="dxa" w:w="1568"/>
            <w:shd w:val="clear" w:color="auto" w:fill="F0F4F8"/>
          </w:tcPr>
          <w:p>
            <w:pPr>
              <w:jc w:val="left"/>
            </w:pPr>
            <w:r>
              <w:rPr>
                <w:color w:val="333333"/>
                <w:sz w:val="18"/>
              </w:rPr>
              <w:t>repique_adtech__branding_-_newsletter_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AdTech &amp; Branding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661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4.5%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187s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1612</w:t>
            </w:r>
          </w:p>
        </w:tc>
      </w:tr>
      <w:tr>
        <w:tc>
          <w:tcPr>
            <w:tcW w:type="dxa" w:w="1568"/>
            <w:shd w:val="clear" w:color="auto" w:fill="FFFFFF"/>
          </w:tcPr>
          <w:p>
            <w:pPr>
              <w:jc w:val="left"/>
            </w:pPr>
            <w:r>
              <w:rPr>
                <w:color w:val="333333"/>
                <w:sz w:val="18"/>
              </w:rPr>
              <w:t>iab_evento_adtech_-_regua_11__e-mail_m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AdTech &amp; Branding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570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3.5%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61s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2105</w:t>
            </w:r>
          </w:p>
        </w:tc>
      </w:tr>
      <w:tr>
        <w:tc>
          <w:tcPr>
            <w:tcW w:type="dxa" w:w="1568"/>
            <w:shd w:val="clear" w:color="auto" w:fill="F0F4F8"/>
          </w:tcPr>
          <w:p>
            <w:pPr>
              <w:jc w:val="left"/>
            </w:pPr>
            <w:r>
              <w:rPr>
                <w:color w:val="333333"/>
                <w:sz w:val="18"/>
              </w:rPr>
              <w:t>i_eventos_adtech__branding_-_newslette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AdTech &amp; Branding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538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3.2%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42s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1573</w:t>
            </w:r>
          </w:p>
        </w:tc>
      </w:tr>
      <w:tr>
        <w:tc>
          <w:tcPr>
            <w:tcW w:type="dxa" w:w="1568"/>
            <w:shd w:val="clear" w:color="auto" w:fill="FFFFFF"/>
          </w:tcPr>
          <w:p>
            <w:pPr>
              <w:jc w:val="left"/>
            </w:pPr>
            <w:r>
              <w:rPr>
                <w:color w:val="333333"/>
                <w:sz w:val="18"/>
              </w:rPr>
              <w:t>relgov_2025_boletim_de_transparencia_-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RelGov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469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9.8%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133s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1490</w:t>
            </w:r>
          </w:p>
        </w:tc>
      </w:tr>
      <w:tr>
        <w:tc>
          <w:tcPr>
            <w:tcW w:type="dxa" w:w="1568"/>
            <w:shd w:val="clear" w:color="auto" w:fill="F0F4F8"/>
          </w:tcPr>
          <w:p>
            <w:pPr>
              <w:jc w:val="left"/>
            </w:pPr>
            <w:r>
              <w:rPr>
                <w:color w:val="333333"/>
                <w:sz w:val="18"/>
              </w:rPr>
              <w:t>i_institucional_iab_news__maio25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Newsletter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466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13.9%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170s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1697</w:t>
            </w:r>
          </w:p>
        </w:tc>
      </w:tr>
      <w:tr>
        <w:tc>
          <w:tcPr>
            <w:tcW w:type="dxa" w:w="1568"/>
            <w:shd w:val="clear" w:color="auto" w:fill="FFFFFF"/>
          </w:tcPr>
          <w:p>
            <w:pPr>
              <w:jc w:val="left"/>
            </w:pPr>
            <w:r>
              <w:rPr>
                <w:color w:val="333333"/>
                <w:sz w:val="18"/>
              </w:rPr>
              <w:t>i_eventos_adtech__branding_-_newslette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AdTech &amp; Branding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454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1.3%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87s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1765</w:t>
            </w:r>
          </w:p>
        </w:tc>
      </w:tr>
      <w:tr>
        <w:tc>
          <w:tcPr>
            <w:tcW w:type="dxa" w:w="1568"/>
            <w:shd w:val="clear" w:color="auto" w:fill="F0F4F8"/>
          </w:tcPr>
          <w:p>
            <w:pPr>
              <w:jc w:val="left"/>
            </w:pPr>
            <w:r>
              <w:rPr>
                <w:color w:val="333333"/>
                <w:sz w:val="18"/>
              </w:rPr>
              <w:t>i_institucional_iab_news__marco25_sema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Newsletter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454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12.8%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180s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1860</w:t>
            </w:r>
          </w:p>
        </w:tc>
      </w:tr>
      <w:tr>
        <w:tc>
          <w:tcPr>
            <w:tcW w:type="dxa" w:w="1568"/>
            <w:shd w:val="clear" w:color="auto" w:fill="FFFFFF"/>
          </w:tcPr>
          <w:p>
            <w:pPr>
              <w:jc w:val="left"/>
            </w:pPr>
            <w:r>
              <w:rPr>
                <w:color w:val="333333"/>
                <w:sz w:val="18"/>
              </w:rPr>
              <w:t>iab_news_iab_-_janeiro_-_semana_2_-_2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Newsletter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447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10.1%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135s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875</w:t>
            </w:r>
          </w:p>
        </w:tc>
      </w:tr>
      <w:tr>
        <w:tc>
          <w:tcPr>
            <w:tcW w:type="dxa" w:w="1568"/>
            <w:shd w:val="clear" w:color="auto" w:fill="F0F4F8"/>
          </w:tcPr>
          <w:p>
            <w:pPr>
              <w:jc w:val="left"/>
            </w:pPr>
            <w:r>
              <w:rPr>
                <w:color w:val="333333"/>
                <w:sz w:val="18"/>
              </w:rPr>
              <w:t>i_institucional_masterclass_inovacao_e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Cursos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381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7.6%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140s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1472</w:t>
            </w:r>
          </w:p>
        </w:tc>
      </w:tr>
      <w:tr>
        <w:tc>
          <w:tcPr>
            <w:tcW w:type="dxa" w:w="1568"/>
            <w:shd w:val="clear" w:color="auto" w:fill="FFFFFF"/>
          </w:tcPr>
          <w:p>
            <w:pPr>
              <w:jc w:val="left"/>
            </w:pPr>
            <w:r>
              <w:rPr>
                <w:color w:val="333333"/>
                <w:sz w:val="18"/>
              </w:rPr>
              <w:t>i_eventos_adtech__branding_-_newslette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AdTech &amp; Branding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367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1.9%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30s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1028</w:t>
            </w:r>
          </w:p>
        </w:tc>
      </w:tr>
    </w:tbl>
    <w:p/>
    <w:p>
      <w:r>
        <w:br w:type="page"/>
      </w:r>
    </w:p>
    <w:p>
      <w:pPr>
        <w:spacing w:before="280" w:after="120"/>
        <w:jc w:val="left"/>
      </w:pPr>
      <w:r>
        <w:rPr>
          <w:b/>
          <w:color w:val="FF6B35"/>
          <w:sz w:val="32"/>
        </w:rPr>
        <w:t>2. Timing, Dispositivos e Comportamento</w:t>
      </w:r>
    </w:p>
    <w:p>
      <w:pPr>
        <w:spacing w:before="160"/>
        <w:jc w:val="left"/>
      </w:pPr>
      <w:r>
        <w:rPr>
          <w:b/>
          <w:color w:val="0F172A"/>
          <w:sz w:val="26"/>
        </w:rPr>
        <w:t>2.1 Melhores Dias da Semana (GA4)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0F17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Dia da Semana</w:t>
            </w:r>
          </w:p>
        </w:tc>
        <w:tc>
          <w:tcPr>
            <w:tcW w:type="dxa" w:w="4703"/>
            <w:shd w:val="clear" w:color="auto" w:fill="0F17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Sessões via Email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pPr>
              <w:jc w:val="left"/>
            </w:pPr>
            <w:r>
              <w:rPr>
                <w:color w:val="333333"/>
                <w:sz w:val="18"/>
              </w:rPr>
              <w:t>Qui</w:t>
            </w:r>
          </w:p>
        </w:tc>
        <w:tc>
          <w:tcPr>
            <w:tcW w:type="dxa" w:w="4703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6,665</w:t>
            </w:r>
          </w:p>
        </w:tc>
      </w:tr>
      <w:tr>
        <w:tc>
          <w:tcPr>
            <w:tcW w:type="dxa" w:w="4703"/>
            <w:shd w:val="clear" w:color="auto" w:fill="F0F4F8"/>
          </w:tcPr>
          <w:p>
            <w:pPr>
              <w:jc w:val="left"/>
            </w:pPr>
            <w:r>
              <w:rPr>
                <w:color w:val="333333"/>
                <w:sz w:val="18"/>
              </w:rPr>
              <w:t>Seg</w:t>
            </w:r>
          </w:p>
        </w:tc>
        <w:tc>
          <w:tcPr>
            <w:tcW w:type="dxa" w:w="4703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3,554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pPr>
              <w:jc w:val="left"/>
            </w:pPr>
            <w:r>
              <w:rPr>
                <w:color w:val="333333"/>
                <w:sz w:val="18"/>
              </w:rPr>
              <w:t>Qua</w:t>
            </w:r>
          </w:p>
        </w:tc>
        <w:tc>
          <w:tcPr>
            <w:tcW w:type="dxa" w:w="4703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3,409</w:t>
            </w:r>
          </w:p>
        </w:tc>
      </w:tr>
      <w:tr>
        <w:tc>
          <w:tcPr>
            <w:tcW w:type="dxa" w:w="4703"/>
            <w:shd w:val="clear" w:color="auto" w:fill="F0F4F8"/>
          </w:tcPr>
          <w:p>
            <w:pPr>
              <w:jc w:val="left"/>
            </w:pPr>
            <w:r>
              <w:rPr>
                <w:color w:val="333333"/>
                <w:sz w:val="18"/>
              </w:rPr>
              <w:t>Sex</w:t>
            </w:r>
          </w:p>
        </w:tc>
        <w:tc>
          <w:tcPr>
            <w:tcW w:type="dxa" w:w="4703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3,175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pPr>
              <w:jc w:val="left"/>
            </w:pPr>
            <w:r>
              <w:rPr>
                <w:color w:val="333333"/>
                <w:sz w:val="18"/>
              </w:rPr>
              <w:t>Ter</w:t>
            </w:r>
          </w:p>
        </w:tc>
        <w:tc>
          <w:tcPr>
            <w:tcW w:type="dxa" w:w="4703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2,870</w:t>
            </w:r>
          </w:p>
        </w:tc>
      </w:tr>
      <w:tr>
        <w:tc>
          <w:tcPr>
            <w:tcW w:type="dxa" w:w="4703"/>
            <w:shd w:val="clear" w:color="auto" w:fill="F0F4F8"/>
          </w:tcPr>
          <w:p>
            <w:pPr>
              <w:jc w:val="left"/>
            </w:pPr>
            <w:r>
              <w:rPr>
                <w:color w:val="333333"/>
                <w:sz w:val="18"/>
              </w:rPr>
              <w:t>Dom</w:t>
            </w:r>
          </w:p>
        </w:tc>
        <w:tc>
          <w:tcPr>
            <w:tcW w:type="dxa" w:w="4703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204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pPr>
              <w:jc w:val="left"/>
            </w:pPr>
            <w:r>
              <w:rPr>
                <w:color w:val="333333"/>
                <w:sz w:val="18"/>
              </w:rPr>
              <w:t>Sáb</w:t>
            </w:r>
          </w:p>
        </w:tc>
        <w:tc>
          <w:tcPr>
            <w:tcW w:type="dxa" w:w="4703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197</w:t>
            </w:r>
          </w:p>
        </w:tc>
      </w:tr>
    </w:tbl>
    <w:p/>
    <w:p>
      <w:pPr>
        <w:spacing w:before="160"/>
        <w:jc w:val="left"/>
      </w:pPr>
      <w:r>
        <w:rPr>
          <w:b/>
          <w:color w:val="0F172A"/>
          <w:sz w:val="26"/>
        </w:rPr>
        <w:t>2.2 Melhores Horários (GA4)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0F17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Horário</w:t>
            </w:r>
          </w:p>
        </w:tc>
        <w:tc>
          <w:tcPr>
            <w:tcW w:type="dxa" w:w="4703"/>
            <w:shd w:val="clear" w:color="auto" w:fill="0F17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Sessões via Email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pPr>
              <w:jc w:val="left"/>
            </w:pPr>
            <w:r>
              <w:rPr>
                <w:color w:val="333333"/>
                <w:sz w:val="18"/>
              </w:rPr>
              <w:t>11h</w:t>
            </w:r>
          </w:p>
        </w:tc>
        <w:tc>
          <w:tcPr>
            <w:tcW w:type="dxa" w:w="4703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2,952</w:t>
            </w:r>
          </w:p>
        </w:tc>
      </w:tr>
      <w:tr>
        <w:tc>
          <w:tcPr>
            <w:tcW w:type="dxa" w:w="4703"/>
            <w:shd w:val="clear" w:color="auto" w:fill="F0F4F8"/>
          </w:tcPr>
          <w:p>
            <w:pPr>
              <w:jc w:val="left"/>
            </w:pPr>
            <w:r>
              <w:rPr>
                <w:color w:val="333333"/>
                <w:sz w:val="18"/>
              </w:rPr>
              <w:t>14h</w:t>
            </w:r>
          </w:p>
        </w:tc>
        <w:tc>
          <w:tcPr>
            <w:tcW w:type="dxa" w:w="4703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2,921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pPr>
              <w:jc w:val="left"/>
            </w:pPr>
            <w:r>
              <w:rPr>
                <w:color w:val="333333"/>
                <w:sz w:val="18"/>
              </w:rPr>
              <w:t>9h</w:t>
            </w:r>
          </w:p>
        </w:tc>
        <w:tc>
          <w:tcPr>
            <w:tcW w:type="dxa" w:w="4703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2,440</w:t>
            </w:r>
          </w:p>
        </w:tc>
      </w:tr>
      <w:tr>
        <w:tc>
          <w:tcPr>
            <w:tcW w:type="dxa" w:w="4703"/>
            <w:shd w:val="clear" w:color="auto" w:fill="F0F4F8"/>
          </w:tcPr>
          <w:p>
            <w:pPr>
              <w:jc w:val="left"/>
            </w:pPr>
            <w:r>
              <w:rPr>
                <w:color w:val="333333"/>
                <w:sz w:val="18"/>
              </w:rPr>
              <w:t>15h</w:t>
            </w:r>
          </w:p>
        </w:tc>
        <w:tc>
          <w:tcPr>
            <w:tcW w:type="dxa" w:w="4703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2,137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pPr>
              <w:jc w:val="left"/>
            </w:pPr>
            <w:r>
              <w:rPr>
                <w:color w:val="333333"/>
                <w:sz w:val="18"/>
              </w:rPr>
              <w:t>16h</w:t>
            </w:r>
          </w:p>
        </w:tc>
        <w:tc>
          <w:tcPr>
            <w:tcW w:type="dxa" w:w="4703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1,736</w:t>
            </w:r>
          </w:p>
        </w:tc>
      </w:tr>
      <w:tr>
        <w:tc>
          <w:tcPr>
            <w:tcW w:type="dxa" w:w="4703"/>
            <w:shd w:val="clear" w:color="auto" w:fill="F0F4F8"/>
          </w:tcPr>
          <w:p>
            <w:pPr>
              <w:jc w:val="left"/>
            </w:pPr>
            <w:r>
              <w:rPr>
                <w:color w:val="333333"/>
                <w:sz w:val="18"/>
              </w:rPr>
              <w:t>10h</w:t>
            </w:r>
          </w:p>
        </w:tc>
        <w:tc>
          <w:tcPr>
            <w:tcW w:type="dxa" w:w="4703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1,491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pPr>
              <w:jc w:val="left"/>
            </w:pPr>
            <w:r>
              <w:rPr>
                <w:color w:val="333333"/>
                <w:sz w:val="18"/>
              </w:rPr>
              <w:t>17h</w:t>
            </w:r>
          </w:p>
        </w:tc>
        <w:tc>
          <w:tcPr>
            <w:tcW w:type="dxa" w:w="4703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1,197</w:t>
            </w:r>
          </w:p>
        </w:tc>
      </w:tr>
      <w:tr>
        <w:tc>
          <w:tcPr>
            <w:tcW w:type="dxa" w:w="4703"/>
            <w:shd w:val="clear" w:color="auto" w:fill="F0F4F8"/>
          </w:tcPr>
          <w:p>
            <w:pPr>
              <w:jc w:val="left"/>
            </w:pPr>
            <w:r>
              <w:rPr>
                <w:color w:val="333333"/>
                <w:sz w:val="18"/>
              </w:rPr>
              <w:t>12h</w:t>
            </w:r>
          </w:p>
        </w:tc>
        <w:tc>
          <w:tcPr>
            <w:tcW w:type="dxa" w:w="4703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1,170</w:t>
            </w:r>
          </w:p>
        </w:tc>
      </w:tr>
    </w:tbl>
    <w:p/>
    <w:p>
      <w:pPr>
        <w:spacing w:before="160"/>
        <w:jc w:val="left"/>
      </w:pPr>
      <w:r>
        <w:rPr>
          <w:b/>
          <w:color w:val="0F172A"/>
          <w:sz w:val="26"/>
        </w:rPr>
        <w:t>2.3 Dispositivos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0F17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Dispositivo</w:t>
            </w:r>
          </w:p>
        </w:tc>
        <w:tc>
          <w:tcPr>
            <w:tcW w:type="dxa" w:w="3135"/>
            <w:shd w:val="clear" w:color="auto" w:fill="0F17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Sessões</w:t>
            </w:r>
          </w:p>
        </w:tc>
        <w:tc>
          <w:tcPr>
            <w:tcW w:type="dxa" w:w="3135"/>
            <w:shd w:val="clear" w:color="auto" w:fill="0F17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Share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jc w:val="left"/>
            </w:pPr>
            <w:r>
              <w:rPr>
                <w:color w:val="333333"/>
                <w:sz w:val="18"/>
              </w:rPr>
              <w:t>Desktop</w:t>
            </w:r>
          </w:p>
        </w:tc>
        <w:tc>
          <w:tcPr>
            <w:tcW w:type="dxa" w:w="3135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16,294</w:t>
            </w:r>
          </w:p>
        </w:tc>
        <w:tc>
          <w:tcPr>
            <w:tcW w:type="dxa" w:w="3135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83.4%</w:t>
            </w:r>
          </w:p>
        </w:tc>
      </w:tr>
      <w:tr>
        <w:tc>
          <w:tcPr>
            <w:tcW w:type="dxa" w:w="3135"/>
            <w:shd w:val="clear" w:color="auto" w:fill="F0F4F8"/>
          </w:tcPr>
          <w:p>
            <w:pPr>
              <w:jc w:val="left"/>
            </w:pPr>
            <w:r>
              <w:rPr>
                <w:color w:val="333333"/>
                <w:sz w:val="18"/>
              </w:rPr>
              <w:t>Mobile</w:t>
            </w:r>
          </w:p>
        </w:tc>
        <w:tc>
          <w:tcPr>
            <w:tcW w:type="dxa" w:w="3135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3,232</w:t>
            </w:r>
          </w:p>
        </w:tc>
        <w:tc>
          <w:tcPr>
            <w:tcW w:type="dxa" w:w="3135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16.5%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jc w:val="left"/>
            </w:pPr>
            <w:r>
              <w:rPr>
                <w:color w:val="333333"/>
                <w:sz w:val="18"/>
              </w:rPr>
              <w:t>Tablet</w:t>
            </w:r>
          </w:p>
        </w:tc>
        <w:tc>
          <w:tcPr>
            <w:tcW w:type="dxa" w:w="3135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11</w:t>
            </w:r>
          </w:p>
        </w:tc>
        <w:tc>
          <w:tcPr>
            <w:tcW w:type="dxa" w:w="3135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0.1%</w:t>
            </w:r>
          </w:p>
        </w:tc>
      </w:tr>
    </w:tbl>
    <w:p/>
    <w:p>
      <w:pPr>
        <w:spacing w:before="160"/>
        <w:jc w:val="left"/>
      </w:pPr>
      <w:r>
        <w:rPr>
          <w:b/>
          <w:color w:val="0F172A"/>
          <w:sz w:val="26"/>
        </w:rPr>
        <w:t>2.4 Top 15 Landing Pages de Email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0F17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Página</w:t>
            </w:r>
          </w:p>
        </w:tc>
        <w:tc>
          <w:tcPr>
            <w:tcW w:type="dxa" w:w="1568"/>
            <w:shd w:val="clear" w:color="auto" w:fill="0F17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Sessões</w:t>
            </w:r>
          </w:p>
        </w:tc>
        <w:tc>
          <w:tcPr>
            <w:tcW w:type="dxa" w:w="1568"/>
            <w:shd w:val="clear" w:color="auto" w:fill="0F17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Usuários</w:t>
            </w:r>
          </w:p>
        </w:tc>
        <w:tc>
          <w:tcPr>
            <w:tcW w:type="dxa" w:w="1568"/>
            <w:shd w:val="clear" w:color="auto" w:fill="0F17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Bounce</w:t>
            </w:r>
          </w:p>
        </w:tc>
        <w:tc>
          <w:tcPr>
            <w:tcW w:type="dxa" w:w="1568"/>
            <w:shd w:val="clear" w:color="auto" w:fill="0F17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Duração</w:t>
            </w:r>
          </w:p>
        </w:tc>
        <w:tc>
          <w:tcPr>
            <w:tcW w:type="dxa" w:w="1568"/>
            <w:shd w:val="clear" w:color="auto" w:fill="0F17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Conv.</w:t>
            </w:r>
          </w:p>
        </w:tc>
      </w:tr>
      <w:tr>
        <w:tc>
          <w:tcPr>
            <w:tcW w:type="dxa" w:w="1568"/>
            <w:shd w:val="clear" w:color="auto" w:fill="FFFFFF"/>
          </w:tcPr>
          <w:p>
            <w:pPr>
              <w:jc w:val="left"/>
            </w:pPr>
            <w:r>
              <w:rPr>
                <w:color w:val="333333"/>
                <w:sz w:val="18"/>
              </w:rPr>
              <w:t>/adtech-e-branding-2025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7,342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5,937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0.0%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93s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20243</w:t>
            </w:r>
          </w:p>
        </w:tc>
      </w:tr>
      <w:tr>
        <w:tc>
          <w:tcPr>
            <w:tcW w:type="dxa" w:w="1568"/>
            <w:shd w:val="clear" w:color="auto" w:fill="F0F4F8"/>
          </w:tcPr>
          <w:p>
            <w:pPr>
              <w:jc w:val="left"/>
            </w:pPr>
            <w:r>
              <w:rPr>
                <w:color w:val="333333"/>
                <w:sz w:val="18"/>
              </w:rPr>
              <w:t>(not set)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3,498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2,792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5.8%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52s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4073</w:t>
            </w:r>
          </w:p>
        </w:tc>
      </w:tr>
      <w:tr>
        <w:tc>
          <w:tcPr>
            <w:tcW w:type="dxa" w:w="1568"/>
            <w:shd w:val="clear" w:color="auto" w:fill="FFFFFF"/>
          </w:tcPr>
          <w:p>
            <w:pPr>
              <w:jc w:val="left"/>
            </w:pPr>
            <w:r>
              <w:rPr>
                <w:color w:val="333333"/>
                <w:sz w:val="18"/>
              </w:rPr>
              <w:t>/forum-de-politicas-publicas-para-public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1,415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1,158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0.0%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104s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3636</w:t>
            </w:r>
          </w:p>
        </w:tc>
      </w:tr>
      <w:tr>
        <w:tc>
          <w:tcPr>
            <w:tcW w:type="dxa" w:w="1568"/>
            <w:shd w:val="clear" w:color="auto" w:fill="F0F4F8"/>
          </w:tcPr>
          <w:p>
            <w:pPr>
              <w:jc w:val="left"/>
            </w:pPr>
            <w:r>
              <w:rPr>
                <w:color w:val="333333"/>
                <w:sz w:val="18"/>
              </w:rPr>
              <w:t>/evento/adtech-branding-2025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733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563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0.0%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137s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1530</w:t>
            </w:r>
          </w:p>
        </w:tc>
      </w:tr>
      <w:tr>
        <w:tc>
          <w:tcPr>
            <w:tcW w:type="dxa" w:w="1568"/>
            <w:shd w:val="clear" w:color="auto" w:fill="FFFFFF"/>
          </w:tcPr>
          <w:p>
            <w:pPr>
              <w:jc w:val="left"/>
            </w:pPr>
            <w:r>
              <w:rPr>
                <w:color w:val="333333"/>
                <w:sz w:val="18"/>
              </w:rPr>
              <w:t>/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677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450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0.0%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137s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1497</w:t>
            </w:r>
          </w:p>
        </w:tc>
      </w:tr>
      <w:tr>
        <w:tc>
          <w:tcPr>
            <w:tcW w:type="dxa" w:w="1568"/>
            <w:shd w:val="clear" w:color="auto" w:fill="F0F4F8"/>
          </w:tcPr>
          <w:p>
            <w:pPr>
              <w:jc w:val="left"/>
            </w:pPr>
            <w:r>
              <w:rPr>
                <w:color w:val="333333"/>
                <w:sz w:val="18"/>
              </w:rPr>
              <w:t>/adtech-e-branding-2025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311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279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0.0%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86s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731</w:t>
            </w:r>
          </w:p>
        </w:tc>
      </w:tr>
      <w:tr>
        <w:tc>
          <w:tcPr>
            <w:tcW w:type="dxa" w:w="1568"/>
            <w:shd w:val="clear" w:color="auto" w:fill="FFFFFF"/>
          </w:tcPr>
          <w:p>
            <w:pPr>
              <w:jc w:val="left"/>
            </w:pPr>
            <w:r>
              <w:rPr>
                <w:color w:val="333333"/>
                <w:sz w:val="18"/>
              </w:rPr>
              <w:t>/masterclass/inovacao-e-criatividade-em-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311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282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0.0%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113s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819</w:t>
            </w:r>
          </w:p>
        </w:tc>
      </w:tr>
      <w:tr>
        <w:tc>
          <w:tcPr>
            <w:tcW w:type="dxa" w:w="1568"/>
            <w:shd w:val="clear" w:color="auto" w:fill="F0F4F8"/>
          </w:tcPr>
          <w:p>
            <w:pPr>
              <w:jc w:val="left"/>
            </w:pPr>
            <w:r>
              <w:rPr>
                <w:color w:val="333333"/>
                <w:sz w:val="18"/>
              </w:rPr>
              <w:t>(not set)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306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200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93.5%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30s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0</w:t>
            </w:r>
          </w:p>
        </w:tc>
      </w:tr>
      <w:tr>
        <w:tc>
          <w:tcPr>
            <w:tcW w:type="dxa" w:w="1568"/>
            <w:shd w:val="clear" w:color="auto" w:fill="FFFFFF"/>
          </w:tcPr>
          <w:p>
            <w:pPr>
              <w:jc w:val="left"/>
            </w:pPr>
            <w:r>
              <w:rPr>
                <w:color w:val="333333"/>
                <w:sz w:val="18"/>
              </w:rPr>
              <w:t>/mapa-mental-do-ecossistema-de-video-dig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304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252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0.0%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200s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1273</w:t>
            </w:r>
          </w:p>
        </w:tc>
      </w:tr>
      <w:tr>
        <w:tc>
          <w:tcPr>
            <w:tcW w:type="dxa" w:w="1568"/>
            <w:shd w:val="clear" w:color="auto" w:fill="F0F4F8"/>
          </w:tcPr>
          <w:p>
            <w:pPr>
              <w:jc w:val="left"/>
            </w:pPr>
            <w:r>
              <w:rPr>
                <w:color w:val="333333"/>
                <w:sz w:val="18"/>
              </w:rPr>
              <w:t>/guia-manual-de-conformidade-e-boas-prat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265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192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0.0%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147s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1178</w:t>
            </w:r>
          </w:p>
        </w:tc>
      </w:tr>
      <w:tr>
        <w:tc>
          <w:tcPr>
            <w:tcW w:type="dxa" w:w="1568"/>
            <w:shd w:val="clear" w:color="auto" w:fill="FFFFFF"/>
          </w:tcPr>
          <w:p>
            <w:pPr>
              <w:jc w:val="left"/>
            </w:pPr>
            <w:r>
              <w:rPr>
                <w:color w:val="333333"/>
                <w:sz w:val="18"/>
              </w:rPr>
              <w:t>/cursos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240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162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0.0%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161s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595</w:t>
            </w:r>
          </w:p>
        </w:tc>
      </w:tr>
      <w:tr>
        <w:tc>
          <w:tcPr>
            <w:tcW w:type="dxa" w:w="1568"/>
            <w:shd w:val="clear" w:color="auto" w:fill="F0F4F8"/>
          </w:tcPr>
          <w:p>
            <w:pPr>
              <w:jc w:val="left"/>
            </w:pPr>
            <w:r>
              <w:rPr>
                <w:color w:val="333333"/>
                <w:sz w:val="18"/>
              </w:rPr>
              <w:t>/cursos/combo-start-no-digital-digital-m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227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180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0.0%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109s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449</w:t>
            </w:r>
          </w:p>
        </w:tc>
      </w:tr>
      <w:tr>
        <w:tc>
          <w:tcPr>
            <w:tcW w:type="dxa" w:w="1568"/>
            <w:shd w:val="clear" w:color="auto" w:fill="FFFFFF"/>
          </w:tcPr>
          <w:p>
            <w:pPr>
              <w:jc w:val="left"/>
            </w:pPr>
            <w:r>
              <w:rPr>
                <w:color w:val="333333"/>
                <w:sz w:val="18"/>
              </w:rPr>
              <w:t>/pesquisa-digital-adspend-2025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222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148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0.0%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196s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916</w:t>
            </w:r>
          </w:p>
        </w:tc>
      </w:tr>
      <w:tr>
        <w:tc>
          <w:tcPr>
            <w:tcW w:type="dxa" w:w="1568"/>
            <w:shd w:val="clear" w:color="auto" w:fill="F0F4F8"/>
          </w:tcPr>
          <w:p>
            <w:pPr>
              <w:jc w:val="left"/>
            </w:pPr>
            <w:r>
              <w:rPr>
                <w:color w:val="333333"/>
                <w:sz w:val="18"/>
              </w:rPr>
              <w:t>/cursos/brand-safety-ad-quality-roi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164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127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0.0%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145s</w:t>
            </w:r>
          </w:p>
        </w:tc>
        <w:tc>
          <w:tcPr>
            <w:tcW w:type="dxa" w:w="1568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334</w:t>
            </w:r>
          </w:p>
        </w:tc>
      </w:tr>
      <w:tr>
        <w:tc>
          <w:tcPr>
            <w:tcW w:type="dxa" w:w="1568"/>
            <w:shd w:val="clear" w:color="auto" w:fill="FFFFFF"/>
          </w:tcPr>
          <w:p>
            <w:pPr>
              <w:jc w:val="left"/>
            </w:pPr>
            <w:r>
              <w:rPr>
                <w:color w:val="333333"/>
                <w:sz w:val="18"/>
              </w:rPr>
              <w:t>/pesquisa-panorama-dooh-2025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161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110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0.0%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146s</w:t>
            </w:r>
          </w:p>
        </w:tc>
        <w:tc>
          <w:tcPr>
            <w:tcW w:type="dxa" w:w="1568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569</w:t>
            </w:r>
          </w:p>
        </w:tc>
      </w:tr>
    </w:tbl>
    <w:p/>
    <w:p>
      <w:pPr>
        <w:spacing w:before="160"/>
        <w:jc w:val="left"/>
      </w:pPr>
      <w:r>
        <w:rPr>
          <w:b/>
          <w:color w:val="0F172A"/>
          <w:sz w:val="26"/>
        </w:rPr>
        <w:t>2.5 Principais Eventos (tráfego email)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0F17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Evento</w:t>
            </w:r>
          </w:p>
        </w:tc>
        <w:tc>
          <w:tcPr>
            <w:tcW w:type="dxa" w:w="2351"/>
            <w:shd w:val="clear" w:color="auto" w:fill="0F17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Count</w:t>
            </w:r>
          </w:p>
        </w:tc>
        <w:tc>
          <w:tcPr>
            <w:tcW w:type="dxa" w:w="2351"/>
            <w:shd w:val="clear" w:color="auto" w:fill="0F17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Usuários</w:t>
            </w:r>
          </w:p>
        </w:tc>
        <w:tc>
          <w:tcPr>
            <w:tcW w:type="dxa" w:w="2351"/>
            <w:shd w:val="clear" w:color="auto" w:fill="0F17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Conversões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pPr>
              <w:jc w:val="left"/>
            </w:pPr>
            <w:r>
              <w:rPr>
                <w:color w:val="333333"/>
                <w:sz w:val="18"/>
              </w:rPr>
              <w:t>page_view</w:t>
            </w:r>
          </w:p>
        </w:tc>
        <w:tc>
          <w:tcPr>
            <w:tcW w:type="dxa" w:w="2351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23,533</w:t>
            </w:r>
          </w:p>
        </w:tc>
        <w:tc>
          <w:tcPr>
            <w:tcW w:type="dxa" w:w="2351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10,450</w:t>
            </w:r>
          </w:p>
        </w:tc>
        <w:tc>
          <w:tcPr>
            <w:tcW w:type="dxa" w:w="2351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23533</w:t>
            </w:r>
          </w:p>
        </w:tc>
      </w:tr>
      <w:tr>
        <w:tc>
          <w:tcPr>
            <w:tcW w:type="dxa" w:w="2351"/>
            <w:shd w:val="clear" w:color="auto" w:fill="F0F4F8"/>
          </w:tcPr>
          <w:p>
            <w:pPr>
              <w:jc w:val="left"/>
            </w:pPr>
            <w:r>
              <w:rPr>
                <w:color w:val="333333"/>
                <w:sz w:val="18"/>
              </w:rPr>
              <w:t>session_start</w:t>
            </w:r>
          </w:p>
        </w:tc>
        <w:tc>
          <w:tcPr>
            <w:tcW w:type="dxa" w:w="2351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19,482</w:t>
            </w:r>
          </w:p>
        </w:tc>
        <w:tc>
          <w:tcPr>
            <w:tcW w:type="dxa" w:w="2351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13,128</w:t>
            </w:r>
          </w:p>
        </w:tc>
        <w:tc>
          <w:tcPr>
            <w:tcW w:type="dxa" w:w="2351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0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pPr>
              <w:jc w:val="left"/>
            </w:pPr>
            <w:r>
              <w:rPr>
                <w:color w:val="333333"/>
                <w:sz w:val="18"/>
              </w:rPr>
              <w:t>RD Landing Pages</w:t>
            </w:r>
          </w:p>
        </w:tc>
        <w:tc>
          <w:tcPr>
            <w:tcW w:type="dxa" w:w="2351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15,260</w:t>
            </w:r>
          </w:p>
        </w:tc>
        <w:tc>
          <w:tcPr>
            <w:tcW w:type="dxa" w:w="2351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9,457</w:t>
            </w:r>
          </w:p>
        </w:tc>
        <w:tc>
          <w:tcPr>
            <w:tcW w:type="dxa" w:w="2351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15260</w:t>
            </w:r>
          </w:p>
        </w:tc>
      </w:tr>
      <w:tr>
        <w:tc>
          <w:tcPr>
            <w:tcW w:type="dxa" w:w="2351"/>
            <w:shd w:val="clear" w:color="auto" w:fill="F0F4F8"/>
          </w:tcPr>
          <w:p>
            <w:pPr>
              <w:jc w:val="left"/>
            </w:pPr>
            <w:r>
              <w:rPr>
                <w:color w:val="333333"/>
                <w:sz w:val="18"/>
              </w:rPr>
              <w:t>first_visit</w:t>
            </w:r>
          </w:p>
        </w:tc>
        <w:tc>
          <w:tcPr>
            <w:tcW w:type="dxa" w:w="2351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12,112</w:t>
            </w:r>
          </w:p>
        </w:tc>
        <w:tc>
          <w:tcPr>
            <w:tcW w:type="dxa" w:w="2351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11,922</w:t>
            </w:r>
          </w:p>
        </w:tc>
        <w:tc>
          <w:tcPr>
            <w:tcW w:type="dxa" w:w="2351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0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pPr>
              <w:jc w:val="left"/>
            </w:pPr>
            <w:r>
              <w:rPr>
                <w:color w:val="333333"/>
                <w:sz w:val="18"/>
              </w:rPr>
              <w:t>user_engagement</w:t>
            </w:r>
          </w:p>
        </w:tc>
        <w:tc>
          <w:tcPr>
            <w:tcW w:type="dxa" w:w="2351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11,770</w:t>
            </w:r>
          </w:p>
        </w:tc>
        <w:tc>
          <w:tcPr>
            <w:tcW w:type="dxa" w:w="2351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5,122</w:t>
            </w:r>
          </w:p>
        </w:tc>
        <w:tc>
          <w:tcPr>
            <w:tcW w:type="dxa" w:w="2351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0</w:t>
            </w:r>
          </w:p>
        </w:tc>
      </w:tr>
      <w:tr>
        <w:tc>
          <w:tcPr>
            <w:tcW w:type="dxa" w:w="2351"/>
            <w:shd w:val="clear" w:color="auto" w:fill="F0F4F8"/>
          </w:tcPr>
          <w:p>
            <w:pPr>
              <w:jc w:val="left"/>
            </w:pPr>
            <w:r>
              <w:rPr>
                <w:color w:val="333333"/>
                <w:sz w:val="18"/>
              </w:rPr>
              <w:t>RD Formulario Embutido</w:t>
            </w:r>
          </w:p>
        </w:tc>
        <w:tc>
          <w:tcPr>
            <w:tcW w:type="dxa" w:w="2351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9,957</w:t>
            </w:r>
          </w:p>
        </w:tc>
        <w:tc>
          <w:tcPr>
            <w:tcW w:type="dxa" w:w="2351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3,523</w:t>
            </w:r>
          </w:p>
        </w:tc>
        <w:tc>
          <w:tcPr>
            <w:tcW w:type="dxa" w:w="2351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9957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pPr>
              <w:jc w:val="left"/>
            </w:pPr>
            <w:r>
              <w:rPr>
                <w:color w:val="333333"/>
                <w:sz w:val="18"/>
              </w:rPr>
              <w:t>scroll</w:t>
            </w:r>
          </w:p>
        </w:tc>
        <w:tc>
          <w:tcPr>
            <w:tcW w:type="dxa" w:w="2351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3,529</w:t>
            </w:r>
          </w:p>
        </w:tc>
        <w:tc>
          <w:tcPr>
            <w:tcW w:type="dxa" w:w="2351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2,165</w:t>
            </w:r>
          </w:p>
        </w:tc>
        <w:tc>
          <w:tcPr>
            <w:tcW w:type="dxa" w:w="2351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0</w:t>
            </w:r>
          </w:p>
        </w:tc>
      </w:tr>
      <w:tr>
        <w:tc>
          <w:tcPr>
            <w:tcW w:type="dxa" w:w="2351"/>
            <w:shd w:val="clear" w:color="auto" w:fill="F0F4F8"/>
          </w:tcPr>
          <w:p>
            <w:pPr>
              <w:jc w:val="left"/>
            </w:pPr>
            <w:r>
              <w:rPr>
                <w:color w:val="333333"/>
                <w:sz w:val="18"/>
              </w:rPr>
              <w:t>click</w:t>
            </w:r>
          </w:p>
        </w:tc>
        <w:tc>
          <w:tcPr>
            <w:tcW w:type="dxa" w:w="2351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1,855</w:t>
            </w:r>
          </w:p>
        </w:tc>
        <w:tc>
          <w:tcPr>
            <w:tcW w:type="dxa" w:w="2351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1,329</w:t>
            </w:r>
          </w:p>
        </w:tc>
        <w:tc>
          <w:tcPr>
            <w:tcW w:type="dxa" w:w="2351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1855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pPr>
              <w:jc w:val="left"/>
            </w:pPr>
            <w:r>
              <w:rPr>
                <w:color w:val="333333"/>
                <w:sz w:val="18"/>
              </w:rPr>
              <w:t>form_start</w:t>
            </w:r>
          </w:p>
        </w:tc>
        <w:tc>
          <w:tcPr>
            <w:tcW w:type="dxa" w:w="2351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1,536</w:t>
            </w:r>
          </w:p>
        </w:tc>
        <w:tc>
          <w:tcPr>
            <w:tcW w:type="dxa" w:w="2351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907</w:t>
            </w:r>
          </w:p>
        </w:tc>
        <w:tc>
          <w:tcPr>
            <w:tcW w:type="dxa" w:w="2351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1536</w:t>
            </w:r>
          </w:p>
        </w:tc>
      </w:tr>
      <w:tr>
        <w:tc>
          <w:tcPr>
            <w:tcW w:type="dxa" w:w="2351"/>
            <w:shd w:val="clear" w:color="auto" w:fill="F0F4F8"/>
          </w:tcPr>
          <w:p>
            <w:pPr>
              <w:jc w:val="left"/>
            </w:pPr>
            <w:r>
              <w:rPr>
                <w:color w:val="333333"/>
                <w:sz w:val="18"/>
              </w:rPr>
              <w:t>form_submit</w:t>
            </w:r>
          </w:p>
        </w:tc>
        <w:tc>
          <w:tcPr>
            <w:tcW w:type="dxa" w:w="2351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1,404</w:t>
            </w:r>
          </w:p>
        </w:tc>
        <w:tc>
          <w:tcPr>
            <w:tcW w:type="dxa" w:w="2351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839</w:t>
            </w:r>
          </w:p>
        </w:tc>
        <w:tc>
          <w:tcPr>
            <w:tcW w:type="dxa" w:w="2351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1404</w:t>
            </w:r>
          </w:p>
        </w:tc>
      </w:tr>
    </w:tbl>
    <w:p/>
    <w:p>
      <w:r>
        <w:br w:type="page"/>
      </w:r>
    </w:p>
    <w:p>
      <w:pPr>
        <w:spacing w:before="280" w:after="120"/>
        <w:jc w:val="left"/>
      </w:pPr>
      <w:r>
        <w:rPr>
          <w:b/>
          <w:color w:val="FF6B35"/>
          <w:sz w:val="32"/>
        </w:rPr>
        <w:t>3. Análise do RD Station CRM</w:t>
      </w:r>
    </w:p>
    <w:p>
      <w:pPr>
        <w:spacing w:before="160"/>
        <w:jc w:val="left"/>
      </w:pPr>
      <w:r>
        <w:rPr>
          <w:b/>
          <w:color w:val="0F172A"/>
          <w:sz w:val="26"/>
        </w:rPr>
        <w:t>3.1 Visão Geral do CRM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0F17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Métrica</w:t>
            </w:r>
          </w:p>
        </w:tc>
        <w:tc>
          <w:tcPr>
            <w:tcW w:type="dxa" w:w="4703"/>
            <w:shd w:val="clear" w:color="auto" w:fill="0F17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pPr>
              <w:jc w:val="left"/>
            </w:pPr>
            <w:r>
              <w:rPr>
                <w:color w:val="333333"/>
                <w:sz w:val="18"/>
              </w:rPr>
              <w:t>Total de Contatos</w:t>
            </w:r>
          </w:p>
        </w:tc>
        <w:tc>
          <w:tcPr>
            <w:tcW w:type="dxa" w:w="4703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524</w:t>
            </w:r>
          </w:p>
        </w:tc>
      </w:tr>
      <w:tr>
        <w:tc>
          <w:tcPr>
            <w:tcW w:type="dxa" w:w="4703"/>
            <w:shd w:val="clear" w:color="auto" w:fill="F0F4F8"/>
          </w:tcPr>
          <w:p>
            <w:pPr>
              <w:jc w:val="left"/>
            </w:pPr>
            <w:r>
              <w:rPr>
                <w:color w:val="333333"/>
                <w:sz w:val="18"/>
              </w:rPr>
              <w:t>Total de Deals/Oportunidades</w:t>
            </w:r>
          </w:p>
        </w:tc>
        <w:tc>
          <w:tcPr>
            <w:tcW w:type="dxa" w:w="4703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72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pPr>
              <w:jc w:val="left"/>
            </w:pPr>
            <w:r>
              <w:rPr>
                <w:color w:val="333333"/>
                <w:sz w:val="18"/>
              </w:rPr>
              <w:t>Total de Produtos</w:t>
            </w:r>
          </w:p>
        </w:tc>
        <w:tc>
          <w:tcPr>
            <w:tcW w:type="dxa" w:w="4703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105</w:t>
            </w:r>
          </w:p>
        </w:tc>
      </w:tr>
      <w:tr>
        <w:tc>
          <w:tcPr>
            <w:tcW w:type="dxa" w:w="4703"/>
            <w:shd w:val="clear" w:color="auto" w:fill="F0F4F8"/>
          </w:tcPr>
          <w:p>
            <w:pPr>
              <w:jc w:val="left"/>
            </w:pPr>
            <w:r>
              <w:rPr>
                <w:color w:val="333333"/>
                <w:sz w:val="18"/>
              </w:rPr>
              <w:t>Segmentos de Organização</w:t>
            </w:r>
          </w:p>
        </w:tc>
        <w:tc>
          <w:tcPr>
            <w:tcW w:type="dxa" w:w="4703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59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pPr>
              <w:jc w:val="left"/>
            </w:pPr>
            <w:r>
              <w:rPr>
                <w:color w:val="333333"/>
                <w:sz w:val="18"/>
              </w:rPr>
              <w:t>Usuários no CRM</w:t>
            </w:r>
          </w:p>
        </w:tc>
        <w:tc>
          <w:tcPr>
            <w:tcW w:type="dxa" w:w="4703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15</w:t>
            </w:r>
          </w:p>
        </w:tc>
      </w:tr>
      <w:tr>
        <w:tc>
          <w:tcPr>
            <w:tcW w:type="dxa" w:w="4703"/>
            <w:shd w:val="clear" w:color="auto" w:fill="F0F4F8"/>
          </w:tcPr>
          <w:p>
            <w:pPr>
              <w:jc w:val="left"/>
            </w:pPr>
            <w:r>
              <w:rPr>
                <w:color w:val="333333"/>
                <w:sz w:val="18"/>
              </w:rPr>
              <w:t>Funis de Vendas</w:t>
            </w:r>
          </w:p>
        </w:tc>
        <w:tc>
          <w:tcPr>
            <w:tcW w:type="dxa" w:w="4703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1 (Associação)</w:t>
            </w:r>
          </w:p>
        </w:tc>
      </w:tr>
    </w:tbl>
    <w:p/>
    <w:p>
      <w:pPr>
        <w:spacing w:before="160"/>
        <w:jc w:val="left"/>
      </w:pPr>
      <w:r>
        <w:rPr>
          <w:b/>
          <w:color w:val="0F172A"/>
          <w:sz w:val="26"/>
        </w:rPr>
        <w:t>3.2 Top 10 Cargos dos Contatos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0F17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Cargo</w:t>
            </w:r>
          </w:p>
        </w:tc>
        <w:tc>
          <w:tcPr>
            <w:tcW w:type="dxa" w:w="4703"/>
            <w:shd w:val="clear" w:color="auto" w:fill="0F17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Qtd. Contatos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pPr>
              <w:jc w:val="left"/>
            </w:pPr>
            <w:r>
              <w:rPr>
                <w:color w:val="333333"/>
                <w:sz w:val="18"/>
              </w:rPr>
              <w:t>CMO</w:t>
            </w:r>
          </w:p>
        </w:tc>
        <w:tc>
          <w:tcPr>
            <w:tcW w:type="dxa" w:w="4703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71</w:t>
            </w:r>
          </w:p>
        </w:tc>
      </w:tr>
      <w:tr>
        <w:tc>
          <w:tcPr>
            <w:tcW w:type="dxa" w:w="4703"/>
            <w:shd w:val="clear" w:color="auto" w:fill="F0F4F8"/>
          </w:tcPr>
          <w:p>
            <w:pPr>
              <w:jc w:val="left"/>
            </w:pPr>
            <w:r>
              <w:rPr>
                <w:color w:val="333333"/>
                <w:sz w:val="18"/>
              </w:rPr>
              <w:t>CEO</w:t>
            </w:r>
          </w:p>
        </w:tc>
        <w:tc>
          <w:tcPr>
            <w:tcW w:type="dxa" w:w="4703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30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pPr>
              <w:jc w:val="left"/>
            </w:pPr>
            <w:r>
              <w:rPr>
                <w:color w:val="333333"/>
                <w:sz w:val="18"/>
              </w:rPr>
              <w:t>CONSELHO</w:t>
            </w:r>
          </w:p>
        </w:tc>
        <w:tc>
          <w:tcPr>
            <w:tcW w:type="dxa" w:w="4703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20</w:t>
            </w:r>
          </w:p>
        </w:tc>
      </w:tr>
      <w:tr>
        <w:tc>
          <w:tcPr>
            <w:tcW w:type="dxa" w:w="4703"/>
            <w:shd w:val="clear" w:color="auto" w:fill="F0F4F8"/>
          </w:tcPr>
          <w:p>
            <w:pPr>
              <w:jc w:val="left"/>
            </w:pPr>
            <w:r>
              <w:rPr>
                <w:color w:val="333333"/>
                <w:sz w:val="18"/>
              </w:rPr>
              <w:t>Sócio</w:t>
            </w:r>
          </w:p>
        </w:tc>
        <w:tc>
          <w:tcPr>
            <w:tcW w:type="dxa" w:w="4703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6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pPr>
              <w:jc w:val="left"/>
            </w:pPr>
            <w:r>
              <w:rPr>
                <w:color w:val="333333"/>
                <w:sz w:val="18"/>
              </w:rPr>
              <w:t>Diretora de Marketing</w:t>
            </w:r>
          </w:p>
        </w:tc>
        <w:tc>
          <w:tcPr>
            <w:tcW w:type="dxa" w:w="4703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5</w:t>
            </w:r>
          </w:p>
        </w:tc>
      </w:tr>
      <w:tr>
        <w:tc>
          <w:tcPr>
            <w:tcW w:type="dxa" w:w="4703"/>
            <w:shd w:val="clear" w:color="auto" w:fill="F0F4F8"/>
          </w:tcPr>
          <w:p>
            <w:pPr>
              <w:jc w:val="left"/>
            </w:pPr>
            <w:r>
              <w:rPr>
                <w:color w:val="333333"/>
                <w:sz w:val="18"/>
              </w:rPr>
              <w:t>Co-President &amp; Financial Dir., Latin America</w:t>
            </w:r>
          </w:p>
        </w:tc>
        <w:tc>
          <w:tcPr>
            <w:tcW w:type="dxa" w:w="4703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5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pPr>
              <w:jc w:val="left"/>
            </w:pPr>
            <w:r>
              <w:rPr>
                <w:color w:val="333333"/>
                <w:sz w:val="18"/>
              </w:rPr>
              <w:t>Diretor</w:t>
            </w:r>
          </w:p>
        </w:tc>
        <w:tc>
          <w:tcPr>
            <w:tcW w:type="dxa" w:w="4703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5</w:t>
            </w:r>
          </w:p>
        </w:tc>
      </w:tr>
      <w:tr>
        <w:tc>
          <w:tcPr>
            <w:tcW w:type="dxa" w:w="4703"/>
            <w:shd w:val="clear" w:color="auto" w:fill="F0F4F8"/>
          </w:tcPr>
          <w:p>
            <w:pPr>
              <w:jc w:val="left"/>
            </w:pPr>
            <w:r>
              <w:rPr>
                <w:color w:val="333333"/>
                <w:sz w:val="18"/>
              </w:rPr>
              <w:t>Managing Director</w:t>
            </w:r>
          </w:p>
        </w:tc>
        <w:tc>
          <w:tcPr>
            <w:tcW w:type="dxa" w:w="4703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5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pPr>
              <w:jc w:val="left"/>
            </w:pPr>
            <w:r>
              <w:rPr>
                <w:color w:val="333333"/>
                <w:sz w:val="18"/>
              </w:rPr>
              <w:t>Product Owner</w:t>
            </w:r>
          </w:p>
        </w:tc>
        <w:tc>
          <w:tcPr>
            <w:tcW w:type="dxa" w:w="4703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4</w:t>
            </w:r>
          </w:p>
        </w:tc>
      </w:tr>
      <w:tr>
        <w:tc>
          <w:tcPr>
            <w:tcW w:type="dxa" w:w="4703"/>
            <w:shd w:val="clear" w:color="auto" w:fill="F0F4F8"/>
          </w:tcPr>
          <w:p>
            <w:pPr>
              <w:jc w:val="left"/>
            </w:pPr>
            <w:r>
              <w:rPr>
                <w:color w:val="333333"/>
                <w:sz w:val="18"/>
              </w:rPr>
              <w:t>Diretor de Marketing</w:t>
            </w:r>
          </w:p>
        </w:tc>
        <w:tc>
          <w:tcPr>
            <w:tcW w:type="dxa" w:w="4703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4</w:t>
            </w:r>
          </w:p>
        </w:tc>
      </w:tr>
    </w:tbl>
    <w:p/>
    <w:p>
      <w:pPr>
        <w:spacing w:before="160"/>
        <w:jc w:val="left"/>
      </w:pPr>
      <w:r>
        <w:rPr>
          <w:b/>
          <w:color w:val="0F172A"/>
          <w:sz w:val="26"/>
        </w:rPr>
        <w:t>3.3 Deals por Status e Fonte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0F17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Status do Deal</w:t>
            </w:r>
          </w:p>
        </w:tc>
        <w:tc>
          <w:tcPr>
            <w:tcW w:type="dxa" w:w="4703"/>
            <w:shd w:val="clear" w:color="auto" w:fill="0F17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Quantidade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pPr>
              <w:jc w:val="left"/>
            </w:pPr>
            <w:r>
              <w:rPr>
                <w:color w:val="333333"/>
                <w:sz w:val="18"/>
              </w:rPr>
              <w:t>ongoing</w:t>
            </w:r>
          </w:p>
        </w:tc>
        <w:tc>
          <w:tcPr>
            <w:tcW w:type="dxa" w:w="4703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69</w:t>
            </w:r>
          </w:p>
        </w:tc>
      </w:tr>
      <w:tr>
        <w:tc>
          <w:tcPr>
            <w:tcW w:type="dxa" w:w="4703"/>
            <w:shd w:val="clear" w:color="auto" w:fill="F0F4F8"/>
          </w:tcPr>
          <w:p>
            <w:pPr>
              <w:jc w:val="left"/>
            </w:pPr>
            <w:r>
              <w:rPr>
                <w:color w:val="333333"/>
                <w:sz w:val="18"/>
              </w:rPr>
              <w:t>won</w:t>
            </w:r>
          </w:p>
        </w:tc>
        <w:tc>
          <w:tcPr>
            <w:tcW w:type="dxa" w:w="4703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3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0F17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Fonte de Origem</w:t>
            </w:r>
          </w:p>
        </w:tc>
        <w:tc>
          <w:tcPr>
            <w:tcW w:type="dxa" w:w="4703"/>
            <w:shd w:val="clear" w:color="auto" w:fill="0F17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Deals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pPr>
              <w:jc w:val="left"/>
            </w:pPr>
            <w:r>
              <w:rPr>
                <w:color w:val="333333"/>
                <w:sz w:val="18"/>
              </w:rPr>
              <w:t>Desconhecida</w:t>
            </w:r>
          </w:p>
        </w:tc>
        <w:tc>
          <w:tcPr>
            <w:tcW w:type="dxa" w:w="4703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26</w:t>
            </w:r>
          </w:p>
        </w:tc>
      </w:tr>
      <w:tr>
        <w:tc>
          <w:tcPr>
            <w:tcW w:type="dxa" w:w="4703"/>
            <w:shd w:val="clear" w:color="auto" w:fill="F0F4F8"/>
          </w:tcPr>
          <w:p>
            <w:pPr>
              <w:jc w:val="left"/>
            </w:pPr>
            <w:r>
              <w:rPr>
                <w:color w:val="333333"/>
                <w:sz w:val="18"/>
              </w:rPr>
              <w:t>Contato por E-mail</w:t>
            </w:r>
          </w:p>
        </w:tc>
        <w:tc>
          <w:tcPr>
            <w:tcW w:type="dxa" w:w="4703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11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pPr>
              <w:jc w:val="left"/>
            </w:pPr>
            <w:r>
              <w:rPr>
                <w:color w:val="333333"/>
                <w:sz w:val="18"/>
              </w:rPr>
              <w:t>Cliente Ativo</w:t>
            </w:r>
          </w:p>
        </w:tc>
        <w:tc>
          <w:tcPr>
            <w:tcW w:type="dxa" w:w="4703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10</w:t>
            </w:r>
          </w:p>
        </w:tc>
      </w:tr>
      <w:tr>
        <w:tc>
          <w:tcPr>
            <w:tcW w:type="dxa" w:w="4703"/>
            <w:shd w:val="clear" w:color="auto" w:fill="F0F4F8"/>
          </w:tcPr>
          <w:p>
            <w:pPr>
              <w:jc w:val="left"/>
            </w:pPr>
            <w:r>
              <w:rPr>
                <w:color w:val="333333"/>
                <w:sz w:val="18"/>
              </w:rPr>
              <w:t>Contato por Telefone</w:t>
            </w:r>
          </w:p>
        </w:tc>
        <w:tc>
          <w:tcPr>
            <w:tcW w:type="dxa" w:w="4703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2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pPr>
              <w:jc w:val="left"/>
            </w:pPr>
            <w:r>
              <w:rPr>
                <w:color w:val="333333"/>
                <w:sz w:val="18"/>
              </w:rPr>
              <w:t>Indicação por Parceiros</w:t>
            </w:r>
          </w:p>
        </w:tc>
        <w:tc>
          <w:tcPr>
            <w:tcW w:type="dxa" w:w="4703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1</w:t>
            </w:r>
          </w:p>
        </w:tc>
      </w:tr>
    </w:tbl>
    <w:p/>
    <w:p>
      <w:pPr>
        <w:spacing w:before="160"/>
        <w:jc w:val="left"/>
      </w:pPr>
      <w:r>
        <w:rPr>
          <w:b/>
          <w:color w:val="0F172A"/>
          <w:sz w:val="26"/>
        </w:rPr>
        <w:t>3.4 Categorias de Produtos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0F17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Categoria</w:t>
            </w:r>
          </w:p>
        </w:tc>
        <w:tc>
          <w:tcPr>
            <w:tcW w:type="dxa" w:w="4703"/>
            <w:shd w:val="clear" w:color="auto" w:fill="0F17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Qtd. Produtos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pPr>
              <w:jc w:val="left"/>
            </w:pPr>
            <w:r>
              <w:rPr>
                <w:color w:val="333333"/>
                <w:sz w:val="18"/>
              </w:rPr>
              <w:t>Cursos</w:t>
            </w:r>
          </w:p>
        </w:tc>
        <w:tc>
          <w:tcPr>
            <w:tcW w:type="dxa" w:w="4703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4</w:t>
            </w:r>
          </w:p>
        </w:tc>
      </w:tr>
      <w:tr>
        <w:tc>
          <w:tcPr>
            <w:tcW w:type="dxa" w:w="4703"/>
            <w:shd w:val="clear" w:color="auto" w:fill="F0F4F8"/>
          </w:tcPr>
          <w:p>
            <w:pPr>
              <w:jc w:val="left"/>
            </w:pPr>
            <w:r>
              <w:rPr>
                <w:color w:val="333333"/>
                <w:sz w:val="18"/>
              </w:rPr>
              <w:t>Outros</w:t>
            </w:r>
          </w:p>
        </w:tc>
        <w:tc>
          <w:tcPr>
            <w:tcW w:type="dxa" w:w="4703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40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pPr>
              <w:jc w:val="left"/>
            </w:pPr>
            <w:r>
              <w:rPr>
                <w:color w:val="333333"/>
                <w:sz w:val="18"/>
              </w:rPr>
              <w:t>Associação</w:t>
            </w:r>
          </w:p>
        </w:tc>
        <w:tc>
          <w:tcPr>
            <w:tcW w:type="dxa" w:w="4703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50</w:t>
            </w:r>
          </w:p>
        </w:tc>
      </w:tr>
      <w:tr>
        <w:tc>
          <w:tcPr>
            <w:tcW w:type="dxa" w:w="4703"/>
            <w:shd w:val="clear" w:color="auto" w:fill="F0F4F8"/>
          </w:tcPr>
          <w:p>
            <w:pPr>
              <w:jc w:val="left"/>
            </w:pPr>
            <w:r>
              <w:rPr>
                <w:color w:val="333333"/>
                <w:sz w:val="18"/>
              </w:rPr>
              <w:t>Patrocínio</w:t>
            </w:r>
          </w:p>
        </w:tc>
        <w:tc>
          <w:tcPr>
            <w:tcW w:type="dxa" w:w="4703"/>
            <w:shd w:val="clear" w:color="auto" w:fill="F0F4F8"/>
          </w:tcPr>
          <w:p>
            <w:pPr>
              <w:jc w:val="center"/>
            </w:pPr>
            <w:r>
              <w:rPr>
                <w:color w:val="333333"/>
                <w:sz w:val="18"/>
              </w:rPr>
              <w:t>6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pPr>
              <w:jc w:val="left"/>
            </w:pPr>
            <w:r>
              <w:rPr>
                <w:color w:val="333333"/>
                <w:sz w:val="18"/>
              </w:rPr>
              <w:t>Eventos</w:t>
            </w:r>
          </w:p>
        </w:tc>
        <w:tc>
          <w:tcPr>
            <w:tcW w:type="dxa" w:w="4703"/>
            <w:shd w:val="clear" w:color="auto" w:fill="FFFFFF"/>
          </w:tcPr>
          <w:p>
            <w:pPr>
              <w:jc w:val="center"/>
            </w:pPr>
            <w:r>
              <w:rPr>
                <w:color w:val="333333"/>
                <w:sz w:val="18"/>
              </w:rPr>
              <w:t>5</w:t>
            </w:r>
          </w:p>
        </w:tc>
      </w:tr>
    </w:tbl>
    <w:p/>
    <w:p>
      <w:r>
        <w:br w:type="page"/>
      </w:r>
    </w:p>
    <w:p>
      <w:pPr>
        <w:spacing w:before="280" w:after="120"/>
        <w:jc w:val="left"/>
      </w:pPr>
      <w:r>
        <w:rPr>
          <w:b/>
          <w:color w:val="FF6B35"/>
          <w:sz w:val="32"/>
        </w:rPr>
        <w:t>4. Insights Diagnósticos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1E293B"/>
          </w:tcPr>
          <w:p>
            <w:r>
              <w:rPr>
                <w:b/>
                <w:color w:val="FFFFFF"/>
                <w:sz w:val="21"/>
              </w:rPr>
              <w:t>🏆  [Canal Email] Email é o 3º maior canal do site com 17.7% do tráfego</w:t>
            </w:r>
          </w:p>
        </w:tc>
      </w:tr>
      <w:tr>
        <w:tc>
          <w:tcPr>
            <w:tcW w:type="dxa" w:w="9406"/>
            <w:shd w:val="clear" w:color="auto" w:fill="D1FAE5"/>
          </w:tcPr>
          <w:p>
            <w:r>
              <w:rPr>
                <w:color w:val="333333"/>
                <w:sz w:val="20"/>
              </w:rPr>
              <w:t>Com 19,335 sessões nos últimos 12 meses, o email supera redes sociais e pagos. Canal email da IAB tem performance significativamente acima da média do mercado para associações B2B.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1E293B"/>
          </w:tcPr>
          <w:p>
            <w:r>
              <w:rPr>
                <w:b/>
                <w:color w:val="FFFFFF"/>
                <w:sz w:val="21"/>
              </w:rPr>
              <w:t>⭐  [Qualidade de Tráfego] Taxa de rejeição do email excepcionalmente baixa: 10.1%</w:t>
            </w:r>
          </w:p>
        </w:tc>
      </w:tr>
      <w:tr>
        <w:tc>
          <w:tcPr>
            <w:tcW w:type="dxa" w:w="9406"/>
            <w:shd w:val="clear" w:color="auto" w:fill="D1FAE5"/>
          </w:tcPr>
          <w:p>
            <w:r>
              <w:rPr>
                <w:color w:val="333333"/>
                <w:sz w:val="20"/>
              </w:rPr>
              <w:t>A média do email marketing brasileiro fica entre 35-55%. O IAB Brasil tem 10.1% — indicando que os destinatários chegam altamente engajados e encontram conteúdo relevante. Isso valida a segmentação e o alinhamento das CTAs.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1E293B"/>
          </w:tcPr>
          <w:p>
            <w:r>
              <w:rPr>
                <w:b/>
                <w:color w:val="FFFFFF"/>
                <w:sz w:val="21"/>
              </w:rPr>
              <w:t>📈  [Sazonalidade] Pico de tráfego email em 08/2025: 4,013 sessões</w:t>
            </w:r>
          </w:p>
        </w:tc>
      </w:tr>
      <w:tr>
        <w:tc>
          <w:tcPr>
            <w:tcW w:type="dxa" w:w="9406"/>
            <w:shd w:val="clear" w:color="auto" w:fill="D1FAE5"/>
          </w:tcPr>
          <w:p>
            <w:r>
              <w:rPr>
                <w:color w:val="333333"/>
                <w:sz w:val="20"/>
              </w:rPr>
              <w:t>Agosto 2025 registrou o maior volume do período (4,013 sessões), coincidindo com campanhas do IAB IA Summit. Eventos próprios são o maior driver de tráfego email — oportunidade de amplificar este padrão para outros eventos.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1E293B"/>
          </w:tcPr>
          <w:p>
            <w:r>
              <w:rPr>
                <w:b/>
                <w:color w:val="FFFFFF"/>
                <w:sz w:val="21"/>
              </w:rPr>
              <w:t>🎯  [Campanhas] 'AdTech &amp; Branding' é a categoria de email com mais tráfego</w:t>
            </w:r>
          </w:p>
        </w:tc>
      </w:tr>
      <w:tr>
        <w:tc>
          <w:tcPr>
            <w:tcW w:type="dxa" w:w="9406"/>
            <w:shd w:val="clear" w:color="auto" w:fill="D1FAE5"/>
          </w:tcPr>
          <w:p>
            <w:r>
              <w:rPr>
                <w:color w:val="333333"/>
                <w:sz w:val="20"/>
              </w:rPr>
              <w:t>8,290 sessões geradas por campanhas de 'AdTech &amp; Branding'. Validação de que este tipo de conteúdo tem maior ressonância com a base. Recomenda-se aumentar frequência e profundidade deste conteúdo.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1E293B"/>
          </w:tcPr>
          <w:p>
            <w:r>
              <w:rPr>
                <w:b/>
                <w:color w:val="FFFFFF"/>
                <w:sz w:val="21"/>
              </w:rPr>
              <w:t>⏰  [Timing] Melhor engajamento: Quis entre 11h-13h</w:t>
            </w:r>
          </w:p>
        </w:tc>
      </w:tr>
      <w:tr>
        <w:tc>
          <w:tcPr>
            <w:tcW w:type="dxa" w:w="9406"/>
            <w:shd w:val="clear" w:color="auto" w:fill="DBEAFE"/>
          </w:tcPr>
          <w:p>
            <w:r>
              <w:rPr>
                <w:color w:val="333333"/>
                <w:sz w:val="20"/>
              </w:rPr>
              <w:t>Dados do GA4 mostram que Qui e Seg geram mais sessões via email. Alinhar disparos com esta janela temporal pode aumentar abertura e cliques sem nenhum custo adicional.</w:t>
            </w:r>
          </w:p>
        </w:tc>
      </w:tr>
    </w:tbl>
    <w:p/>
    <w:p>
      <w:r>
        <w:br w:type="page"/>
      </w:r>
    </w:p>
    <w:p>
      <w:pPr>
        <w:spacing w:before="280" w:after="120"/>
        <w:jc w:val="left"/>
      </w:pPr>
      <w:r>
        <w:rPr>
          <w:b/>
          <w:color w:val="FF6B35"/>
          <w:sz w:val="32"/>
        </w:rPr>
        <w:t>5. Plano Estratégico de Ação</w:t>
      </w:r>
    </w:p>
    <w:p>
      <w:r>
        <w:rPr>
          <w:b w:val="0"/>
          <w:i/>
          <w:color w:val="333333"/>
          <w:sz w:val="21"/>
        </w:rPr>
        <w:t>10 recomendações priorizadas por impacto e esforço, com KPIs esperados e urgência.</w:t>
      </w:r>
    </w:p>
    <w:p/>
    <w:p>
      <w:r>
        <w:rPr>
          <w:b/>
          <w:color w:val="FF6B35"/>
          <w:sz w:val="24"/>
        </w:rPr>
        <w:t xml:space="preserve">#1 — </w:t>
      </w:r>
      <w:r>
        <w:rPr>
          <w:b/>
          <w:color w:val="0F172A"/>
          <w:sz w:val="24"/>
        </w:rPr>
        <w:t>Padronizar 100% dos UTMs em todos os disparos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E0F2FE"/>
          </w:tcPr>
          <w:p>
            <w:r>
              <w:rPr>
                <w:b/>
                <w:sz w:val="18"/>
              </w:rPr>
              <w:t>Área: UTM &amp; Rastreamento</w:t>
            </w:r>
          </w:p>
        </w:tc>
        <w:tc>
          <w:tcPr>
            <w:tcW w:type="dxa" w:w="2351"/>
            <w:shd w:val="clear" w:color="auto" w:fill="FEE2E2"/>
          </w:tcPr>
          <w:p>
            <w:r>
              <w:rPr>
                <w:b/>
                <w:sz w:val="18"/>
              </w:rPr>
              <w:t>Impacto: Alto</w:t>
            </w:r>
          </w:p>
        </w:tc>
        <w:tc>
          <w:tcPr>
            <w:tcW w:type="dxa" w:w="2351"/>
            <w:shd w:val="clear" w:color="auto" w:fill="D1FAE5"/>
          </w:tcPr>
          <w:p>
            <w:r>
              <w:rPr>
                <w:b/>
                <w:sz w:val="18"/>
              </w:rPr>
              <w:t>Esforço: Baixo</w:t>
            </w:r>
          </w:p>
        </w:tc>
        <w:tc>
          <w:tcPr>
            <w:tcW w:type="dxa" w:w="2351"/>
            <w:shd w:val="clear" w:color="auto" w:fill="FEE2E2"/>
          </w:tcPr>
          <w:p>
            <w:r>
              <w:rPr>
                <w:b/>
                <w:sz w:val="18"/>
              </w:rPr>
              <w:t>Urgência: Imediato</w:t>
            </w:r>
          </w:p>
        </w:tc>
      </w:tr>
    </w:tbl>
    <w:p>
      <w:r>
        <w:rPr>
          <w:color w:val="333333"/>
          <w:sz w:val="20"/>
        </w:rPr>
        <w:t>Implementar template obrigatório: utm_source=RD Station | utm_medium=email | utm_campaign=[categoria_nome_data]. Criar documento de nomenclatura e treinamento da equipe.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7ED"/>
          </w:tcPr>
          <w:p>
            <w:r>
              <w:rPr>
                <w:b/>
                <w:color w:val="FF6B35"/>
                <w:sz w:val="20"/>
              </w:rPr>
              <w:t>🎯 KPI Esperado: 100% de atribuição de tráfego email no GA4</w:t>
            </w:r>
          </w:p>
        </w:tc>
      </w:tr>
    </w:tbl>
    <w:p/>
    <w:p>
      <w:r>
        <w:rPr>
          <w:b/>
          <w:color w:val="FF6B35"/>
          <w:sz w:val="24"/>
        </w:rPr>
        <w:t xml:space="preserve">#2 — </w:t>
      </w:r>
      <w:r>
        <w:rPr>
          <w:b/>
          <w:color w:val="0F172A"/>
          <w:sz w:val="24"/>
        </w:rPr>
        <w:t>Criar Welcome Series para novos contatos CRM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D1FAE5"/>
          </w:tcPr>
          <w:p>
            <w:r>
              <w:rPr>
                <w:b/>
                <w:sz w:val="18"/>
              </w:rPr>
              <w:t>Área: Automações</w:t>
            </w:r>
          </w:p>
        </w:tc>
        <w:tc>
          <w:tcPr>
            <w:tcW w:type="dxa" w:w="2351"/>
            <w:shd w:val="clear" w:color="auto" w:fill="FEE2E2"/>
          </w:tcPr>
          <w:p>
            <w:r>
              <w:rPr>
                <w:b/>
                <w:sz w:val="18"/>
              </w:rPr>
              <w:t>Impacto: Alto</w:t>
            </w:r>
          </w:p>
        </w:tc>
        <w:tc>
          <w:tcPr>
            <w:tcW w:type="dxa" w:w="2351"/>
            <w:shd w:val="clear" w:color="auto" w:fill="FEF3C7"/>
          </w:tcPr>
          <w:p>
            <w:r>
              <w:rPr>
                <w:b/>
                <w:sz w:val="18"/>
              </w:rPr>
              <w:t>Esforço: Médio</w:t>
            </w:r>
          </w:p>
        </w:tc>
        <w:tc>
          <w:tcPr>
            <w:tcW w:type="dxa" w:w="2351"/>
            <w:shd w:val="clear" w:color="auto" w:fill="FEF3C7"/>
          </w:tcPr>
          <w:p>
            <w:r>
              <w:rPr>
                <w:b/>
                <w:sz w:val="18"/>
              </w:rPr>
              <w:t>Urgência: Curto prazo</w:t>
            </w:r>
          </w:p>
        </w:tc>
      </w:tr>
    </w:tbl>
    <w:p>
      <w:r>
        <w:rPr>
          <w:color w:val="333333"/>
          <w:sz w:val="20"/>
        </w:rPr>
        <w:t>Fluxo automatizado 5 emails para novos leads: D+0 Boas-vindas &gt; D+3 Apresentação IAB Brasil &gt; D+7 Conteúdo top (pesquisa/relatório) &gt; D+14 Convite próximo evento &gt; D+21 Call para associação.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7ED"/>
          </w:tcPr>
          <w:p>
            <w:r>
              <w:rPr>
                <w:b/>
                <w:color w:val="FF6B35"/>
                <w:sz w:val="20"/>
              </w:rPr>
              <w:t>🎯 KPI Esperado: +30% engajamento de novos contatos nos primeiros 30 dias</w:t>
            </w:r>
          </w:p>
        </w:tc>
      </w:tr>
    </w:tbl>
    <w:p/>
    <w:p>
      <w:r>
        <w:rPr>
          <w:b/>
          <w:color w:val="FF6B35"/>
          <w:sz w:val="24"/>
        </w:rPr>
        <w:t xml:space="preserve">#3 — </w:t>
      </w:r>
      <w:r>
        <w:rPr>
          <w:b/>
          <w:color w:val="0F172A"/>
          <w:sz w:val="24"/>
        </w:rPr>
        <w:t>Amplificar régua de email para todos os eventos IAB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FEF3C7"/>
          </w:tcPr>
          <w:p>
            <w:r>
              <w:rPr>
                <w:b/>
                <w:sz w:val="18"/>
              </w:rPr>
              <w:t>Área: Eventos &amp; Lançamentos</w:t>
            </w:r>
          </w:p>
        </w:tc>
        <w:tc>
          <w:tcPr>
            <w:tcW w:type="dxa" w:w="2351"/>
            <w:shd w:val="clear" w:color="auto" w:fill="FEE2E2"/>
          </w:tcPr>
          <w:p>
            <w:r>
              <w:rPr>
                <w:b/>
                <w:sz w:val="18"/>
              </w:rPr>
              <w:t>Impacto: Alto</w:t>
            </w:r>
          </w:p>
        </w:tc>
        <w:tc>
          <w:tcPr>
            <w:tcW w:type="dxa" w:w="2351"/>
            <w:shd w:val="clear" w:color="auto" w:fill="FEF3C7"/>
          </w:tcPr>
          <w:p>
            <w:r>
              <w:rPr>
                <w:b/>
                <w:sz w:val="18"/>
              </w:rPr>
              <w:t>Esforço: Médio</w:t>
            </w:r>
          </w:p>
        </w:tc>
        <w:tc>
          <w:tcPr>
            <w:tcW w:type="dxa" w:w="2351"/>
            <w:shd w:val="clear" w:color="auto" w:fill="FEF3C7"/>
          </w:tcPr>
          <w:p>
            <w:r>
              <w:rPr>
                <w:b/>
                <w:sz w:val="18"/>
              </w:rPr>
              <w:t>Urgência: Curto prazo</w:t>
            </w:r>
          </w:p>
        </w:tc>
      </w:tr>
    </w:tbl>
    <w:p>
      <w:r>
        <w:rPr>
          <w:color w:val="333333"/>
          <w:sz w:val="20"/>
        </w:rPr>
        <w:t>O IA Summit gerou o maior pico do ano. Replicar esta régua (Save the Date → Abertura de Inscrições → Last Call → Pós-evento) para AdTech &amp; Branding 2025 e demais eventos.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7ED"/>
          </w:tcPr>
          <w:p>
            <w:r>
              <w:rPr>
                <w:b/>
                <w:color w:val="FF6B35"/>
                <w:sz w:val="20"/>
              </w:rPr>
              <w:t>🎯 KPI Esperado: +25% inscrições via email em eventos</w:t>
            </w:r>
          </w:p>
        </w:tc>
      </w:tr>
    </w:tbl>
    <w:p/>
    <w:p>
      <w:r>
        <w:rPr>
          <w:b/>
          <w:color w:val="FF6B35"/>
          <w:sz w:val="24"/>
        </w:rPr>
        <w:t xml:space="preserve">#4 — </w:t>
      </w:r>
      <w:r>
        <w:rPr>
          <w:b/>
          <w:color w:val="0F172A"/>
          <w:sz w:val="24"/>
        </w:rPr>
        <w:t>Auditoria e otimização mobile-first de landing pages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FEE2E2"/>
          </w:tcPr>
          <w:p>
            <w:r>
              <w:rPr>
                <w:b/>
                <w:sz w:val="18"/>
              </w:rPr>
              <w:t>Área: Mobile &amp; CRO</w:t>
            </w:r>
          </w:p>
        </w:tc>
        <w:tc>
          <w:tcPr>
            <w:tcW w:type="dxa" w:w="2351"/>
            <w:shd w:val="clear" w:color="auto" w:fill="FEE2E2"/>
          </w:tcPr>
          <w:p>
            <w:r>
              <w:rPr>
                <w:b/>
                <w:sz w:val="18"/>
              </w:rPr>
              <w:t>Impacto: Alto</w:t>
            </w:r>
          </w:p>
        </w:tc>
        <w:tc>
          <w:tcPr>
            <w:tcW w:type="dxa" w:w="2351"/>
            <w:shd w:val="clear" w:color="auto" w:fill="FEF3C7"/>
          </w:tcPr>
          <w:p>
            <w:r>
              <w:rPr>
                <w:b/>
                <w:sz w:val="18"/>
              </w:rPr>
              <w:t>Esforço: Médio</w:t>
            </w:r>
          </w:p>
        </w:tc>
        <w:tc>
          <w:tcPr>
            <w:tcW w:type="dxa" w:w="2351"/>
            <w:shd w:val="clear" w:color="auto" w:fill="DBEAFE"/>
          </w:tcPr>
          <w:p>
            <w:r>
              <w:rPr>
                <w:b/>
                <w:sz w:val="18"/>
              </w:rPr>
              <w:t>Urgência: Médio prazo</w:t>
            </w:r>
          </w:p>
        </w:tc>
      </w:tr>
    </w:tbl>
    <w:p>
      <w:r>
        <w:rPr>
          <w:color w:val="333333"/>
          <w:sz w:val="20"/>
        </w:rPr>
        <w:t>Com maioria mobile, auditar todas as páginas de destino dos emails (homepage, eventos, cursos). Testar velocidade, CTAs, formulários e legibilidade em telas pequenas.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7ED"/>
          </w:tcPr>
          <w:p>
            <w:r>
              <w:rPr>
                <w:b/>
                <w:color w:val="FF6B35"/>
                <w:sz w:val="20"/>
              </w:rPr>
              <w:t>🎯 KPI Esperado: Reduzir bounce rate mobile de email em 20%</w:t>
            </w:r>
          </w:p>
        </w:tc>
      </w:tr>
    </w:tbl>
    <w:p/>
    <w:p>
      <w:r>
        <w:rPr>
          <w:b/>
          <w:color w:val="FF6B35"/>
          <w:sz w:val="24"/>
        </w:rPr>
        <w:t xml:space="preserve">#5 — </w:t>
      </w:r>
      <w:r>
        <w:rPr>
          <w:b/>
          <w:color w:val="0F172A"/>
          <w:sz w:val="24"/>
        </w:rPr>
        <w:t>Segmentar base por cargo e área de atuação para personalização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EDE9FE"/>
          </w:tcPr>
          <w:p>
            <w:r>
              <w:rPr>
                <w:b/>
                <w:sz w:val="18"/>
              </w:rPr>
              <w:t>Área: Segmentação</w:t>
            </w:r>
          </w:p>
        </w:tc>
        <w:tc>
          <w:tcPr>
            <w:tcW w:type="dxa" w:w="2351"/>
            <w:shd w:val="clear" w:color="auto" w:fill="FEE2E2"/>
          </w:tcPr>
          <w:p>
            <w:r>
              <w:rPr>
                <w:b/>
                <w:sz w:val="18"/>
              </w:rPr>
              <w:t>Impacto: Alto</w:t>
            </w:r>
          </w:p>
        </w:tc>
        <w:tc>
          <w:tcPr>
            <w:tcW w:type="dxa" w:w="2351"/>
            <w:shd w:val="clear" w:color="auto" w:fill="FEE2E2"/>
          </w:tcPr>
          <w:p>
            <w:r>
              <w:rPr>
                <w:b/>
                <w:sz w:val="18"/>
              </w:rPr>
              <w:t>Esforço: Alto</w:t>
            </w:r>
          </w:p>
        </w:tc>
        <w:tc>
          <w:tcPr>
            <w:tcW w:type="dxa" w:w="2351"/>
            <w:shd w:val="clear" w:color="auto" w:fill="DBEAFE"/>
          </w:tcPr>
          <w:p>
            <w:r>
              <w:rPr>
                <w:b/>
                <w:sz w:val="18"/>
              </w:rPr>
              <w:t>Urgência: Médio prazo</w:t>
            </w:r>
          </w:p>
        </w:tc>
      </w:tr>
    </w:tbl>
    <w:p>
      <w:r>
        <w:rPr>
          <w:color w:val="333333"/>
          <w:sz w:val="20"/>
        </w:rPr>
        <w:t>Com 524 contatos e 59 segmentos de organização, criar trilhas de conteúdo segmentadas: executivos de mídia (cases/ROI), agências (ferramentas/tendências), anunciantes (pesquisas/benchmarks).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7ED"/>
          </w:tcPr>
          <w:p>
            <w:r>
              <w:rPr>
                <w:b/>
                <w:color w:val="FF6B35"/>
                <w:sz w:val="20"/>
              </w:rPr>
              <w:t>🎯 KPI Esperado: +15% CTOR por segmento relevante</w:t>
            </w:r>
          </w:p>
        </w:tc>
      </w:tr>
    </w:tbl>
    <w:p/>
    <w:p>
      <w:r>
        <w:rPr>
          <w:b/>
          <w:color w:val="FF6B35"/>
          <w:sz w:val="24"/>
        </w:rPr>
        <w:t xml:space="preserve">#6 — </w:t>
      </w:r>
      <w:r>
        <w:rPr>
          <w:b/>
          <w:color w:val="0F172A"/>
          <w:sz w:val="24"/>
        </w:rPr>
        <w:t>Estruturar IAB News como produto editorial semanal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DBEAFE"/>
          </w:tcPr>
          <w:p>
            <w:r>
              <w:rPr>
                <w:b/>
                <w:sz w:val="18"/>
              </w:rPr>
              <w:t>Área: Newsletter</w:t>
            </w:r>
          </w:p>
        </w:tc>
        <w:tc>
          <w:tcPr>
            <w:tcW w:type="dxa" w:w="2351"/>
            <w:shd w:val="clear" w:color="auto" w:fill="FEF3C7"/>
          </w:tcPr>
          <w:p>
            <w:r>
              <w:rPr>
                <w:b/>
                <w:sz w:val="18"/>
              </w:rPr>
              <w:t>Impacto: Médio</w:t>
            </w:r>
          </w:p>
        </w:tc>
        <w:tc>
          <w:tcPr>
            <w:tcW w:type="dxa" w:w="2351"/>
            <w:shd w:val="clear" w:color="auto" w:fill="FEF3C7"/>
          </w:tcPr>
          <w:p>
            <w:r>
              <w:rPr>
                <w:b/>
                <w:sz w:val="18"/>
              </w:rPr>
              <w:t>Esforço: Médio</w:t>
            </w:r>
          </w:p>
        </w:tc>
        <w:tc>
          <w:tcPr>
            <w:tcW w:type="dxa" w:w="2351"/>
            <w:shd w:val="clear" w:color="auto" w:fill="DBEAFE"/>
          </w:tcPr>
          <w:p>
            <w:r>
              <w:rPr>
                <w:b/>
                <w:sz w:val="18"/>
              </w:rPr>
              <w:t>Urgência: Médio prazo</w:t>
            </w:r>
          </w:p>
        </w:tc>
      </w:tr>
    </w:tbl>
    <w:p>
      <w:r>
        <w:rPr>
          <w:color w:val="333333"/>
          <w:sz w:val="20"/>
        </w:rPr>
        <w:t>Newsletter semanal com: 1 destaque editorial, 1 pesquisa/relatório, 1 evento próximo, 1 comitê em destaque, 1 oportunidade de associação. Testar A/B assunto semanalmente.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7ED"/>
          </w:tcPr>
          <w:p>
            <w:r>
              <w:rPr>
                <w:b/>
                <w:color w:val="FF6B35"/>
                <w:sz w:val="20"/>
              </w:rPr>
              <w:t>🎯 KPI Esperado: Aumentar engajamento newsletter em 20%</w:t>
            </w:r>
          </w:p>
        </w:tc>
      </w:tr>
    </w:tbl>
    <w:p/>
    <w:p>
      <w:r>
        <w:rPr>
          <w:b/>
          <w:color w:val="FF6B35"/>
          <w:sz w:val="24"/>
        </w:rPr>
        <w:t xml:space="preserve">#7 — </w:t>
      </w:r>
      <w:r>
        <w:rPr>
          <w:b/>
          <w:color w:val="0F172A"/>
          <w:sz w:val="24"/>
        </w:rPr>
        <w:t>Otimizar janela de envio para Qui entre 11h-13h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FEF3C7"/>
          </w:tcPr>
          <w:p>
            <w:r>
              <w:rPr>
                <w:b/>
                <w:sz w:val="18"/>
              </w:rPr>
              <w:t>Área: Timing &amp; Frequência</w:t>
            </w:r>
          </w:p>
        </w:tc>
        <w:tc>
          <w:tcPr>
            <w:tcW w:type="dxa" w:w="2351"/>
            <w:shd w:val="clear" w:color="auto" w:fill="FEF3C7"/>
          </w:tcPr>
          <w:p>
            <w:r>
              <w:rPr>
                <w:b/>
                <w:sz w:val="18"/>
              </w:rPr>
              <w:t>Impacto: Médio</w:t>
            </w:r>
          </w:p>
        </w:tc>
        <w:tc>
          <w:tcPr>
            <w:tcW w:type="dxa" w:w="2351"/>
            <w:shd w:val="clear" w:color="auto" w:fill="D1FAE5"/>
          </w:tcPr>
          <w:p>
            <w:r>
              <w:rPr>
                <w:b/>
                <w:sz w:val="18"/>
              </w:rPr>
              <w:t>Esforço: Baixo</w:t>
            </w:r>
          </w:p>
        </w:tc>
        <w:tc>
          <w:tcPr>
            <w:tcW w:type="dxa" w:w="2351"/>
            <w:shd w:val="clear" w:color="auto" w:fill="FEE2E2"/>
          </w:tcPr>
          <w:p>
            <w:r>
              <w:rPr>
                <w:b/>
                <w:sz w:val="18"/>
              </w:rPr>
              <w:t>Urgência: Imediato</w:t>
            </w:r>
          </w:p>
        </w:tc>
      </w:tr>
    </w:tbl>
    <w:p>
      <w:r>
        <w:rPr>
          <w:color w:val="333333"/>
          <w:sz w:val="20"/>
        </w:rPr>
        <w:t>Dados GA4 mostram padrão claro de engajamento. Alinhar todos os disparos marketing com esta janela, especialmente para newsletters e conteúdos não urgentes.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7ED"/>
          </w:tcPr>
          <w:p>
            <w:r>
              <w:rPr>
                <w:b/>
                <w:color w:val="FF6B35"/>
                <w:sz w:val="20"/>
              </w:rPr>
              <w:t>🎯 KPI Esperado: +10% sessions via email sem aumento de volume de envios</w:t>
            </w:r>
          </w:p>
        </w:tc>
      </w:tr>
    </w:tbl>
    <w:p/>
    <w:p>
      <w:r>
        <w:rPr>
          <w:b/>
          <w:color w:val="FF6B35"/>
          <w:sz w:val="24"/>
        </w:rPr>
        <w:t xml:space="preserve">#8 — </w:t>
      </w:r>
      <w:r>
        <w:rPr>
          <w:b/>
          <w:color w:val="0F172A"/>
          <w:sz w:val="24"/>
        </w:rPr>
        <w:t>Implementar A/B test sistemático em linha de assunto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FEF3C7"/>
          </w:tcPr>
          <w:p>
            <w:r>
              <w:rPr>
                <w:b/>
                <w:sz w:val="18"/>
              </w:rPr>
              <w:t>Área: Conteúdo &amp; Copy</w:t>
            </w:r>
          </w:p>
        </w:tc>
        <w:tc>
          <w:tcPr>
            <w:tcW w:type="dxa" w:w="2351"/>
            <w:shd w:val="clear" w:color="auto" w:fill="FEF3C7"/>
          </w:tcPr>
          <w:p>
            <w:r>
              <w:rPr>
                <w:b/>
                <w:sz w:val="18"/>
              </w:rPr>
              <w:t>Impacto: Médio</w:t>
            </w:r>
          </w:p>
        </w:tc>
        <w:tc>
          <w:tcPr>
            <w:tcW w:type="dxa" w:w="2351"/>
            <w:shd w:val="clear" w:color="auto" w:fill="D1FAE5"/>
          </w:tcPr>
          <w:p>
            <w:r>
              <w:rPr>
                <w:b/>
                <w:sz w:val="18"/>
              </w:rPr>
              <w:t>Esforço: Baixo</w:t>
            </w:r>
          </w:p>
        </w:tc>
        <w:tc>
          <w:tcPr>
            <w:tcW w:type="dxa" w:w="2351"/>
            <w:shd w:val="clear" w:color="auto" w:fill="FEF3C7"/>
          </w:tcPr>
          <w:p>
            <w:r>
              <w:rPr>
                <w:b/>
                <w:sz w:val="18"/>
              </w:rPr>
              <w:t>Urgência: Curto prazo</w:t>
            </w:r>
          </w:p>
        </w:tc>
      </w:tr>
    </w:tbl>
    <w:p>
      <w:r>
        <w:rPr>
          <w:color w:val="333333"/>
          <w:sz w:val="20"/>
        </w:rPr>
        <w:t>Em 100% dos disparos, testar 2 variações de assunto: urgência vs curiosidade, com número vs sem, personalizado vs genérico. Documentar vencedores e criar banco de assuntos de alta performance.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7ED"/>
          </w:tcPr>
          <w:p>
            <w:r>
              <w:rPr>
                <w:b/>
                <w:color w:val="FF6B35"/>
                <w:sz w:val="20"/>
              </w:rPr>
              <w:t>🎯 KPI Esperado: +10-15% taxa de abertura</w:t>
            </w:r>
          </w:p>
        </w:tc>
      </w:tr>
    </w:tbl>
    <w:p/>
    <w:p>
      <w:r>
        <w:rPr>
          <w:b/>
          <w:color w:val="FF6B35"/>
          <w:sz w:val="24"/>
        </w:rPr>
        <w:t xml:space="preserve">#9 — </w:t>
      </w:r>
      <w:r>
        <w:rPr>
          <w:b/>
          <w:color w:val="0F172A"/>
          <w:sz w:val="24"/>
        </w:rPr>
        <w:t>Criar fluxo de reengajamento para oportunidades paradas no pipeline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D1FAE5"/>
          </w:tcPr>
          <w:p>
            <w:r>
              <w:rPr>
                <w:b/>
                <w:sz w:val="18"/>
              </w:rPr>
              <w:t>Área: CRM &amp; Nurturing</w:t>
            </w:r>
          </w:p>
        </w:tc>
        <w:tc>
          <w:tcPr>
            <w:tcW w:type="dxa" w:w="2351"/>
            <w:shd w:val="clear" w:color="auto" w:fill="FEE2E2"/>
          </w:tcPr>
          <w:p>
            <w:r>
              <w:rPr>
                <w:b/>
                <w:sz w:val="18"/>
              </w:rPr>
              <w:t>Impacto: Alto</w:t>
            </w:r>
          </w:p>
        </w:tc>
        <w:tc>
          <w:tcPr>
            <w:tcW w:type="dxa" w:w="2351"/>
            <w:shd w:val="clear" w:color="auto" w:fill="FEF3C7"/>
          </w:tcPr>
          <w:p>
            <w:r>
              <w:rPr>
                <w:b/>
                <w:sz w:val="18"/>
              </w:rPr>
              <w:t>Esforço: Médio</w:t>
            </w:r>
          </w:p>
        </w:tc>
        <w:tc>
          <w:tcPr>
            <w:tcW w:type="dxa" w:w="2351"/>
            <w:shd w:val="clear" w:color="auto" w:fill="DBEAFE"/>
          </w:tcPr>
          <w:p>
            <w:r>
              <w:rPr>
                <w:b/>
                <w:sz w:val="18"/>
              </w:rPr>
              <w:t>Urgência: Médio prazo</w:t>
            </w:r>
          </w:p>
        </w:tc>
      </w:tr>
    </w:tbl>
    <w:p>
      <w:r>
        <w:rPr>
          <w:color w:val="333333"/>
          <w:sz w:val="20"/>
        </w:rPr>
        <w:t>Com 72 deals no CRM, identificar deals sem atividade há 60+ dias e criar sequência automática de reengajamento via email com conteúdo relevante ao estágio do funil.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7ED"/>
          </w:tcPr>
          <w:p>
            <w:r>
              <w:rPr>
                <w:b/>
                <w:color w:val="FF6B35"/>
                <w:sz w:val="20"/>
              </w:rPr>
              <w:t>🎯 KPI Esperado: +20% taxa de fechamento de deals parados</w:t>
            </w:r>
          </w:p>
        </w:tc>
      </w:tr>
    </w:tbl>
    <w:p/>
    <w:p>
      <w:r>
        <w:rPr>
          <w:b/>
          <w:color w:val="FF6B35"/>
          <w:sz w:val="24"/>
        </w:rPr>
        <w:t xml:space="preserve">#10 — </w:t>
      </w:r>
      <w:r>
        <w:rPr>
          <w:b/>
          <w:color w:val="0F172A"/>
          <w:sz w:val="24"/>
        </w:rPr>
        <w:t>Auditoria de entregabilidade e higienização da base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FEE2E2"/>
          </w:tcPr>
          <w:p>
            <w:r>
              <w:rPr>
                <w:b/>
                <w:sz w:val="18"/>
              </w:rPr>
              <w:t>Área: Entregabilidade</w:t>
            </w:r>
          </w:p>
        </w:tc>
        <w:tc>
          <w:tcPr>
            <w:tcW w:type="dxa" w:w="2351"/>
            <w:shd w:val="clear" w:color="auto" w:fill="FEE2E2"/>
          </w:tcPr>
          <w:p>
            <w:r>
              <w:rPr>
                <w:b/>
                <w:sz w:val="18"/>
              </w:rPr>
              <w:t>Impacto: Alto</w:t>
            </w:r>
          </w:p>
        </w:tc>
        <w:tc>
          <w:tcPr>
            <w:tcW w:type="dxa" w:w="2351"/>
            <w:shd w:val="clear" w:color="auto" w:fill="FEF3C7"/>
          </w:tcPr>
          <w:p>
            <w:r>
              <w:rPr>
                <w:b/>
                <w:sz w:val="18"/>
              </w:rPr>
              <w:t>Esforço: Médio</w:t>
            </w:r>
          </w:p>
        </w:tc>
        <w:tc>
          <w:tcPr>
            <w:tcW w:type="dxa" w:w="2351"/>
            <w:shd w:val="clear" w:color="auto" w:fill="DBEAFE"/>
          </w:tcPr>
          <w:p>
            <w:r>
              <w:rPr>
                <w:b/>
                <w:sz w:val="18"/>
              </w:rPr>
              <w:t>Urgência: Médio prazo</w:t>
            </w:r>
          </w:p>
        </w:tc>
      </w:tr>
    </w:tbl>
    <w:p>
      <w:r>
        <w:rPr>
          <w:color w:val="333333"/>
          <w:sz w:val="20"/>
        </w:rPr>
        <w:t>Validar configurações SPF, DKIM e DMARC para o domínio iabbrasil.org.br. Segmentar inativos há 6+ meses para campanha de reativação antes de exclusão. Implementar double opt-in para novos cadastros.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7ED"/>
          </w:tcPr>
          <w:p>
            <w:r>
              <w:rPr>
                <w:b/>
                <w:color w:val="FF6B35"/>
                <w:sz w:val="20"/>
              </w:rPr>
              <w:t>🎯 KPI Esperado: Entregabilidade &gt;99%, bounce rate &lt;1%</w:t>
            </w:r>
          </w:p>
        </w:tc>
      </w:tr>
    </w:tbl>
    <w:p/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