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0"/>
        <w:jc w:val="center"/>
      </w:pPr>
      <w:r>
        <w:rPr>
          <w:b/>
          <w:color w:val="FF6B35"/>
          <w:sz w:val="64"/>
        </w:rPr>
        <w:t>IAB BRASIL</w:t>
      </w:r>
    </w:p>
    <w:p>
      <w:pPr>
        <w:spacing w:before="80" w:after="0"/>
        <w:jc w:val="center"/>
      </w:pPr>
      <w:r>
        <w:rPr>
          <w:b/>
          <w:color w:val="0F172A"/>
          <w:sz w:val="40"/>
        </w:rPr>
        <w:t>Análise Diagnóstica de Email Marketing</w:t>
      </w:r>
    </w:p>
    <w:p>
      <w:pPr>
        <w:spacing w:before="80" w:after="0"/>
        <w:jc w:val="center"/>
      </w:pPr>
      <w:r>
        <w:rPr>
          <w:color w:val="64748B"/>
          <w:sz w:val="26"/>
        </w:rPr>
        <w:t>RD Station Marketing + Google Analytics 4</w:t>
      </w:r>
    </w:p>
    <w:p/>
    <w:p>
      <w:pPr>
        <w:spacing w:before="320" w:after="320"/>
        <w:jc w:val="center"/>
      </w:pPr>
      <w:r>
        <w:rPr>
          <w:color w:val="FF6B35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Período de Análise: </w:t>
      </w:r>
      <w:r>
        <w:rPr>
          <w:color w:val="FF6B35"/>
          <w:sz w:val="22"/>
        </w:rPr>
        <w:t>Março 2025 – Março 2026 (13 meses)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Plataforma Principal: </w:t>
      </w:r>
      <w:r>
        <w:rPr>
          <w:color w:val="FF6B35"/>
          <w:sz w:val="22"/>
        </w:rPr>
        <w:t>RD Station Marketing — Disparos de Email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Plataforma Suporte: </w:t>
      </w:r>
      <w:r>
        <w:rPr>
          <w:color w:val="FF6B35"/>
          <w:sz w:val="22"/>
        </w:rPr>
        <w:t>Google Analytics 4 — Tráfego no Site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Base de Leads: </w:t>
      </w:r>
      <w:r>
        <w:rPr>
          <w:color w:val="FF6B35"/>
          <w:sz w:val="22"/>
        </w:rPr>
        <w:t>48.739 contatos ativos no RD Station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Total de Disparos: </w:t>
      </w:r>
      <w:r>
        <w:rPr>
          <w:color w:val="FF6B35"/>
          <w:sz w:val="22"/>
        </w:rPr>
        <w:t>89.200 e-mails enviados no período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Elaborado por: </w:t>
      </w:r>
      <w:r>
        <w:rPr>
          <w:color w:val="FF6B35"/>
          <w:sz w:val="22"/>
        </w:rPr>
        <w:t>Ivoire Agency</w:t>
      </w:r>
    </w:p>
    <w:p>
      <w:pPr>
        <w:spacing w:before="60" w:after="60"/>
        <w:jc w:val="center"/>
      </w:pPr>
      <w:r>
        <w:rPr>
          <w:b/>
          <w:color w:val="334155"/>
          <w:sz w:val="22"/>
        </w:rPr>
        <w:t xml:space="preserve">Data: </w:t>
      </w:r>
      <w:r>
        <w:rPr>
          <w:color w:val="FF6B35"/>
          <w:sz w:val="22"/>
        </w:rPr>
        <w:t>04/03/2026</w:t>
      </w:r>
    </w:p>
    <w:p>
      <w:r>
        <w:br w:type="page"/>
      </w:r>
    </w:p>
    <w:p>
      <w:pPr>
        <w:pStyle w:val="Heading1"/>
      </w:pPr>
      <w:r>
        <w:t>1. Sumário Executivo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A IAB Brasil possui uma operação de email marketing sólida e acima dos benchmarks do mercado B2B. Com 48.739 leads ativos na base do RD Station Marketing, a organização realizou 89.200 disparos nos últimos 13 meses, atingindo taxa de entrega de 98,0% e taxa de abertura de 32,0% — significativamente acima da média do setor (20–25%). Os 9.639 cliques gerados converteram em 19.335 sessões rastreadas pelo Google Analytics 4, tornando o email o 3º maior canal de tráfego do site iabbrasil.com.br.</w:t>
      </w:r>
    </w:p>
    <w:p>
      <w:pPr>
        <w:pStyle w:val="Heading2"/>
      </w:pPr>
      <w:r>
        <w:t>KPIs Executivos — RD Station Email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FF6B35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Total de Leads na Base</w:t>
            </w:r>
          </w:p>
        </w:tc>
        <w:tc>
          <w:tcPr>
            <w:tcW w:type="dxa" w:w="2880"/>
            <w:shd w:val="clear" w:color="auto" w:fill="4ECDC4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Leads Utilizados</w:t>
            </w:r>
          </w:p>
        </w:tc>
        <w:tc>
          <w:tcPr>
            <w:tcW w:type="dxa" w:w="2880"/>
            <w:shd w:val="clear" w:color="auto" w:fill="3B82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E-mails Enviados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F6B35"/>
                <w:sz w:val="32"/>
              </w:rPr>
              <w:t>48.739</w:t>
            </w:r>
            <w:r>
              <w:rPr>
                <w:b w:val="0"/>
                <w:color w:val="64748B"/>
                <w:sz w:val="15"/>
              </w:rPr>
              <w:br/>
              <w:t>RD Station Marketing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4ECDC4"/>
                <w:sz w:val="32"/>
              </w:rPr>
              <w:t>32.400</w:t>
            </w:r>
            <w:r>
              <w:rPr>
                <w:b w:val="0"/>
                <w:color w:val="64748B"/>
                <w:sz w:val="15"/>
              </w:rPr>
              <w:br/>
              <w:t>Leads únicos disparados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3B82F6"/>
                <w:sz w:val="32"/>
              </w:rPr>
              <w:t>89.200</w:t>
            </w:r>
            <w:r>
              <w:rPr>
                <w:b w:val="0"/>
                <w:color w:val="64748B"/>
                <w:sz w:val="15"/>
              </w:rPr>
              <w:br/>
              <w:t>Total de disparos</w:t>
            </w:r>
          </w:p>
        </w:tc>
      </w:tr>
      <w:tr>
        <w:tc>
          <w:tcPr>
            <w:tcW w:type="dxa" w:w="2880"/>
            <w:shd w:val="clear" w:color="auto" w:fill="10B981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Entregues</w:t>
            </w:r>
          </w:p>
        </w:tc>
        <w:tc>
          <w:tcPr>
            <w:tcW w:type="dxa" w:w="2880"/>
            <w:shd w:val="clear" w:color="auto" w:fill="F59E0B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Aberturas</w:t>
            </w:r>
          </w:p>
        </w:tc>
        <w:tc>
          <w:tcPr>
            <w:tcW w:type="dxa" w:w="2880"/>
            <w:shd w:val="clear" w:color="auto" w:fill="8B5C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Cliques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10B981"/>
                <w:sz w:val="32"/>
              </w:rPr>
              <w:t>87.416</w:t>
            </w:r>
            <w:r>
              <w:rPr>
                <w:b w:val="0"/>
                <w:color w:val="64748B"/>
                <w:sz w:val="15"/>
              </w:rPr>
              <w:br/>
              <w:t>Taxa: 98,0%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59E0B"/>
                <w:sz w:val="32"/>
              </w:rPr>
              <w:t>27.990</w:t>
            </w:r>
            <w:r>
              <w:rPr>
                <w:b w:val="0"/>
                <w:color w:val="64748B"/>
                <w:sz w:val="15"/>
              </w:rPr>
              <w:br/>
              <w:t>Taxa de Abertura: 32,0%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8B5CF6"/>
                <w:sz w:val="32"/>
              </w:rPr>
              <w:t>9.639</w:t>
            </w:r>
            <w:r>
              <w:rPr>
                <w:b w:val="0"/>
                <w:color w:val="64748B"/>
                <w:sz w:val="15"/>
              </w:rPr>
              <w:br/>
              <w:t>CTR: 10,8% | CTOR: 34,4%</w:t>
            </w:r>
          </w:p>
        </w:tc>
      </w:tr>
      <w:tr>
        <w:tc>
          <w:tcPr>
            <w:tcW w:type="dxa" w:w="2880"/>
            <w:shd w:val="clear" w:color="auto" w:fill="EC4899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Descadastros</w:t>
            </w:r>
          </w:p>
        </w:tc>
        <w:tc>
          <w:tcPr>
            <w:tcW w:type="dxa" w:w="2880"/>
            <w:shd w:val="clear" w:color="auto" w:fill="EF4444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Spam</w:t>
            </w:r>
          </w:p>
        </w:tc>
        <w:tc>
          <w:tcPr>
            <w:tcW w:type="dxa" w:w="2880"/>
            <w:shd w:val="clear" w:color="auto" w:fill="10B981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Taxa de Entrega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EC4899"/>
                <w:sz w:val="32"/>
              </w:rPr>
              <w:t>267</w:t>
            </w:r>
            <w:r>
              <w:rPr>
                <w:b w:val="0"/>
                <w:color w:val="64748B"/>
                <w:sz w:val="15"/>
              </w:rPr>
              <w:br/>
              <w:t>Taxa: 0,3%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EF4444"/>
                <w:sz w:val="32"/>
              </w:rPr>
              <w:t>89</w:t>
            </w:r>
            <w:r>
              <w:rPr>
                <w:b w:val="0"/>
                <w:color w:val="64748B"/>
                <w:sz w:val="15"/>
              </w:rPr>
              <w:br/>
              <w:t>Taxa: 0,1%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10B981"/>
                <w:sz w:val="32"/>
              </w:rPr>
              <w:t>98,0%</w:t>
            </w:r>
            <w:r>
              <w:rPr>
                <w:b w:val="0"/>
                <w:color w:val="64748B"/>
                <w:sz w:val="15"/>
              </w:rPr>
              <w:br/>
              <w:t>Meta: &gt;98%  ✓</w:t>
            </w:r>
          </w:p>
        </w:tc>
      </w:tr>
      <w:tr>
        <w:tc>
          <w:tcPr>
            <w:tcW w:type="dxa" w:w="2880"/>
            <w:shd w:val="clear" w:color="auto" w:fill="FF6B35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Taxa de Abertura</w:t>
            </w:r>
          </w:p>
        </w:tc>
        <w:tc>
          <w:tcPr>
            <w:tcW w:type="dxa" w:w="2880"/>
            <w:shd w:val="clear" w:color="auto" w:fill="3B82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CTR (Cliques/Enviados)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F6B35"/>
                <w:sz w:val="32"/>
              </w:rPr>
              <w:t>32,0%</w:t>
            </w:r>
            <w:r>
              <w:rPr>
                <w:b w:val="0"/>
                <w:color w:val="64748B"/>
                <w:sz w:val="15"/>
              </w:rPr>
              <w:br/>
              <w:t>Benchmark B2B: 20–25%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3B82F6"/>
                <w:sz w:val="32"/>
              </w:rPr>
              <w:t>10,8%</w:t>
            </w:r>
            <w:r>
              <w:rPr>
                <w:b w:val="0"/>
                <w:color w:val="64748B"/>
                <w:sz w:val="15"/>
              </w:rPr>
              <w:br/>
              <w:t>Benchmark: 2–5%</w:t>
            </w:r>
          </w:p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t>KPIs de Suporte — Google Analytics 4 (Tráfego Email)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3B82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Sessões via Email (GA4)</w:t>
            </w:r>
          </w:p>
        </w:tc>
        <w:tc>
          <w:tcPr>
            <w:tcW w:type="dxa" w:w="2880"/>
            <w:shd w:val="clear" w:color="auto" w:fill="4ECDC4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Share do Canal Email</w:t>
            </w:r>
          </w:p>
        </w:tc>
        <w:tc>
          <w:tcPr>
            <w:tcW w:type="dxa" w:w="2880"/>
            <w:shd w:val="clear" w:color="auto" w:fill="10B981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Taxa de Rejeição Email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3B82F6"/>
                <w:sz w:val="32"/>
              </w:rPr>
              <w:t>19.335</w:t>
            </w:r>
            <w:r>
              <w:rPr>
                <w:b w:val="0"/>
                <w:color w:val="64748B"/>
                <w:sz w:val="15"/>
              </w:rPr>
              <w:br/>
              <w:t>Últimos 13 meses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4ECDC4"/>
                <w:sz w:val="32"/>
              </w:rPr>
              <w:t>17,7%</w:t>
            </w:r>
            <w:r>
              <w:rPr>
                <w:b w:val="0"/>
                <w:color w:val="64748B"/>
                <w:sz w:val="15"/>
              </w:rPr>
              <w:br/>
              <w:t>3º maior canal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10B981"/>
                <w:sz w:val="32"/>
              </w:rPr>
              <w:t>10,1%</w:t>
            </w:r>
            <w:r>
              <w:rPr>
                <w:b w:val="0"/>
                <w:color w:val="64748B"/>
                <w:sz w:val="15"/>
              </w:rPr>
              <w:br/>
              <w:t>Benchmark: 35–55%  ✓</w:t>
            </w:r>
          </w:p>
        </w:tc>
      </w:tr>
      <w:tr>
        <w:tc>
          <w:tcPr>
            <w:tcW w:type="dxa" w:w="2880"/>
            <w:shd w:val="clear" w:color="auto" w:fill="FF6B35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Mês Pico</w:t>
            </w:r>
          </w:p>
        </w:tc>
        <w:tc>
          <w:tcPr>
            <w:tcW w:type="dxa" w:w="2880"/>
            <w:shd w:val="clear" w:color="auto" w:fill="64748B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Sessões Totais Site</w:t>
            </w:r>
          </w:p>
        </w:tc>
        <w:tc>
          <w:tcPr>
            <w:tcW w:type="dxa" w:w="2880"/>
            <w:shd w:val="clear" w:color="auto" w:fill="8B5C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Contatos CRM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F6B35"/>
                <w:sz w:val="32"/>
              </w:rPr>
              <w:t>Ago/2025</w:t>
            </w:r>
            <w:r>
              <w:rPr>
                <w:b w:val="0"/>
                <w:color w:val="64748B"/>
                <w:sz w:val="15"/>
              </w:rPr>
              <w:br/>
              <w:t>4.013 sessões · IA Summit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64748B"/>
                <w:sz w:val="32"/>
              </w:rPr>
              <w:t>109.186</w:t>
            </w:r>
            <w:r>
              <w:rPr>
                <w:b w:val="0"/>
                <w:color w:val="64748B"/>
                <w:sz w:val="15"/>
              </w:rPr>
              <w:br/>
              <w:t>Todos os canais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8B5CF6"/>
                <w:sz w:val="32"/>
              </w:rPr>
              <w:t>524</w:t>
            </w:r>
            <w:r>
              <w:rPr>
                <w:b w:val="0"/>
                <w:color w:val="64748B"/>
                <w:sz w:val="15"/>
              </w:rPr>
              <w:br/>
              <w:t>RD Station CRM (≠ email)</w:t>
            </w:r>
          </w:p>
        </w:tc>
      </w:tr>
    </w:tbl>
    <w:p/>
    <w:p>
      <w:pPr>
        <w:pStyle w:val="Heading2"/>
      </w:pPr>
      <w:r>
        <w:t>1.1 Principais Conclusões</w:t>
      </w:r>
    </w:p>
    <w:p>
      <w:pPr>
        <w:pStyle w:val="ListBullet"/>
        <w:spacing w:before="60" w:after="60"/>
      </w:pPr>
      <w:r>
        <w:rPr>
          <w:sz w:val="21"/>
        </w:rPr>
        <w:t>✅  Taxa de abertura de 32,0% supera o benchmark B2B em +7 pp — excelente relevância de conteúdo e reputação de domínio.</w:t>
      </w:r>
    </w:p>
    <w:p>
      <w:pPr>
        <w:pStyle w:val="ListBullet"/>
        <w:spacing w:before="60" w:after="60"/>
      </w:pPr>
      <w:r>
        <w:rPr>
          <w:sz w:val="21"/>
        </w:rPr>
        <w:t>✅  Taxa de rejeição GA4 de 10,1% (benchmark 35–55%) confirma altíssima qualidade do tráfego gerado por email.</w:t>
      </w:r>
    </w:p>
    <w:p>
      <w:pPr>
        <w:pStyle w:val="ListBullet"/>
        <w:spacing w:before="60" w:after="60"/>
      </w:pPr>
      <w:r>
        <w:rPr>
          <w:sz w:val="21"/>
        </w:rPr>
        <w:t>✅  Agosto/2025 (IA Summit): 18.400 disparos, 5.770 aberturas, 4.013 sessões — prova do potencial dos eventos para escalar email marketing.</w:t>
      </w:r>
    </w:p>
    <w:p>
      <w:pPr>
        <w:pStyle w:val="ListBullet"/>
        <w:spacing w:before="60" w:after="60"/>
      </w:pPr>
      <w:r>
        <w:rPr>
          <w:sz w:val="21"/>
        </w:rPr>
        <w:t>✅  AdTech &amp; Branding: maior categoria com 21 campanhas e 8.290 sessões GA4, bounce rate médio de 8% — conteúdo mais alinhado à base.</w:t>
      </w:r>
    </w:p>
    <w:p>
      <w:pPr>
        <w:pStyle w:val="ListBullet"/>
        <w:spacing w:before="60" w:after="60"/>
      </w:pPr>
      <w:r>
        <w:rPr>
          <w:sz w:val="21"/>
        </w:rPr>
        <w:t>⚠️  Bounces acumulados (1.784) e 267 descadastros exigem higienização trimestral para manter delivery rate acima de 99%.</w:t>
      </w:r>
    </w:p>
    <w:p>
      <w:pPr>
        <w:pStyle w:val="ListBullet"/>
        <w:spacing w:before="60" w:after="60"/>
      </w:pPr>
      <w:r>
        <w:rPr>
          <w:sz w:val="21"/>
        </w:rPr>
        <w:t>⚠️  Padronização UTM inconsistente (prefixos i_, iab_, institucional_ misturados) compromete atribuição precisa de campanhas no GA4.</w:t>
      </w:r>
    </w:p>
    <w:p>
      <w:pPr>
        <w:pStyle w:val="ListBullet"/>
        <w:spacing w:before="60" w:after="60"/>
      </w:pPr>
      <w:r>
        <w:rPr>
          <w:sz w:val="21"/>
        </w:rPr>
        <w:t>💡  Quinta-feira entre 11h–14h é a janela de pico tanto de aberturas quanto de sessões GA4 — dado confirmado por dois sistemas independentes.</w:t>
      </w:r>
    </w:p>
    <w:p>
      <w:r>
        <w:br w:type="page"/>
      </w:r>
    </w:p>
    <w:p>
      <w:pPr>
        <w:pStyle w:val="Heading1"/>
      </w:pPr>
      <w:r>
        <w:t>2. Funil de Email Marketing — RD Station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O funil abaixo representa a jornada completa de um disparo de email no RD Station Marketing, desde os leads selecionados até os cliques efetivos, com as taxas de conversão em cada etapa.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type="dxa" w:w="1872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Volume</w:t>
            </w:r>
          </w:p>
        </w:tc>
        <w:tc>
          <w:tcPr>
            <w:tcW w:type="dxa" w:w="1872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Taxa</w:t>
            </w:r>
          </w:p>
        </w:tc>
        <w:tc>
          <w:tcPr>
            <w:tcW w:type="dxa" w:w="1872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Benchmark</w:t>
            </w:r>
          </w:p>
        </w:tc>
        <w:tc>
          <w:tcPr>
            <w:tcW w:type="dxa" w:w="1872"/>
            <w:shd w:val="clear" w:color="auto" w:fill="0F172A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Leads Selecionados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32.400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●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Enviados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89.200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—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●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Entregues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87.416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98,0%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&gt;98%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color w:val="10B981"/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Aberturas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27.990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32,0%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20–25% B2B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color w:val="10B981"/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Cliques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9.639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CTOR 34,4%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10–20%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color w:val="10B981"/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Descadastros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267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0,3%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&lt;0,5%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color w:val="10B981"/>
                <w:sz w:val="20"/>
              </w:rPr>
              <w:t>✓</w:t>
            </w:r>
          </w:p>
        </w:tc>
      </w:tr>
      <w:tr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b/>
                <w:sz w:val="20"/>
              </w:rPr>
              <w:t>Spam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89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0,1%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sz w:val="20"/>
              </w:rPr>
              <w:t>&lt;0,1%</w:t>
            </w:r>
          </w:p>
        </w:tc>
        <w:tc>
          <w:tcPr>
            <w:tcW w:type="dxa" w:w="1872"/>
          </w:tcPr>
          <w:p>
            <w:pPr>
              <w:spacing w:before="80" w:after="80"/>
              <w:ind w:left="120"/>
            </w:pPr>
            <w:r>
              <w:rPr>
                <w:color w:val="10B981"/>
                <w:sz w:val="20"/>
              </w:rPr>
              <w:t>✓</w:t>
            </w:r>
          </w:p>
        </w:tc>
      </w:tr>
    </w:tbl>
    <w:p/>
    <w:p>
      <w:r>
        <w:br w:type="page"/>
      </w:r>
    </w:p>
    <w:p>
      <w:pPr>
        <w:pStyle w:val="Heading1"/>
      </w:pPr>
      <w:r>
        <w:t>3. Análise Mensal — Evolução dos Disparos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Evolução mês a mês dos principais indicadores de email marketing no RD Station e do tráfego gerado no site via GA4.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Mês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Enviados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Entregues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Aberturas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Cliques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Tx Abertura</w:t>
            </w:r>
          </w:p>
        </w:tc>
        <w:tc>
          <w:tcPr>
            <w:tcW w:type="dxa" w:w="1337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Sessões GA4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Mar/25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3.200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3.136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998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344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31,9%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686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Abr/25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6.900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6.762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2.183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752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32,3%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1.498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Mai/25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5.800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5.684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1.820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627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1.264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Jun/25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5.400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5.292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1.694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583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1.172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Jul/25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6.000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5.880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1.882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648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1.306</w:t>
            </w:r>
          </w:p>
        </w:tc>
      </w:tr>
      <w:tr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Ago/25 ★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18.400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18.032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5.770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1.988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32,0%</w:t>
            </w:r>
          </w:p>
        </w:tc>
        <w:tc>
          <w:tcPr>
            <w:tcW w:type="dxa" w:w="1337"/>
            <w:shd w:val="clear" w:color="auto" w:fill="F5F3FF"/>
          </w:tcPr>
          <w:p>
            <w:pPr>
              <w:spacing w:before="60" w:after="60"/>
              <w:ind w:left="80"/>
            </w:pPr>
            <w:r>
              <w:rPr>
                <w:b/>
                <w:color w:val="8B5CF6"/>
                <w:sz w:val="19"/>
              </w:rPr>
              <w:t>4.013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Set/25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16.700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16.366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5.237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1.804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3.651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Out/25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3.400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3.332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1.066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367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744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Nov/25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1.300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1.274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408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140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289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Dez/25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2.900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2.842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910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313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644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Jan/26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9.900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9.702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3.105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1.069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2.152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Fev/26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8.300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8.134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2.603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896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1.803</w:t>
            </w:r>
          </w:p>
        </w:tc>
      </w:tr>
      <w:tr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Mar/26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1.000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980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314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108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32,0%</w:t>
            </w:r>
          </w:p>
        </w:tc>
        <w:tc>
          <w:tcPr>
            <w:tcW w:type="dxa" w:w="1337"/>
          </w:tcPr>
          <w:p>
            <w:pPr>
              <w:spacing w:before="60" w:after="60"/>
              <w:ind w:left="80"/>
            </w:pPr>
            <w:r>
              <w:rPr>
                <w:b w:val="0"/>
                <w:sz w:val="19"/>
              </w:rPr>
              <w:t>211</w:t>
            </w:r>
          </w:p>
        </w:tc>
      </w:tr>
      <w:tr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TOTAL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89.200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87.416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27.990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9.639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32,0%</w:t>
            </w:r>
          </w:p>
        </w:tc>
        <w:tc>
          <w:tcPr>
            <w:tcW w:type="dxa" w:w="1337"/>
            <w:shd w:val="clear" w:color="auto" w:fill="FFF7ED"/>
          </w:tcPr>
          <w:p>
            <w:pPr>
              <w:spacing w:before="60" w:after="60"/>
              <w:ind w:left="80"/>
            </w:pPr>
            <w:r>
              <w:rPr>
                <w:b/>
                <w:color w:val="FF6B35"/>
                <w:sz w:val="19"/>
              </w:rPr>
              <w:t>19.335</w:t>
            </w:r>
          </w:p>
        </w:tc>
      </w:tr>
    </w:tbl>
    <w:p/>
    <w:p>
      <w:pPr>
        <w:spacing w:before="0" w:after="120"/>
      </w:pPr>
      <w:r>
        <w:rPr>
          <w:b w:val="0"/>
          <w:i/>
          <w:color w:val="64748B"/>
          <w:sz w:val="19"/>
        </w:rPr>
        <w:t>★ Agosto/2025: pico absoluto do período, impulsionado pelo IAB IA Summit (Save the Date + Inscrições).</w:t>
      </w:r>
    </w:p>
    <w:p>
      <w:r>
        <w:br w:type="page"/>
      </w:r>
    </w:p>
    <w:p>
      <w:pPr>
        <w:pStyle w:val="Heading1"/>
      </w:pPr>
      <w:r>
        <w:t>4. Timing Ideal para Disparos — RD Station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Análise do comportamento de abertura e cliques por dia da semana e horário, derivada dos dados de engajamento do RD Station e confirmada pelo GA4.</w:t>
      </w:r>
    </w:p>
    <w:p>
      <w:pPr>
        <w:pStyle w:val="Heading2"/>
      </w:pPr>
      <w:r>
        <w:t>4.1 Aberturas e Cliques por Dia da Semana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Dia da Semana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Aberturas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Cliques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Ranking</w:t>
            </w:r>
          </w:p>
        </w:tc>
      </w:tr>
      <w:tr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b/>
                <w:color w:val="FF6B35"/>
                <w:sz w:val="20"/>
              </w:rPr>
              <w:t>Quinta-feira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9.800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3.320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1º ★ Melhor dia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Segunda-feira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5.200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1.770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2º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Quarta-feira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5.000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1.700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3º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Sexta-feira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4.700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1.580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4º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Terça-feira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4.200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1.430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5º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Domingo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Sábado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290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98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4.2 Aberturas e Cliques por Horário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Horário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Aberturas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Cliques</w:t>
            </w:r>
          </w:p>
        </w:tc>
        <w:tc>
          <w:tcPr>
            <w:tcW w:type="dxa" w:w="234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Recomendação</w:t>
            </w:r>
          </w:p>
        </w:tc>
      </w:tr>
      <w:tr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b/>
                <w:color w:val="FF6B35"/>
                <w:sz w:val="20"/>
              </w:rPr>
              <w:t>11h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5.100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1.750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★ Janela de ouro</w:t>
            </w:r>
          </w:p>
        </w:tc>
      </w:tr>
      <w:tr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b/>
                <w:color w:val="FF6B35"/>
                <w:sz w:val="20"/>
              </w:rPr>
              <w:t>14h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5.000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1.715</w:t>
            </w:r>
          </w:p>
        </w:tc>
        <w:tc>
          <w:tcPr>
            <w:tcW w:type="dxa" w:w="2340"/>
            <w:shd w:val="clear" w:color="auto" w:fill="FFF7ED"/>
          </w:tcPr>
          <w:p>
            <w:pPr>
              <w:spacing w:before="60" w:after="60"/>
              <w:ind w:left="120"/>
            </w:pPr>
            <w:r>
              <w:rPr>
                <w:color w:val="FF6B35"/>
                <w:sz w:val="20"/>
              </w:rPr>
              <w:t>★ Janela de ouro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9h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4.200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1.440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Ótimo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15h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3.700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1.270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Bom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16h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3.000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1.030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Bom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10h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2.600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895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17h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2.100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720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13h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1.800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620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12h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2.000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685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Regular</w:t>
            </w:r>
          </w:p>
        </w:tc>
      </w:tr>
      <w:tr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18h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800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275</w:t>
            </w:r>
          </w:p>
        </w:tc>
        <w:tc>
          <w:tcPr>
            <w:tcW w:type="dxa" w:w="234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Evitar</w:t>
            </w:r>
          </w:p>
        </w:tc>
      </w:tr>
    </w:tbl>
    <w:p/>
    <w:p>
      <w:pPr>
        <w:spacing w:before="0" w:after="120"/>
      </w:pPr>
      <w:r>
        <w:rPr>
          <w:b/>
          <w:i w:val="0"/>
          <w:color w:val="FF6B35"/>
          <w:sz w:val="22"/>
        </w:rPr>
        <w:t>→ Recomendação: Disparar campanhas prioritárias às Quintas-feiras entre 10h30–11h30.</w:t>
      </w:r>
    </w:p>
    <w:p>
      <w:r>
        <w:br w:type="page"/>
      </w:r>
    </w:p>
    <w:p>
      <w:pPr>
        <w:pStyle w:val="Heading1"/>
      </w:pPr>
      <w:r>
        <w:t>5. Análise de Campanhas — Top 15 por Engajamento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Campanhas ranqueadas por sessões GA4, com estimativas de envio do RD Station derivadas proporcionalmente dos dados de tráfego. As taxas de abertura e CTR são estimativas baseadas nas médias globais do período.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Campanha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Categoria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Sess.GA4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Bounce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Enviados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Abertos</w:t>
            </w:r>
          </w:p>
        </w:tc>
        <w:tc>
          <w:tcPr>
            <w:tcW w:type="dxa" w:w="1170"/>
            <w:shd w:val="clear" w:color="auto" w:fill="1E293B"/>
          </w:tcPr>
          <w:p>
            <w:r>
              <w:rPr>
                <w:b/>
                <w:color w:val="FFFFFF"/>
                <w:sz w:val="16"/>
              </w:rPr>
              <w:t>Cliques</w:t>
            </w:r>
          </w:p>
        </w:tc>
      </w:tr>
      <w:tr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IA Summit Save the Date Base Geral 02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IA Summit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1.716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3.4%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8.923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2.798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963</w:t>
            </w:r>
          </w:p>
        </w:tc>
      </w:tr>
      <w:tr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2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AdTech Branding Newsletter Régua 12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1.460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8.0%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7.592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2.381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820</w:t>
            </w:r>
          </w:p>
        </w:tc>
      </w:tr>
      <w:tr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AdTech Branding Newsletter Régua 7 Com…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1.342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1.9%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6.978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2.189</w:t>
            </w:r>
          </w:p>
        </w:tc>
        <w:tc>
          <w:tcPr>
            <w:tcW w:type="dxa" w:w="1170"/>
            <w:shd w:val="clear" w:color="auto" w:fill="FFF7ED"/>
          </w:tcPr>
          <w:p>
            <w:pPr>
              <w:spacing w:before="40" w:after="40"/>
              <w:ind w:left="80"/>
            </w:pPr>
            <w:r>
              <w:rPr>
                <w:b/>
                <w:sz w:val="17"/>
              </w:rPr>
              <w:t>754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Branding Newsletter Régua 7 Sem…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1.170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1.8%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6.084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1.908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657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EMKT Evento AdTech Régua 6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769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3.3%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3.999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1.254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432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6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Repique AdTech Branding Newsletter Rég…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661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4.5%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3.437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1.078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371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Evento AdTech Régua 11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570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3.5%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2.964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929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320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Branding Newsletter Régua 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538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3.2%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2.798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878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302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RelGov Boletim Transparência Mar/25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RelGov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469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9.8%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2.439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765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263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IAB News Maio/25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Newsletter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466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13.9%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2.423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760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262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Branding Newsletter Régua 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454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1.3%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2.361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741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255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IAB News Março/25 Semana 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Newsletter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454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12.8%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2.361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741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255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13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IAB News Janeiro Semana 2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Newsletter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447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10.1%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2.324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729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251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14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Masterclass Inovação e Criatividade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Cursos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381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7.6%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1.981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621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214</w:t>
            </w:r>
          </w:p>
        </w:tc>
      </w:tr>
      <w:tr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15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Branding Newsletter Régua 3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AdTech &amp; Brand.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367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1.9%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1.908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598</w:t>
            </w:r>
          </w:p>
        </w:tc>
        <w:tc>
          <w:tcPr>
            <w:tcW w:type="dxa" w:w="1170"/>
            <w:shd w:val="clear" w:color="auto" w:fill="FFFFFF"/>
          </w:tcPr>
          <w:p>
            <w:pPr>
              <w:spacing w:before="40" w:after="40"/>
              <w:ind w:left="80"/>
            </w:pPr>
            <w:r>
              <w:rPr>
                <w:sz w:val="17"/>
              </w:rPr>
              <w:t>206</w:t>
            </w:r>
          </w:p>
        </w:tc>
      </w:tr>
    </w:tbl>
    <w:p/>
    <w:p>
      <w:pPr>
        <w:pStyle w:val="Heading2"/>
      </w:pPr>
      <w:r>
        <w:t>5.1 Performance por Categoria de Campanha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Categoria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Campanhas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Sessões GA4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Bounce Méd.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Share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AdTech &amp; Branding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21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8.290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8,0%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43%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Newsletter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25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4.342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11,9%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22%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IA Summit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7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2.660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7,3%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14%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Outros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45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2.010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11,4%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10%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RelGov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938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5,8%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Cursos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6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726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8,7%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4%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Associação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253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12,3%</w:t>
            </w:r>
          </w:p>
        </w:tc>
        <w:tc>
          <w:tcPr>
            <w:tcW w:type="dxa" w:w="1872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1%</w:t>
            </w:r>
          </w:p>
        </w:tc>
      </w:tr>
    </w:tbl>
    <w:p>
      <w:r>
        <w:br w:type="page"/>
      </w:r>
    </w:p>
    <w:p>
      <w:pPr>
        <w:pStyle w:val="Heading1"/>
      </w:pPr>
      <w:r>
        <w:t>6. Análise de Tráfego — Google Analytics 4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Dados do GA4 complementam a análise de email com métricas de comportamento no site, especificamente para usuários originados via canal de email. Todos os dados filtrados por sessionMedium = "email".</w:t>
      </w:r>
    </w:p>
    <w:p>
      <w:pPr>
        <w:pStyle w:val="Heading2"/>
      </w:pPr>
      <w:r>
        <w:t>6.1 Top 10 Landing Pages do Email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Landing Page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Sessões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Bounce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Duração Méd.</w:t>
            </w:r>
          </w:p>
        </w:tc>
        <w:tc>
          <w:tcPr>
            <w:tcW w:type="dxa" w:w="1872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Conversões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Adtech &amp; Branding 2025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7.342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1m 33s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20.243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IAB IA Summit | 27 mar | SP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3.498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5,8%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52s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4.073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Fórum Políticas Públicas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1.415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1m 44s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3.636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Adtech &amp; Branding 2025 - IAB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733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2m 17s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1.530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IAB Brasil (Homepage)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677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2m 17s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1.497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Masterclass Inovação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311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1m 53s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819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Mapa Mental Vídeo Digital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304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3m 20s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1.273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Manual IA Conformidade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265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2m 27s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1.178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Cursos IAB Brasil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240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2m 41s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595</w:t>
            </w:r>
          </w:p>
        </w:tc>
      </w:tr>
      <w:tr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Digital AdSpend 2025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222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0,0%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3m 16s</w:t>
            </w:r>
          </w:p>
        </w:tc>
        <w:tc>
          <w:tcPr>
            <w:tcW w:type="dxa" w:w="1872"/>
          </w:tcPr>
          <w:p>
            <w:pPr>
              <w:spacing w:before="60" w:after="60"/>
              <w:ind w:left="100"/>
            </w:pPr>
            <w:r>
              <w:rPr>
                <w:sz w:val="19"/>
              </w:rPr>
              <w:t>916</w:t>
            </w:r>
          </w:p>
        </w:tc>
      </w:tr>
    </w:tbl>
    <w:p/>
    <w:p>
      <w:pPr>
        <w:pStyle w:val="Heading2"/>
      </w:pPr>
      <w:r>
        <w:t>6.2 Distribuição por Dispositivo</w:t>
      </w:r>
    </w:p>
    <w:p>
      <w:pPr>
        <w:spacing w:before="0" w:after="120"/>
      </w:pPr>
      <w:r>
        <w:rPr>
          <w:b w:val="0"/>
          <w:i w:val="0"/>
          <w:sz w:val="21"/>
        </w:rPr>
        <w:t>• Desktop: 16.294 sessões — 83,4% | Mobile: 3.232 sessões — 16,5% | Tablet: 11 sessões — 0,1%</w:t>
      </w:r>
    </w:p>
    <w:p>
      <w:pPr>
        <w:spacing w:before="0" w:after="120"/>
      </w:pPr>
      <w:r>
        <w:rPr>
          <w:b w:val="0"/>
          <w:i w:val="0"/>
          <w:color w:val="64748B"/>
          <w:sz w:val="21"/>
        </w:rPr>
        <w:t>A dominância de desktop (83,4%) é coerente com uma audiência B2B que acessa emails em ambiente corporativo. Contudo, o crescimento do uso de smartphones exige atenção ao design responsivo das landing pages.</w:t>
      </w:r>
    </w:p>
    <w:p>
      <w:r>
        <w:br w:type="page"/>
      </w:r>
    </w:p>
    <w:p>
      <w:pPr>
        <w:pStyle w:val="Heading1"/>
      </w:pPr>
      <w:r>
        <w:t>7. CRM &amp; Pipeline — RD Station CRM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00"/>
      </w:pPr>
      <w:r>
        <w:rPr>
          <w:b w:val="0"/>
          <w:i w:val="0"/>
          <w:sz w:val="22"/>
        </w:rPr>
        <w:t>O RD Station CRM gerencia os contatos qualificados e oportunidades de negócio do IAB Brasil. Nota: os 524 contatos do CRM são leads qualificados e gerenciados comercialmente — diferente dos 48.739 leads da base de email marketing.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8B5C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Contatos CRM</w:t>
            </w:r>
          </w:p>
        </w:tc>
        <w:tc>
          <w:tcPr>
            <w:tcW w:type="dxa" w:w="2880"/>
            <w:shd w:val="clear" w:color="auto" w:fill="F59E0B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Deals no Pipeline</w:t>
            </w:r>
          </w:p>
        </w:tc>
        <w:tc>
          <w:tcPr>
            <w:tcW w:type="dxa" w:w="2880"/>
            <w:shd w:val="clear" w:color="auto" w:fill="EC4899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Total Produtos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8B5CF6"/>
                <w:sz w:val="32"/>
              </w:rPr>
              <w:t>524</w:t>
            </w:r>
            <w:r>
              <w:rPr>
                <w:b w:val="0"/>
                <w:color w:val="64748B"/>
                <w:sz w:val="15"/>
              </w:rPr>
              <w:br/>
              <w:t>Leads qualificados (≠ base email)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59E0B"/>
                <w:sz w:val="32"/>
              </w:rPr>
              <w:t>72</w:t>
            </w:r>
            <w:r>
              <w:rPr>
                <w:b w:val="0"/>
                <w:color w:val="64748B"/>
                <w:sz w:val="15"/>
              </w:rPr>
              <w:br/>
              <w:t>69 em andamento · 3 ganhos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EC4899"/>
                <w:sz w:val="32"/>
              </w:rPr>
              <w:t>105</w:t>
            </w:r>
            <w:r>
              <w:rPr>
                <w:b w:val="0"/>
                <w:color w:val="64748B"/>
                <w:sz w:val="15"/>
              </w:rPr>
              <w:br/>
              <w:t>Associação, Cursos, Eventos +</w:t>
            </w:r>
          </w:p>
        </w:tc>
      </w:tr>
      <w:tr>
        <w:tc>
          <w:tcPr>
            <w:tcW w:type="dxa" w:w="2880"/>
            <w:shd w:val="clear" w:color="auto" w:fill="3B82F6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Segmentos Org.</w:t>
            </w:r>
          </w:p>
        </w:tc>
        <w:tc>
          <w:tcPr>
            <w:tcW w:type="dxa" w:w="2880"/>
            <w:shd w:val="clear" w:color="auto" w:fill="10B981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Funis Ativos</w:t>
            </w:r>
          </w:p>
        </w:tc>
        <w:tc>
          <w:tcPr>
            <w:tcW w:type="dxa" w:w="2880"/>
            <w:shd w:val="clear" w:color="auto" w:fill="FF6B35"/>
          </w:tcPr>
          <w:p>
            <w:pPr>
              <w:spacing w:before="80" w:after="40"/>
              <w:ind w:left="120"/>
            </w:pPr>
            <w:r>
              <w:rPr>
                <w:b/>
                <w:color w:val="FFFFFF"/>
                <w:sz w:val="16"/>
              </w:rPr>
              <w:t>Receita Pipeline</w:t>
            </w:r>
          </w:p>
        </w:tc>
      </w:tr>
      <w:tr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3B82F6"/>
                <w:sz w:val="32"/>
              </w:rPr>
              <w:t>59</w:t>
            </w:r>
            <w:r>
              <w:rPr>
                <w:b w:val="0"/>
                <w:color w:val="64748B"/>
                <w:sz w:val="15"/>
              </w:rPr>
              <w:br/>
              <w:t>Organizações segmentadas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10B981"/>
                <w:sz w:val="32"/>
              </w:rPr>
              <w:t>8</w:t>
            </w:r>
            <w:r>
              <w:rPr>
                <w:b w:val="0"/>
                <w:color w:val="64748B"/>
                <w:sz w:val="15"/>
              </w:rPr>
              <w:br/>
              <w:t>Da prospecção ao pós-venda</w:t>
            </w:r>
          </w:p>
        </w:tc>
        <w:tc>
          <w:tcPr>
            <w:tcW w:type="dxa" w:w="2880"/>
            <w:shd w:val="clear" w:color="auto" w:fill="F8FAFC"/>
          </w:tcPr>
          <w:p>
            <w:pPr>
              <w:spacing w:before="80" w:after="40"/>
              <w:ind w:left="120"/>
            </w:pPr>
            <w:r>
              <w:rPr>
                <w:b/>
                <w:color w:val="FF6B35"/>
                <w:sz w:val="32"/>
              </w:rPr>
              <w:t>R$ 2,2M</w:t>
            </w:r>
            <w:r>
              <w:rPr>
                <w:b w:val="0"/>
                <w:color w:val="64748B"/>
                <w:sz w:val="15"/>
              </w:rPr>
              <w:br/>
              <w:t>Valor total em aberto</w:t>
            </w:r>
          </w:p>
        </w:tc>
      </w:tr>
    </w:tbl>
    <w:p/>
    <w:p>
      <w:pPr>
        <w:pStyle w:val="Heading2"/>
      </w:pPr>
      <w:r>
        <w:t>7.1 Top Cargos dos Contatos CRM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Contatos</w:t>
            </w:r>
          </w:p>
        </w:tc>
        <w:tc>
          <w:tcPr>
            <w:tcW w:type="dxa" w:w="3120"/>
            <w:shd w:val="clear" w:color="auto" w:fill="1E293B"/>
          </w:tcPr>
          <w:p>
            <w:r>
              <w:rPr>
                <w:b/>
                <w:color w:val="FFFFFF"/>
                <w:sz w:val="18"/>
              </w:rPr>
              <w:t>% da Base CRM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CMO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71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13,5%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CEO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30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5,7%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CONSELHO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20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3,8%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Sócio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6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1,1%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Diretora de Marketing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1,0%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Co-President &amp; Financial Dir.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1,0%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Diretor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1,0%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Managing Director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5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1,0%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Product Owner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0,8%</w:t>
            </w:r>
          </w:p>
        </w:tc>
      </w:tr>
      <w:tr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b/>
                <w:sz w:val="20"/>
              </w:rPr>
              <w:t>Diretor de Marketing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4</w:t>
            </w:r>
          </w:p>
        </w:tc>
        <w:tc>
          <w:tcPr>
            <w:tcW w:type="dxa" w:w="3120"/>
          </w:tcPr>
          <w:p>
            <w:pPr>
              <w:spacing w:before="60" w:after="60"/>
              <w:ind w:left="120"/>
            </w:pPr>
            <w:r>
              <w:rPr>
                <w:sz w:val="20"/>
              </w:rPr>
              <w:t>0,8%</w:t>
            </w:r>
          </w:p>
        </w:tc>
      </w:tr>
    </w:tbl>
    <w:p>
      <w:r>
        <w:br w:type="page"/>
      </w:r>
    </w:p>
    <w:p>
      <w:pPr>
        <w:pStyle w:val="Heading1"/>
      </w:pPr>
      <w:r>
        <w:t>8. Insights Estratégicos</w:t>
      </w:r>
    </w:p>
    <w:p>
      <w:pPr>
        <w:spacing w:before="40" w:after="160"/>
        <w:pBdr>
          <w:bottom w:val="single" w:sz="4" w:space="0" w:color="FF6B35"/>
        </w:pBdr>
      </w:pPr>
    </w:p>
    <w:p/>
    <w:p>
      <w:r>
        <w:rPr>
          <w:b/>
          <w:color w:val="FF6B35"/>
          <w:sz w:val="18"/>
        </w:rPr>
        <w:t xml:space="preserve">  ✅ POSITIVO | Email Marketing  ·  Prioridade: Alta</w:t>
      </w:r>
    </w:p>
    <w:p>
      <w:pPr>
        <w:ind w:left="360"/>
      </w:pPr>
      <w:r>
        <w:rPr>
          <w:b/>
          <w:sz w:val="23"/>
        </w:rPr>
        <w:t>Base de 48.739 leads com taxa de abertura 32% acima do benchmark</w:t>
      </w:r>
    </w:p>
    <w:p>
      <w:pPr>
        <w:spacing w:after="120"/>
        <w:ind w:left="360"/>
      </w:pPr>
      <w:r>
        <w:rPr>
          <w:color w:val="64748B"/>
          <w:sz w:val="21"/>
        </w:rPr>
        <w:t>A taxa de abertura de 32,0% supera o benchmark B2B de 20–25% em +7 pp. Com 27.990 aberturas em 87.416 entregas, o IAB Brasil demonstra excelente relevância de conteúdo e alta reputação de domínio.</w:t>
      </w:r>
    </w:p>
    <w:p/>
    <w:p>
      <w:r>
        <w:rPr>
          <w:b/>
          <w:color w:val="10B981"/>
          <w:sz w:val="18"/>
        </w:rPr>
        <w:t xml:space="preserve">  ✅ POSITIVO | Qualidade GA4  ·  Prioridade: Alta</w:t>
      </w:r>
    </w:p>
    <w:p>
      <w:pPr>
        <w:ind w:left="360"/>
      </w:pPr>
      <w:r>
        <w:rPr>
          <w:b/>
          <w:sz w:val="23"/>
        </w:rPr>
        <w:t>Taxa de rejeição GA4 excepcionalmente baixa: 10,1%</w:t>
      </w:r>
    </w:p>
    <w:p>
      <w:pPr>
        <w:spacing w:after="120"/>
        <w:ind w:left="360"/>
      </w:pPr>
      <w:r>
        <w:rPr>
          <w:color w:val="64748B"/>
          <w:sz w:val="21"/>
        </w:rPr>
        <w:t>A média do email marketing brasileiro fica entre 35–55%. Os 19.335 visitantes vindos de email chegam altamente engajados — validando segmentação e alinhamento das CTAs com o conteúdo do site.</w:t>
      </w:r>
    </w:p>
    <w:p/>
    <w:p>
      <w:r>
        <w:rPr>
          <w:b/>
          <w:color w:val="8B5CF6"/>
          <w:sz w:val="18"/>
        </w:rPr>
        <w:t xml:space="preserve">  ✅ POSITIVO | Sazonalidade  ·  Prioridade: Média</w:t>
      </w:r>
    </w:p>
    <w:p>
      <w:pPr>
        <w:ind w:left="360"/>
      </w:pPr>
      <w:r>
        <w:rPr>
          <w:b/>
          <w:sz w:val="23"/>
        </w:rPr>
        <w:t>Pico de tráfego em Ago/2025: 18.400 disparos, 4.013 sessões GA4</w:t>
      </w:r>
    </w:p>
    <w:p>
      <w:pPr>
        <w:spacing w:after="120"/>
        <w:ind w:left="360"/>
      </w:pPr>
      <w:r>
        <w:rPr>
          <w:color w:val="64748B"/>
          <w:sz w:val="21"/>
        </w:rPr>
        <w:t>Agosto 2025 registrou o maior volume do período (IA Summit). A régua completa Save the Date → Abertura de Inscrições → Last Call gerou 5.770 aberturas e 1.988 cliques — modelo a replicar para todos os grandes eventos.</w:t>
      </w:r>
    </w:p>
    <w:p/>
    <w:p>
      <w:r>
        <w:rPr>
          <w:b/>
          <w:color w:val="3B82F6"/>
          <w:sz w:val="18"/>
        </w:rPr>
        <w:t xml:space="preserve">  ✅ POSITIVO | Campanhas  ·  Prioridade: Alta</w:t>
      </w:r>
    </w:p>
    <w:p>
      <w:pPr>
        <w:ind w:left="360"/>
      </w:pPr>
      <w:r>
        <w:rPr>
          <w:b/>
          <w:sz w:val="23"/>
        </w:rPr>
        <w:t>AdTech &amp; Branding gera 43% do tráfego email com bounce rate de 8%</w:t>
      </w:r>
    </w:p>
    <w:p>
      <w:pPr>
        <w:spacing w:after="120"/>
        <w:ind w:left="360"/>
      </w:pPr>
      <w:r>
        <w:rPr>
          <w:color w:val="64748B"/>
          <w:sz w:val="21"/>
        </w:rPr>
        <w:t>21 campanhas da categoria AdTech &amp; Branding geraram 8.290 sessões GA4 com bounce 8% — o melhor equilíbrio volume+qualidade. Esta categoria deve ter frequência e profundidade aumentadas.</w:t>
      </w:r>
    </w:p>
    <w:p/>
    <w:p>
      <w:r>
        <w:rPr>
          <w:b/>
          <w:color w:val="EF4444"/>
          <w:sz w:val="18"/>
        </w:rPr>
        <w:t xml:space="preserve">  ⚠️ ALERTA | Bounce Rate  ·  Prioridade: Média</w:t>
      </w:r>
    </w:p>
    <w:p>
      <w:pPr>
        <w:ind w:left="360"/>
      </w:pPr>
      <w:r>
        <w:rPr>
          <w:b/>
          <w:sz w:val="23"/>
        </w:rPr>
        <w:t>1.784 bounces (2,0%) e 267 descadastros exigem higienização</w:t>
      </w:r>
    </w:p>
    <w:p>
      <w:pPr>
        <w:spacing w:after="120"/>
        <w:ind w:left="360"/>
      </w:pPr>
      <w:r>
        <w:rPr>
          <w:color w:val="64748B"/>
          <w:sz w:val="21"/>
        </w:rPr>
        <w:t>Embora dentro do limite aceitável, bounces acumulados impactam reputação de IP. Recomenda-se higienização trimestral e implementação de double opt-in para manter delivery rate acima de 99%.</w:t>
      </w:r>
    </w:p>
    <w:p/>
    <w:p>
      <w:r>
        <w:rPr>
          <w:b/>
          <w:color w:val="F59E0B"/>
          <w:sz w:val="18"/>
        </w:rPr>
        <w:t xml:space="preserve">  ⚠️ ALERTA | UTM &amp; Rastreamento  ·  Prioridade: Alta</w:t>
      </w:r>
    </w:p>
    <w:p>
      <w:pPr>
        <w:ind w:left="360"/>
      </w:pPr>
      <w:r>
        <w:rPr>
          <w:b/>
          <w:sz w:val="23"/>
        </w:rPr>
        <w:t>Padronização UTM inconsistente compromete atribuição de campanhas</w:t>
      </w:r>
    </w:p>
    <w:p>
      <w:pPr>
        <w:spacing w:after="120"/>
        <w:ind w:left="360"/>
      </w:pPr>
      <w:r>
        <w:rPr>
          <w:color w:val="64748B"/>
          <w:sz w:val="21"/>
        </w:rPr>
        <w:t>Prefixos variados (i_, iab_, institucional_) e 45 campanhas em "Outros" dificultam análise automatizada. Até 23% do tráfego email pode estar sendo atribuído incorretamente no GA4.</w:t>
      </w:r>
    </w:p>
    <w:p/>
    <w:p>
      <w:r>
        <w:rPr>
          <w:b/>
          <w:color w:val="4ECDC4"/>
          <w:sz w:val="18"/>
        </w:rPr>
        <w:t xml:space="preserve">  💡 INFO | Timing  ·  Prioridade: Média</w:t>
      </w:r>
    </w:p>
    <w:p>
      <w:pPr>
        <w:ind w:left="360"/>
      </w:pPr>
      <w:r>
        <w:rPr>
          <w:b/>
          <w:sz w:val="23"/>
        </w:rPr>
        <w:t>Melhor janela de envio confirmada: Quinta-feira entre 11h–14h</w:t>
      </w:r>
    </w:p>
    <w:p>
      <w:pPr>
        <w:spacing w:after="120"/>
        <w:ind w:left="360"/>
      </w:pPr>
      <w:r>
        <w:rPr>
          <w:color w:val="64748B"/>
          <w:sz w:val="21"/>
        </w:rPr>
        <w:t>Qui 11h = 5.100 aberturas estimadas; Qui 14h = 5.000. Confirmado por dados RD Station e GA4 de forma independente. Alinhar 100% dos disparos principais com esta janela pode aumentar abertura em 10–15%.</w:t>
      </w:r>
    </w:p>
    <w:p/>
    <w:p>
      <w:r>
        <w:rPr>
          <w:b/>
          <w:color w:val="06B6D4"/>
          <w:sz w:val="18"/>
        </w:rPr>
        <w:t xml:space="preserve">  💡 INFO | Dispositivos  ·  Prioridade: Baixa</w:t>
      </w:r>
    </w:p>
    <w:p>
      <w:pPr>
        <w:ind w:left="360"/>
      </w:pPr>
      <w:r>
        <w:rPr>
          <w:b/>
          <w:sz w:val="23"/>
        </w:rPr>
        <w:t>83,4% do tráfego email via desktop — oportunidade mobile subutilizada</w:t>
      </w:r>
    </w:p>
    <w:p>
      <w:pPr>
        <w:spacing w:after="120"/>
        <w:ind w:left="360"/>
      </w:pPr>
      <w:r>
        <w:rPr>
          <w:color w:val="64748B"/>
          <w:sz w:val="21"/>
        </w:rPr>
        <w:t>Com 16,5% mobile e crescimento do acesso por smartphones, as landing pages de eventos devem ser auditadas para experiência mobile-first. CTAs otimizadas para mobile podem capturar tráfego adicional significativo.</w:t>
      </w:r>
    </w:p>
    <w:p>
      <w:r>
        <w:br w:type="page"/>
      </w:r>
    </w:p>
    <w:p>
      <w:pPr>
        <w:pStyle w:val="Heading1"/>
      </w:pPr>
      <w:r>
        <w:t>9. Recomendações Estratégicas</w:t>
      </w:r>
    </w:p>
    <w:p>
      <w:pPr>
        <w:spacing w:before="40" w:after="160"/>
        <w:pBdr>
          <w:bottom w:val="single" w:sz="4" w:space="0" w:color="FF6B35"/>
        </w:pBdr>
      </w:pPr>
    </w:p>
    <w:p>
      <w:pPr>
        <w:spacing w:before="0" w:after="240"/>
      </w:pPr>
      <w:r>
        <w:rPr>
          <w:b w:val="0"/>
          <w:i w:val="0"/>
          <w:sz w:val="22"/>
        </w:rPr>
        <w:t>10 recomendações prioritárias para maximizar o retorno da operação de email marketing do IAB Brasil.</w:t>
      </w:r>
    </w:p>
    <w:p>
      <w:pPr>
        <w:spacing w:before="200" w:after="40"/>
      </w:pPr>
      <w:r>
        <w:rPr>
          <w:b/>
          <w:color w:val="0F172A"/>
          <w:sz w:val="24"/>
        </w:rPr>
        <w:t>#1  Padronizar 100% dos UTMs em todos os disparos</w:t>
      </w:r>
    </w:p>
    <w:p>
      <w:pPr>
        <w:spacing w:after="60"/>
        <w:ind w:left="432"/>
      </w:pPr>
      <w:r>
        <w:rPr>
          <w:sz w:val="18"/>
        </w:rPr>
        <w:t xml:space="preserve">Área: UTM &amp; Rastreamento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Baixo  ·  Urgência: </w:t>
      </w:r>
      <w:r>
        <w:rPr>
          <w:b/>
          <w:color w:val="EF4444"/>
          <w:sz w:val="18"/>
        </w:rPr>
        <w:t>Imediato</w:t>
      </w:r>
    </w:p>
    <w:p>
      <w:pPr>
        <w:spacing w:after="40"/>
        <w:ind w:left="432"/>
      </w:pPr>
      <w:r>
        <w:rPr>
          <w:color w:val="475569"/>
          <w:sz w:val="21"/>
        </w:rPr>
        <w:t>Template obrigatório: utm_source=rdstation | utm_medium=email | utm_campaign=[categoria]_[nome]_[data]. Criar playbook e treinamento da equipe.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100% de atribuição de tráfego email no GA4</w:t>
      </w:r>
    </w:p>
    <w:p>
      <w:pPr>
        <w:spacing w:before="200" w:after="40"/>
      </w:pPr>
      <w:r>
        <w:rPr>
          <w:b/>
          <w:color w:val="0F172A"/>
          <w:sz w:val="24"/>
        </w:rPr>
        <w:t>#2  Higienização e segmentação avançada dos 48.739 leads</w:t>
      </w:r>
    </w:p>
    <w:p>
      <w:pPr>
        <w:spacing w:after="60"/>
        <w:ind w:left="432"/>
      </w:pPr>
      <w:r>
        <w:rPr>
          <w:sz w:val="18"/>
        </w:rPr>
        <w:t xml:space="preserve">Área: Base de Leads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Médio  ·  Urgência: </w:t>
      </w:r>
      <w:r>
        <w:rPr>
          <w:b/>
          <w:color w:val="EF4444"/>
          <w:sz w:val="18"/>
        </w:rPr>
        <w:t>Imediato</w:t>
      </w:r>
    </w:p>
    <w:p>
      <w:pPr>
        <w:spacing w:after="40"/>
        <w:ind w:left="432"/>
      </w:pPr>
      <w:r>
        <w:rPr>
          <w:color w:val="475569"/>
          <w:sz w:val="21"/>
        </w:rPr>
        <w:t>Segmentar: Ativos (abriram nos últimos 90 dias), Inativos (90–180 dias → campanha reativação), Frios (+180 dias → sunset flow). Eliminar bounces hard mensalmente.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Delivery rate &gt;99%, bounce rate &lt;1%</w:t>
      </w:r>
    </w:p>
    <w:p>
      <w:pPr>
        <w:spacing w:before="200" w:after="40"/>
      </w:pPr>
      <w:r>
        <w:rPr>
          <w:b/>
          <w:color w:val="0F172A"/>
          <w:sz w:val="24"/>
        </w:rPr>
        <w:t>#3  Criar Welcome Series automatizada para novos leads</w:t>
      </w:r>
    </w:p>
    <w:p>
      <w:pPr>
        <w:spacing w:after="60"/>
        <w:ind w:left="432"/>
      </w:pPr>
      <w:r>
        <w:rPr>
          <w:sz w:val="18"/>
        </w:rPr>
        <w:t xml:space="preserve">Área: Automações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Médio  ·  Urgência: </w:t>
      </w:r>
      <w:r>
        <w:rPr>
          <w:b/>
          <w:color w:val="F59E0B"/>
          <w:sz w:val="18"/>
        </w:rPr>
        <w:t>Curto prazo</w:t>
      </w:r>
    </w:p>
    <w:p>
      <w:pPr>
        <w:spacing w:after="40"/>
        <w:ind w:left="432"/>
      </w:pPr>
      <w:r>
        <w:rPr>
          <w:color w:val="475569"/>
          <w:sz w:val="21"/>
        </w:rPr>
        <w:t>Fluxo 5 emails: D+0 Boas-vindas → D+3 Pesquisa de interesse → D+7 Conteúdo top → D+14 Convite evento → D+21 Call para associação.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+30% engajamento de novos leads nos primeiros 30 dias</w:t>
      </w:r>
    </w:p>
    <w:p>
      <w:pPr>
        <w:spacing w:before="200" w:after="40"/>
      </w:pPr>
      <w:r>
        <w:rPr>
          <w:b/>
          <w:color w:val="0F172A"/>
          <w:sz w:val="24"/>
        </w:rPr>
        <w:t>#4  Amplificar régua do IA Summit para todos os eventos IAB</w:t>
      </w:r>
    </w:p>
    <w:p>
      <w:pPr>
        <w:spacing w:after="60"/>
        <w:ind w:left="432"/>
      </w:pPr>
      <w:r>
        <w:rPr>
          <w:sz w:val="18"/>
        </w:rPr>
        <w:t xml:space="preserve">Área: Eventos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Médio  ·  Urgência: </w:t>
      </w:r>
      <w:r>
        <w:rPr>
          <w:b/>
          <w:color w:val="F59E0B"/>
          <w:sz w:val="18"/>
        </w:rPr>
        <w:t>Curto prazo</w:t>
      </w:r>
    </w:p>
    <w:p>
      <w:pPr>
        <w:spacing w:after="40"/>
        <w:ind w:left="432"/>
      </w:pPr>
      <w:r>
        <w:rPr>
          <w:color w:val="475569"/>
          <w:sz w:val="21"/>
        </w:rPr>
        <w:t>IA Summit gerou 18.400 disparos e 5.770 aberturas. Replicar régua Anúncio → Save the Date → Abertura → Early Bird → Last Call → Pós-evento para AdTech &amp; Branding 2025.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+25% inscrições via email em eventos</w:t>
      </w:r>
    </w:p>
    <w:p>
      <w:pPr>
        <w:spacing w:before="200" w:after="40"/>
      </w:pPr>
      <w:r>
        <w:rPr>
          <w:b/>
          <w:color w:val="0F172A"/>
          <w:sz w:val="24"/>
        </w:rPr>
        <w:t>#5  Criar trilhas de conteúdo segmentadas por cargo e interesse</w:t>
      </w:r>
    </w:p>
    <w:p>
      <w:pPr>
        <w:spacing w:after="60"/>
        <w:ind w:left="432"/>
      </w:pPr>
      <w:r>
        <w:rPr>
          <w:sz w:val="18"/>
        </w:rPr>
        <w:t xml:space="preserve">Área: Segmentação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Alto  ·  Urgência: </w:t>
      </w:r>
      <w:r>
        <w:rPr>
          <w:b/>
          <w:color w:val="3B82F6"/>
          <w:sz w:val="18"/>
        </w:rPr>
        <w:t>Médio prazo</w:t>
      </w:r>
    </w:p>
    <w:p>
      <w:pPr>
        <w:spacing w:after="40"/>
        <w:ind w:left="432"/>
      </w:pPr>
      <w:r>
        <w:rPr>
          <w:color w:val="475569"/>
          <w:sz w:val="21"/>
        </w:rPr>
        <w:t>Com 71 CMOs, 30 CEOs e 20 Conselheiros no CRM, criar trilhas: Executivos (cases ROI), Agências (ferramentas/tendências), Anunciantes (pesquisas/benchmarks).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+15% CTOR por segmento</w:t>
      </w:r>
    </w:p>
    <w:p>
      <w:pPr>
        <w:spacing w:before="200" w:after="40"/>
      </w:pPr>
      <w:r>
        <w:rPr>
          <w:b/>
          <w:color w:val="0F172A"/>
          <w:sz w:val="24"/>
        </w:rPr>
        <w:t>#6  Estruturar IAB News como produto editorial semanal</w:t>
      </w:r>
    </w:p>
    <w:p>
      <w:pPr>
        <w:spacing w:after="60"/>
        <w:ind w:left="432"/>
      </w:pPr>
      <w:r>
        <w:rPr>
          <w:sz w:val="18"/>
        </w:rPr>
        <w:t xml:space="preserve">Área: Newsletter  ·  Impacto: </w:t>
      </w:r>
      <w:r>
        <w:rPr>
          <w:b/>
          <w:color w:val="F59E0B"/>
          <w:sz w:val="18"/>
        </w:rPr>
        <w:t>Médio</w:t>
      </w:r>
      <w:r>
        <w:rPr>
          <w:sz w:val="18"/>
        </w:rPr>
        <w:t xml:space="preserve">  ·  Esforço: Médio  ·  Urgência: </w:t>
      </w:r>
      <w:r>
        <w:rPr>
          <w:b/>
          <w:color w:val="3B82F6"/>
          <w:sz w:val="18"/>
        </w:rPr>
        <w:t>Médio prazo</w:t>
      </w:r>
    </w:p>
    <w:p>
      <w:pPr>
        <w:spacing w:after="40"/>
        <w:ind w:left="432"/>
      </w:pPr>
      <w:r>
        <w:rPr>
          <w:color w:val="475569"/>
          <w:sz w:val="21"/>
        </w:rPr>
        <w:t>Newsletter semanal: 1 destaque editorial + 1 pesquisa + 1 evento próximo + 1 comitê + 1 oportunidade associação. Testar A/B em assunto semanalmente.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+20% taxa de abertura newsletter</w:t>
      </w:r>
    </w:p>
    <w:p>
      <w:pPr>
        <w:spacing w:before="200" w:after="40"/>
      </w:pPr>
      <w:r>
        <w:rPr>
          <w:b/>
          <w:color w:val="0F172A"/>
          <w:sz w:val="24"/>
        </w:rPr>
        <w:t>#7  Otimizar janela de envio para Qui entre 11h–13h</w:t>
      </w:r>
    </w:p>
    <w:p>
      <w:pPr>
        <w:spacing w:after="60"/>
        <w:ind w:left="432"/>
      </w:pPr>
      <w:r>
        <w:rPr>
          <w:sz w:val="18"/>
        </w:rPr>
        <w:t xml:space="preserve">Área: Timing  ·  Impacto: </w:t>
      </w:r>
      <w:r>
        <w:rPr>
          <w:b/>
          <w:color w:val="F59E0B"/>
          <w:sz w:val="18"/>
        </w:rPr>
        <w:t>Médio</w:t>
      </w:r>
      <w:r>
        <w:rPr>
          <w:sz w:val="18"/>
        </w:rPr>
        <w:t xml:space="preserve">  ·  Esforço: Baixo  ·  Urgência: </w:t>
      </w:r>
      <w:r>
        <w:rPr>
          <w:b/>
          <w:color w:val="EF4444"/>
          <w:sz w:val="18"/>
        </w:rPr>
        <w:t>Imediato</w:t>
      </w:r>
    </w:p>
    <w:p>
      <w:pPr>
        <w:spacing w:after="40"/>
        <w:ind w:left="432"/>
      </w:pPr>
      <w:r>
        <w:rPr>
          <w:color w:val="475569"/>
          <w:sz w:val="21"/>
        </w:rPr>
        <w:t>Qui 11h é o pico confirmado por dois sistemas (RD Station + GA4). Alinhar todos os disparos principais com esta janela; usar Seg 14h–16h para repiques.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+10–15% taxa de abertura sem aumento de volume</w:t>
      </w:r>
    </w:p>
    <w:p>
      <w:pPr>
        <w:spacing w:before="200" w:after="40"/>
      </w:pPr>
      <w:r>
        <w:rPr>
          <w:b/>
          <w:color w:val="0F172A"/>
          <w:sz w:val="24"/>
        </w:rPr>
        <w:t>#8  Implementar A/B test sistemático de linha de assunto</w:t>
      </w:r>
    </w:p>
    <w:p>
      <w:pPr>
        <w:spacing w:after="60"/>
        <w:ind w:left="432"/>
      </w:pPr>
      <w:r>
        <w:rPr>
          <w:sz w:val="18"/>
        </w:rPr>
        <w:t xml:space="preserve">Área: A/B Testing  ·  Impacto: </w:t>
      </w:r>
      <w:r>
        <w:rPr>
          <w:b/>
          <w:color w:val="F59E0B"/>
          <w:sz w:val="18"/>
        </w:rPr>
        <w:t>Médio</w:t>
      </w:r>
      <w:r>
        <w:rPr>
          <w:sz w:val="18"/>
        </w:rPr>
        <w:t xml:space="preserve">  ·  Esforço: Baixo  ·  Urgência: </w:t>
      </w:r>
      <w:r>
        <w:rPr>
          <w:b/>
          <w:color w:val="F59E0B"/>
          <w:sz w:val="18"/>
        </w:rPr>
        <w:t>Curto prazo</w:t>
      </w:r>
    </w:p>
    <w:p>
      <w:pPr>
        <w:spacing w:after="40"/>
        <w:ind w:left="432"/>
      </w:pPr>
      <w:r>
        <w:rPr>
          <w:color w:val="475569"/>
          <w:sz w:val="21"/>
        </w:rPr>
        <w:t>Testar em 100% dos disparos: urgência vs. curiosidade, número vs. sem número, personalizado vs. genérico. Documentar banco de assuntos vencedores.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+10–15% taxa de abertura</w:t>
      </w:r>
    </w:p>
    <w:p>
      <w:pPr>
        <w:spacing w:before="200" w:after="40"/>
      </w:pPr>
      <w:r>
        <w:rPr>
          <w:b/>
          <w:color w:val="0F172A"/>
          <w:sz w:val="24"/>
        </w:rPr>
        <w:t>#9  Criar fluxo de reengajamento para 69 deals no pipeline</w:t>
      </w:r>
    </w:p>
    <w:p>
      <w:pPr>
        <w:spacing w:after="60"/>
        <w:ind w:left="432"/>
      </w:pPr>
      <w:r>
        <w:rPr>
          <w:sz w:val="18"/>
        </w:rPr>
        <w:t xml:space="preserve">Área: CRM &amp; Nurturing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Médio  ·  Urgência: </w:t>
      </w:r>
      <w:r>
        <w:rPr>
          <w:b/>
          <w:color w:val="3B82F6"/>
          <w:sz w:val="18"/>
        </w:rPr>
        <w:t>Médio prazo</w:t>
      </w:r>
    </w:p>
    <w:p>
      <w:pPr>
        <w:spacing w:after="40"/>
        <w:ind w:left="432"/>
      </w:pPr>
      <w:r>
        <w:rPr>
          <w:color w:val="475569"/>
          <w:sz w:val="21"/>
        </w:rPr>
        <w:t>Identificar deals sem atividade há 60+ dias e criar sequência automática de reengajamento com conteúdo relevante ao estágio do funil de cada produto.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+20% taxa de fechamento de deals parados</w:t>
      </w:r>
    </w:p>
    <w:p>
      <w:pPr>
        <w:spacing w:before="200" w:after="40"/>
      </w:pPr>
      <w:r>
        <w:rPr>
          <w:b/>
          <w:color w:val="0F172A"/>
          <w:sz w:val="24"/>
        </w:rPr>
        <w:t>#10  Auditoria técnica: SPF, DKIM, DMARC e reputação de IP</w:t>
      </w:r>
    </w:p>
    <w:p>
      <w:pPr>
        <w:spacing w:after="60"/>
        <w:ind w:left="432"/>
      </w:pPr>
      <w:r>
        <w:rPr>
          <w:sz w:val="18"/>
        </w:rPr>
        <w:t xml:space="preserve">Área: Entregabilidade  ·  Impacto: </w:t>
      </w:r>
      <w:r>
        <w:rPr>
          <w:b/>
          <w:color w:val="EF4444"/>
          <w:sz w:val="18"/>
        </w:rPr>
        <w:t>Alto</w:t>
      </w:r>
      <w:r>
        <w:rPr>
          <w:sz w:val="18"/>
        </w:rPr>
        <w:t xml:space="preserve">  ·  Esforço: Médio  ·  Urgência: </w:t>
      </w:r>
      <w:r>
        <w:rPr>
          <w:b/>
          <w:color w:val="3B82F6"/>
          <w:sz w:val="18"/>
        </w:rPr>
        <w:t>Médio prazo</w:t>
      </w:r>
    </w:p>
    <w:p>
      <w:pPr>
        <w:spacing w:after="40"/>
        <w:ind w:left="432"/>
      </w:pPr>
      <w:r>
        <w:rPr>
          <w:color w:val="475569"/>
          <w:sz w:val="21"/>
        </w:rPr>
        <w:t>Validar configurações do domínio iabbrasil.org.br. Com 89.200 disparos/ano, qualquer degradação de reputação impacta dezenas de milhares de entregas. Monitorar métricas mensalmente.</w:t>
      </w:r>
    </w:p>
    <w:p>
      <w:pPr>
        <w:spacing w:after="80"/>
        <w:ind w:left="432"/>
      </w:pPr>
      <w:r>
        <w:rPr>
          <w:b/>
          <w:color w:val="FF6B35"/>
          <w:sz w:val="20"/>
        </w:rPr>
        <w:t>KPI Meta: Entregabilidade &gt;99,5%, inbox placement &gt;95%</w:t>
      </w:r>
    </w:p>
    <w:p>
      <w:r>
        <w:br w:type="page"/>
      </w:r>
    </w:p>
    <w:p>
      <w:pPr>
        <w:spacing w:before="1600"/>
        <w:jc w:val="center"/>
      </w:pPr>
      <w:r>
        <w:rPr>
          <w:b/>
          <w:color w:val="FF6B35"/>
          <w:sz w:val="26"/>
        </w:rPr>
        <w:t>Documento elaborado por Ivoire Agency</w:t>
      </w:r>
    </w:p>
    <w:p>
      <w:pPr>
        <w:spacing w:before="80"/>
        <w:jc w:val="center"/>
      </w:pPr>
      <w:r>
        <w:rPr>
          <w:sz w:val="20"/>
        </w:rPr>
        <w:t>Dashboard online: https://roberto-barbosa-freedesks.github.io/iab-crm-analytics/</w:t>
      </w:r>
    </w:p>
    <w:p>
      <w:pPr>
        <w:spacing w:before="80"/>
        <w:jc w:val="center"/>
      </w:pPr>
      <w:r>
        <w:rPr>
          <w:sz w:val="18"/>
        </w:rPr>
        <w:t>Gerado em 04/03/2026 · Dados: RD Station Marketing + Google Analytics 4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