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F8BBE" w14:textId="038646B6" w:rsidR="009A70F9" w:rsidRPr="00FE0C7E" w:rsidRDefault="00C77F8F">
      <w:pPr>
        <w:rPr>
          <w:sz w:val="28"/>
          <w:szCs w:val="28"/>
        </w:rPr>
      </w:pPr>
      <w:r w:rsidRPr="00FE0C7E">
        <w:rPr>
          <w:sz w:val="28"/>
          <w:szCs w:val="28"/>
        </w:rPr>
        <w:t xml:space="preserve">Supplementary </w:t>
      </w:r>
      <w:r w:rsidR="00BB7AA8">
        <w:rPr>
          <w:sz w:val="28"/>
          <w:szCs w:val="28"/>
        </w:rPr>
        <w:t>Results</w:t>
      </w:r>
    </w:p>
    <w:p w14:paraId="3311A117" w14:textId="465DC4EC" w:rsidR="00233E99" w:rsidRDefault="00233E99"/>
    <w:p w14:paraId="16587C36" w14:textId="66F299F8" w:rsidR="00233E99" w:rsidRPr="00FE0C7E" w:rsidRDefault="00233E99">
      <w:pPr>
        <w:rPr>
          <w:b/>
          <w:bCs/>
        </w:rPr>
      </w:pPr>
      <w:r w:rsidRPr="00FE0C7E">
        <w:rPr>
          <w:b/>
          <w:bCs/>
        </w:rPr>
        <w:t>Exploration of candidate invertebrate homologs to canonical chemokines and related molecules</w:t>
      </w:r>
    </w:p>
    <w:p w14:paraId="0409A261" w14:textId="23245997" w:rsidR="00233E99" w:rsidRDefault="00233E99">
      <w:r>
        <w:t>To explore the possibility of finding canonical chemokines and/or related molecules (TAFA and CYTL)</w:t>
      </w:r>
      <w:r w:rsidR="00140A67">
        <w:t xml:space="preserve"> outside of vertebrates</w:t>
      </w:r>
      <w:r>
        <w:t xml:space="preserve">, we </w:t>
      </w:r>
      <w:r w:rsidR="00140A67">
        <w:t>used</w:t>
      </w:r>
      <w:r>
        <w:t xml:space="preserve"> BLASTP </w:t>
      </w:r>
      <w:r w:rsidR="00FE0C7E">
        <w:t xml:space="preserve">with </w:t>
      </w:r>
      <w:r>
        <w:t>a loose e-value threshold of 0.1</w:t>
      </w:r>
      <w:r w:rsidR="00140A67">
        <w:t xml:space="preserve"> to search 39 invertebrate proteomes</w:t>
      </w:r>
      <w:r w:rsidR="00826875">
        <w:t xml:space="preserve"> (see Table S2)</w:t>
      </w:r>
      <w:r>
        <w:t>.</w:t>
      </w:r>
      <w:r w:rsidR="00FE0C7E">
        <w:t xml:space="preserve"> 18 candidate sequences were collected and explored further. </w:t>
      </w:r>
    </w:p>
    <w:p w14:paraId="4429D731" w14:textId="327AFCD0" w:rsidR="00FE0C7E" w:rsidRDefault="00FE0C7E">
      <w:r>
        <w:t>From the clustering analysis in CLANS (Figure 1A</w:t>
      </w:r>
      <w:r w:rsidR="5AF49DFE">
        <w:t xml:space="preserve">, </w:t>
      </w:r>
      <w:r>
        <w:t>Figure</w:t>
      </w:r>
      <w:r w:rsidR="3DCB71C6">
        <w:t xml:space="preserve"> S1</w:t>
      </w:r>
      <w:r w:rsidR="3E23719A">
        <w:t xml:space="preserve"> and File S1</w:t>
      </w:r>
      <w:r>
        <w:t xml:space="preserve">), it became </w:t>
      </w:r>
      <w:r w:rsidR="00140A67">
        <w:t>apparent</w:t>
      </w:r>
      <w:r>
        <w:t xml:space="preserve"> that 4 sequences were candidate TAFAs, while the remaining 14 sequences connected</w:t>
      </w:r>
      <w:r w:rsidR="00140A67">
        <w:t xml:space="preserve"> </w:t>
      </w:r>
      <w:r>
        <w:t xml:space="preserve">loosely to the canonical chemokines. We then performed BLASTP </w:t>
      </w:r>
      <w:r w:rsidR="006C62F8">
        <w:fldChar w:fldCharType="begin"/>
      </w:r>
      <w:r w:rsidR="006C62F8">
        <w:instrText xml:space="preserve"> ADDIN ZOTERO_ITEM CSL_CITATION {"citationID":"YX4yuxwx","properties":{"formattedCitation":"(1, 2)","plainCitation":"(1, 2)","noteIndex":0},"citationItems":[{"id":1115,"uris":["http://zotero.org/users/8176000/items/NCGHSHJJ"],"itemData":{"id":1115,"type":"article-journal","abstract":"A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tool","volume":"215","author":[{"family":"Altschul","given":"Stephen F."},{"family":"Gish","given":"Warren"},{"family":"Miller","given":"Webb"},{"family":"Myers","given":"Eugene W."},{"family":"Lipman","given":"David J."}],"issued":{"date-parts":[["1990",10,5]]}}},{"id":434,"uris":["http://zotero.org/users/8176000/items/MQISV7CW"],"itemData":{"id":434,"type":"article-journal","abstract":"Sequence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applications.","container-title":"BMC Bioinformatics","DOI":"10.1186/1471-2105-10-421","ISSN":"1471-2105","issue":"1","journalAbbreviation":"BMC Bioinformatics","page":"421","source":"BioMed Central","title":"BLAST+: architecture and applications","title-short":"BLAST+","volume":"10","author":[{"family":"Camacho","given":"Christiam"},{"family":"Coulouris","given":"George"},{"family":"Avagyan","given":"Vahram"},{"family":"Ma","given":"Ning"},{"family":"Papadopoulos","given":"Jason"},{"family":"Bealer","given":"Kevin"},{"family":"Madden","given":"Thomas L."}],"issued":{"date-parts":[["2009",12,15]]}}}],"schema":"https://github.com/citation-style-language/schema/raw/master/csl-citation.json"} </w:instrText>
      </w:r>
      <w:r w:rsidR="006C62F8">
        <w:fldChar w:fldCharType="separate"/>
      </w:r>
      <w:r w:rsidR="006C62F8" w:rsidRPr="006C62F8">
        <w:rPr>
          <w:rFonts w:ascii="Calibri" w:hAnsi="Calibri" w:cs="Calibri"/>
        </w:rPr>
        <w:t>(1, 2)</w:t>
      </w:r>
      <w:r w:rsidR="006C62F8">
        <w:fldChar w:fldCharType="end"/>
      </w:r>
      <w:r w:rsidR="00826875">
        <w:t xml:space="preserve"> </w:t>
      </w:r>
      <w:r>
        <w:t xml:space="preserve">versus the curated </w:t>
      </w:r>
      <w:proofErr w:type="spellStart"/>
      <w:r>
        <w:t>SwissProt</w:t>
      </w:r>
      <w:proofErr w:type="spellEnd"/>
      <w:r>
        <w:t xml:space="preserve"> dataset </w:t>
      </w:r>
      <w:r w:rsidR="006C62F8">
        <w:fldChar w:fldCharType="begin"/>
      </w:r>
      <w:r w:rsidR="006C62F8">
        <w:instrText xml:space="preserve"> ADDIN ZOTERO_ITEM CSL_CITATION {"citationID":"v1fsyWCy","properties":{"formattedCitation":"(3, 4)","plainCitation":"(3, 4)","noteIndex":0},"citationItems":[{"id":1111,"uris":["http://zotero.org/users/8176000/items/S6M2V8TM"],"itemData":{"id":1111,"type":"chapter","abstract":"The Universal Protein Resource (UniProt, http://www.uniprot.org) consortium is an initiative of the SIB Swiss Institute of Bioinformatics (SIB), the European Bioinformatics Institute (EBI) and the Protein Information Resource (PIR) to provide the scientific community with a central resource for protein sequences and functional information. The UniProt consortium maintains the UniProt KnowledgeBase (UniProtKB), updated every 4 weeks, and several supplementary databases including the UniProt Reference Clusters (UniRef) and the UniProt Archive (UniParc).","collection-title":"Methods in Molecular Biology","container-title":"Plant Bioinformatics: Methods and Protocols","event-place":"New York, NY","ISBN":"978-1-4939-3167-5","language":"en","note":"DOI: 10.1007/978-1-4939-3167-5_2","page":"23-54","publisher":"Springer","publisher-place":"New York, NY","source":"Springer Link","title":"UniProtKB/Swiss-Prot, the Manually Annotated Section of the UniProt KnowledgeBase: How to Use the Entry View","title-short":"UniProtKB/Swiss-Prot, the Manually Annotated Section of the UniProt KnowledgeBase","URL":"https://doi.org/10.1007/978-1-4939-3167-5_2","author":[{"family":"Boutet","given":"Emmanuel"},{"family":"Lieberherr","given":"Damien"},{"family":"Tognolli","given":"Michael"},{"family":"Schneider","given":"Michel"},{"family":"Bansal","given":"Parit"},{"family":"Bridge","given":"Alan J."},{"family":"Poux","given":"Sylvain"},{"family":"Bougueleret","given":"Lydie"},{"family":"Xenarios","given":"Ioannis"}],"editor":[{"family":"Edwards","given":"David"}],"accessed":{"date-parts":[["2023",5,2]]},"issued":{"date-parts":[["2016"]]}}},{"id":437,"uris":["http://zotero.org/users/8176000/items/DMA5KC6L"],"itemData":{"id":437,"type":"article-journal","abstract":"Biological knowledgebases, such as UniProtKB/Swiss-Prot, constitute an essential component of daily scientific research by offering distilled, summarized and computable knowledge extracted from the literature by expert curators. While knowledgebases play an increasingly important role in the scientific community, their ability to keep up with the growth of biomedical literature is under scrutiny. Using UniProtKB/Swiss-Prot as a case study, we address this concern via multiple literature triage approaches.With the assistance of the PubTator text-mining tool, we tagged more than 10 000 articles to assess the ratio of papers relevant for curation. We first show that curators read and evaluate many more papers than they curate, and that measuring the number of curated publications is insufficient to provide a complete picture as demonstrated by the fact that 8000–10 000 papers are curated in UniProt each year while curators evaluate 50 000–70 000 papers per year. We show that 90% of the papers in PubMed are out of the scope of UniProt, that a maximum of 2–3% of the papers indexed in PubMed each year are relevant for UniProt curation, and that, despite appearances, expert curation in UniProt is scalable.UniProt is freely available at http://www.uniprot.org/.Supplementary data are available at Bioinformatics online.","container-title":"Bioinformatics","DOI":"10.1093/bioinformatics/btx439","ISSN":"1367-4803","issue":"21","journalAbbreviation":"Bioinformatics","page":"3454-3460","source":"Silverchair","title":"On expert curation and scalability: UniProtKB/Swiss-Prot as a case study","title-short":"On expert curation and scalability","volume":"33","author":[{"family":"Poux","given":"Sylvain"},{"family":"Arighi","given":"Cecilia N"},{"family":"Magrane","given":"Michele"},{"family":"Bateman","given":"Alex"},{"family":"Wei","given":"Chih-Hsuan"},{"family":"Lu","given":"Zhiyong"},{"family":"Boutet","given":"Emmanuel"},{"family":"Bye-A-Jee","given":"Hema"},{"family":"Famiglietti","given":"Maria Livia"},{"family":"Roechert","given":"Bernd"},{"family":"UniProt Consortium","given":"The"}],"issued":{"date-parts":[["2017",11,1]]}}}],"schema":"https://github.com/citation-style-language/schema/raw/master/csl-citation.json"} </w:instrText>
      </w:r>
      <w:r w:rsidR="006C62F8">
        <w:fldChar w:fldCharType="separate"/>
      </w:r>
      <w:r w:rsidR="006C62F8" w:rsidRPr="006C62F8">
        <w:rPr>
          <w:rFonts w:ascii="Calibri" w:hAnsi="Calibri" w:cs="Calibri"/>
        </w:rPr>
        <w:t>(3, 4)</w:t>
      </w:r>
      <w:r w:rsidR="006C62F8">
        <w:fldChar w:fldCharType="end"/>
      </w:r>
      <w:r>
        <w:t xml:space="preserve"> and collected the first 5 hits. Furthermore, we used </w:t>
      </w:r>
      <w:proofErr w:type="spellStart"/>
      <w:r>
        <w:t>InterProScan</w:t>
      </w:r>
      <w:proofErr w:type="spellEnd"/>
      <w:r>
        <w:t xml:space="preserve"> </w:t>
      </w:r>
      <w:r w:rsidR="006C62F8">
        <w:fldChar w:fldCharType="begin"/>
      </w:r>
      <w:r w:rsidR="006C62F8">
        <w:instrText xml:space="preserve"> ADDIN ZOTERO_ITEM CSL_CITATION {"citationID":"KRXToe55","properties":{"formattedCitation":"(5, 6)","plainCitation":"(5, 6)","noteIndex":0},"citationItems":[{"id":1110,"uris":["http://zotero.org/users/8176000/items/U6XBP3R7"],"itemData":{"id":1110,"type":"article-journal","abstract":"Summary: InterProScan is a tool that scans given protein\nsequences against the protein signatures of the InterPro member\ndatabases, currently – PROSITE, PRINTS, Pfam, ProDom and SMART.\nThe number of signature databases and their associated scanning tools as well as the further refinement procedures make the problem\ncomplex. InterProScan is designed to be a scalable and extensible\nsystem with a robust internal architecture.Availability: The Perl-based InterProScan implementation is\navailable from the EBI ftp server (ftp://ftp.ebi.ac.uk/pub/software/unix/iprscan/)\nand the SRS-basedInterProScan is available upon request. We provide\nthe public web interface (http://www.ebi.ac.uk/interpro/scan.html)\nas well as email submission server (interproscan@ebi.ac.uk).Contact: Evgueni.Zdobnov@EBI.ac.uk*To whom correspondence should be\naddressed.","container-title":"Bioinformatics","DOI":"10.1093/bioinformatics/17.9.847","ISSN":"1367-4803","issue":"9","journalAbbreviation":"Bioinformatics","page":"847-848","source":"Silverchair","title":"InterProScan – an integration platform for the signature-recognition methods in InterPro","volume":"17","author":[{"family":"Zdobnov","given":"Evgeni M."},{"family":"Apweiler","given":"Rolf"}],"issued":{"date-parts":[["2001",9,1]]}}},{"id":441,"uris":["http://zotero.org/users/8176000/items/BLNEN5WD"],"itemData":{"id":441,"type":"article-journal","abstract":"Motivation: Robust large-scale sequence analysis is a major challenge in modern genomic science, where biologists are frequently trying to characterize many millions of sequences. Here, we describe a new Java-based architecture for the widely used protein function prediction software package InterProScan. Developments include improvements and additions to the outputs of the software and the complete reimplementation of the software framework, resulting in a flexible and stable system that is able to use both multiprocessor machines and/or conventional clusters to achieve scalable distributed data analysis. InterProScan is freely available for download from the EMBl-EBI FTP site and the open source code is hosted at Google Code.Availability and implementation: InterProScan is distributed via FTP at ftp://ftp.ebi.ac.uk/pub/software/unix/iprscan/5/ and the source code is available from http://code.google.com/p/interproscan/.Contact:http://www.ebi.ac.uk/support or interhelp@ebi.ac.uk or mitchell@ebi.ac.uk","container-title":"Bioinformatics","DOI":"10.1093/bioinformatics/btu031","ISSN":"1367-4803","issue":"9","journalAbbreviation":"Bioinformatics","page":"1236-1240","source":"Silverchair","title":"InterProScan 5: genome-scale protein function classification","title-short":"InterProScan 5","volume":"30","author":[{"family":"Jones","given":"Philip"},{"family":"Binns","given":"David"},{"family":"Chang","given":"Hsin-Yu"},{"family":"Fraser","given":"Matthew"},{"family":"Li","given":"Weizhong"},{"family":"McAnulla","given":"Craig"},{"family":"McWilliam","given":"Hamish"},{"family":"Maslen","given":"John"},{"family":"Mitchell","given":"Alex"},{"family":"Nuka","given":"Gift"},{"family":"Pesseat","given":"Sebastien"},{"family":"Quinn","given":"Antony F."},{"family":"Sangrador-Vegas","given":"Amaia"},{"family":"Scheremetjew","given":"Maxim"},{"family":"Yong","given":"Siew-Yit"},{"family":"Lopez","given":"Rodrigo"},{"family":"Hunter","given":"Sarah"}],"issued":{"date-parts":[["2014",5,1]]}}}],"schema":"https://github.com/citation-style-language/schema/raw/master/csl-citation.json"} </w:instrText>
      </w:r>
      <w:r w:rsidR="006C62F8">
        <w:fldChar w:fldCharType="separate"/>
      </w:r>
      <w:r w:rsidR="006C62F8" w:rsidRPr="006C62F8">
        <w:rPr>
          <w:rFonts w:ascii="Calibri" w:hAnsi="Calibri" w:cs="Calibri"/>
        </w:rPr>
        <w:t>(5, 6)</w:t>
      </w:r>
      <w:r w:rsidR="006C62F8">
        <w:fldChar w:fldCharType="end"/>
      </w:r>
      <w:r>
        <w:t xml:space="preserve"> to identify protein signatures. See </w:t>
      </w:r>
      <w:r w:rsidR="230C6249">
        <w:t>S</w:t>
      </w:r>
      <w:r>
        <w:t xml:space="preserve">upplementary </w:t>
      </w:r>
      <w:r w:rsidR="618AB8FC">
        <w:t>F</w:t>
      </w:r>
      <w:r>
        <w:t xml:space="preserve">ile </w:t>
      </w:r>
      <w:r w:rsidR="1F4C356A">
        <w:t>S3</w:t>
      </w:r>
      <w:r>
        <w:t xml:space="preserve"> for a summary of all these results for all sequences. </w:t>
      </w:r>
    </w:p>
    <w:p w14:paraId="233F31C0" w14:textId="3B08386B" w:rsidR="00233E99" w:rsidRDefault="00140A67">
      <w:r>
        <w:t xml:space="preserve">Regarding the canonical chemokines, only 3 sequences received annotations related to chemokines from the BLASTP versus </w:t>
      </w:r>
      <w:proofErr w:type="spellStart"/>
      <w:r>
        <w:t>SwissProt</w:t>
      </w:r>
      <w:proofErr w:type="spellEnd"/>
      <w:r>
        <w:t>. These were: one brachiopod sequence (</w:t>
      </w:r>
      <w:r w:rsidRPr="7F9934B6">
        <w:rPr>
          <w:i/>
          <w:iCs/>
        </w:rPr>
        <w:t>Lingula unguis</w:t>
      </w:r>
      <w:r>
        <w:t>) as candidate CCL24, one cnidarian (</w:t>
      </w:r>
      <w:proofErr w:type="spellStart"/>
      <w:r w:rsidR="00127F44" w:rsidRPr="7F9934B6">
        <w:rPr>
          <w:i/>
          <w:iCs/>
        </w:rPr>
        <w:t>Clytia</w:t>
      </w:r>
      <w:proofErr w:type="spellEnd"/>
      <w:r w:rsidR="00127F44" w:rsidRPr="7F9934B6">
        <w:rPr>
          <w:i/>
          <w:iCs/>
        </w:rPr>
        <w:t xml:space="preserve"> </w:t>
      </w:r>
      <w:proofErr w:type="spellStart"/>
      <w:r w:rsidR="00127F44" w:rsidRPr="7F9934B6">
        <w:rPr>
          <w:i/>
          <w:iCs/>
        </w:rPr>
        <w:t>hemisphaerica</w:t>
      </w:r>
      <w:proofErr w:type="spellEnd"/>
      <w:r>
        <w:t>) sequence as candidate CCL3, and one echinoderm (</w:t>
      </w:r>
      <w:proofErr w:type="spellStart"/>
      <w:r w:rsidR="00127F44" w:rsidRPr="7F9934B6">
        <w:rPr>
          <w:i/>
          <w:iCs/>
        </w:rPr>
        <w:t>Acanthaster</w:t>
      </w:r>
      <w:proofErr w:type="spellEnd"/>
      <w:r w:rsidR="00127F44" w:rsidRPr="7F9934B6">
        <w:rPr>
          <w:i/>
          <w:iCs/>
        </w:rPr>
        <w:t xml:space="preserve"> </w:t>
      </w:r>
      <w:proofErr w:type="spellStart"/>
      <w:r w:rsidR="00127F44" w:rsidRPr="7F9934B6">
        <w:rPr>
          <w:i/>
          <w:iCs/>
        </w:rPr>
        <w:t>planci</w:t>
      </w:r>
      <w:proofErr w:type="spellEnd"/>
      <w:r>
        <w:t xml:space="preserve">) sequence as candidate CXCL10. Although none of these sequences were categorised as chemokines with </w:t>
      </w:r>
      <w:proofErr w:type="spellStart"/>
      <w:r>
        <w:t>InterProScan</w:t>
      </w:r>
      <w:proofErr w:type="spellEnd"/>
      <w:r>
        <w:t>, we anyway decided to look at them further.</w:t>
      </w:r>
      <w:r w:rsidR="00461D01">
        <w:t xml:space="preserve"> Firstly, we noted how all three sequences were significantly longer than their counterparts in vertebrates. Secondly, none of the three sequences possessed a signal peptide, as calculated with </w:t>
      </w:r>
      <w:proofErr w:type="spellStart"/>
      <w:r w:rsidR="00461D01">
        <w:t>SignalP</w:t>
      </w:r>
      <w:proofErr w:type="spellEnd"/>
      <w:r w:rsidR="00461D01">
        <w:t xml:space="preserve"> 6.0 online tool (</w:t>
      </w:r>
      <w:hyperlink r:id="rId4">
        <w:r w:rsidR="003A1500" w:rsidRPr="7F9934B6">
          <w:rPr>
            <w:rStyle w:val="Hyperlink"/>
          </w:rPr>
          <w:t>https://services.healthtech.dtu.dk/service.php?SignalP-6.0</w:t>
        </w:r>
      </w:hyperlink>
      <w:r w:rsidR="00461D01">
        <w:t xml:space="preserve">), which is expected from secreted proteins such as chemokines </w:t>
      </w:r>
      <w:r w:rsidR="003E53AA">
        <w:fldChar w:fldCharType="begin"/>
      </w:r>
      <w:r w:rsidR="003E53AA">
        <w:instrText xml:space="preserve"> ADDIN ZOTERO_ITEM CSL_CITATION {"citationID":"AvtobS72","properties":{"formattedCitation":"(7)","plainCitation":"(7)","noteIndex":0},"citationItems":[{"id":15,"uris":["http://zotero.org/users/8176000/items/VV2HZEDK"],"itemData":{"id":15,"type":"article-journal","abstract":"The chemokines (or chemotactic cytokines) are a large family of small, secreted proteins that signal through cell surface G protein-coupled heptahelical chemokine receptors. They are best known for their ability to stimulate the migration of cells, most notably white blood cells (leukocytes). Consequently, chemokines play a central role in the development and homeostasis of the immune system, and are involved in all protective or destructive immune and inflammatory responses. Classically viewed as inducers of directed chemotactic migration, it is now clear that chemokines can stimulate a variety of other types of directed and undirected migratory behavior, such as haptotaxis, chemokinesis, and haptokinesis, in addition to inducing cell arrest or adhesion. However, chemokine receptors on leukocytes can do more than just direct migration, and these molecules can also be expressed on, and regulate the biology of, many nonleukocytic cell types. Chemokines are profoundly affected by post-translational modification, by interaction with the extracellular matrix (ECM), and by binding to heptahelical ‘atypical’ chemokine receptors that regulate chemokine localization and abundance. This guide gives a broad overview of the chemokine and chemokine receptor families; summarizes the complex physical interactions that occur in the chemokine network; and, using specific examples, discusses general principles of chemokine function, focusing particularly on their ability to direct leukocyte migration.","container-title":"The FEBS Journal","DOI":"10.1111/febs.14466","ISSN":"1742-464X","issue":"16","page":"2944-2971","title":"A guide to chemokines and their receptors","volume":"285","author":[{"family":"Hughes","given":"Catherine E."},{"family":"Nibbs","given":"Robert J. B."}],"issued":{"date-parts":[["2018"]]}}}],"schema":"https://github.com/citation-style-language/schema/raw/master/csl-citation.json"} </w:instrText>
      </w:r>
      <w:r w:rsidR="003E53AA">
        <w:fldChar w:fldCharType="separate"/>
      </w:r>
      <w:r w:rsidR="003E53AA" w:rsidRPr="003E53AA">
        <w:rPr>
          <w:rFonts w:ascii="Calibri" w:hAnsi="Calibri" w:cs="Calibri"/>
        </w:rPr>
        <w:t>(7)</w:t>
      </w:r>
      <w:r w:rsidR="003E53AA">
        <w:fldChar w:fldCharType="end"/>
      </w:r>
      <w:r w:rsidR="00461D01">
        <w:t>. Finally, we anyway tried to align the sequences (MAFFT –auto) with their respective candidate relatives and found poor conservation</w:t>
      </w:r>
      <w:r w:rsidR="003A1500">
        <w:t xml:space="preserve"> (Figures S</w:t>
      </w:r>
      <w:r w:rsidR="103642C1">
        <w:t>3-5</w:t>
      </w:r>
      <w:r w:rsidR="003A1500">
        <w:t>)</w:t>
      </w:r>
      <w:r w:rsidR="00461D01">
        <w:t>. The lack of evidence for being true chemokine</w:t>
      </w:r>
      <w:r w:rsidR="003A1500">
        <w:t>s</w:t>
      </w:r>
      <w:r w:rsidR="00461D01">
        <w:t>, led us to discard all invertebrate candidates for further analyses on canonical chemokines.</w:t>
      </w:r>
    </w:p>
    <w:p w14:paraId="5C568DEF" w14:textId="12AC66CB" w:rsidR="00461D01" w:rsidRDefault="00820361">
      <w:r>
        <w:t xml:space="preserve">The 4 candidate invertebrate TAFA sequences all belong to the urochordate </w:t>
      </w:r>
      <w:proofErr w:type="spellStart"/>
      <w:r w:rsidRPr="7F9934B6">
        <w:rPr>
          <w:i/>
          <w:iCs/>
        </w:rPr>
        <w:t>Ciona</w:t>
      </w:r>
      <w:proofErr w:type="spellEnd"/>
      <w:r w:rsidRPr="7F9934B6">
        <w:rPr>
          <w:i/>
          <w:iCs/>
        </w:rPr>
        <w:t xml:space="preserve"> intestinalis</w:t>
      </w:r>
      <w:r>
        <w:t xml:space="preserve">. </w:t>
      </w:r>
      <w:r w:rsidR="002670FE">
        <w:t xml:space="preserve">One sequence was annotated as TAFA by both </w:t>
      </w:r>
      <w:proofErr w:type="spellStart"/>
      <w:r w:rsidR="002670FE">
        <w:t>SwissProt</w:t>
      </w:r>
      <w:proofErr w:type="spellEnd"/>
      <w:r w:rsidR="002670FE">
        <w:t xml:space="preserve"> and </w:t>
      </w:r>
      <w:proofErr w:type="spellStart"/>
      <w:r w:rsidR="002670FE">
        <w:t>InterProScan</w:t>
      </w:r>
      <w:proofErr w:type="spellEnd"/>
      <w:r w:rsidR="002670FE">
        <w:t xml:space="preserve">, while the other three appear to be prolyl hydroxylases (see </w:t>
      </w:r>
      <w:r w:rsidR="4EDB27F2">
        <w:t>S</w:t>
      </w:r>
      <w:r w:rsidR="002670FE">
        <w:t xml:space="preserve">upplementary </w:t>
      </w:r>
      <w:r w:rsidR="5A3F1D93">
        <w:t>F</w:t>
      </w:r>
      <w:r w:rsidR="002670FE">
        <w:t xml:space="preserve">ile </w:t>
      </w:r>
      <w:r w:rsidR="169CD925">
        <w:t>S3</w:t>
      </w:r>
      <w:r w:rsidR="002670FE">
        <w:t xml:space="preserve">). We anyway studied all four sequences further and found that the only one to possess a signal peptide is the sequence that </w:t>
      </w:r>
      <w:r w:rsidR="004B4979">
        <w:t>received</w:t>
      </w:r>
      <w:r w:rsidR="002670FE">
        <w:t xml:space="preserve"> TAFA</w:t>
      </w:r>
      <w:r w:rsidR="004B4979">
        <w:t xml:space="preserve"> annotation. Moreover,</w:t>
      </w:r>
      <w:r w:rsidR="002670FE">
        <w:t xml:space="preserve"> the other three sequences appear to be too long </w:t>
      </w:r>
      <w:r w:rsidR="00540662">
        <w:t>and poorly aligned with</w:t>
      </w:r>
      <w:r w:rsidR="002670FE">
        <w:t xml:space="preserve"> vertebrate TAFAs</w:t>
      </w:r>
      <w:r w:rsidR="00540662">
        <w:t xml:space="preserve"> (Figure S</w:t>
      </w:r>
      <w:r w:rsidR="3A8B7B85">
        <w:t>6</w:t>
      </w:r>
      <w:r w:rsidR="00540662">
        <w:t>)</w:t>
      </w:r>
      <w:r w:rsidR="002670FE">
        <w:t xml:space="preserve">. </w:t>
      </w:r>
      <w:r w:rsidR="00540662">
        <w:t>The TAFA annotated sequence was of correct length and showed sequence conservation in the alignments</w:t>
      </w:r>
      <w:r w:rsidR="72B4E3FE">
        <w:t xml:space="preserve"> (Figures S6-S7)</w:t>
      </w:r>
      <w:r w:rsidR="00540662">
        <w:t xml:space="preserve">. </w:t>
      </w:r>
      <w:r w:rsidR="004B4979">
        <w:t>Interestingly, it possesses 8 of the 10 typical cysteine residues of TAFA1-4 and the two missing cysteines are the same ones missing in TAFA5.</w:t>
      </w:r>
      <w:r w:rsidR="00540662">
        <w:t xml:space="preserve"> Considering that TAFA5 is sister group to TAFA1-4 and that the urochordate sequence places itself as orthologous to all TAFAs (see main text Results) it is reasonable to conclude that the ancestral TAFAs possessed 8 cysteine residues and that the additional cysteines are a novelty of the TAFA1-4 lineage. </w:t>
      </w:r>
    </w:p>
    <w:p w14:paraId="7E367BB3" w14:textId="4E24D2CD" w:rsidR="00461D01" w:rsidRDefault="006836A6">
      <w:r>
        <w:t>Taken together these results show that while canonical chemokines are indeed a vertebrate innovation, TAFA “chemokines” likely originated in the ancestor of vertebrates and urochordates.</w:t>
      </w:r>
    </w:p>
    <w:p w14:paraId="2176FE42" w14:textId="77777777" w:rsidR="004B4979" w:rsidRDefault="004B4979"/>
    <w:p w14:paraId="439C891A" w14:textId="0A51BE22" w:rsidR="00233E99" w:rsidRPr="00461D01" w:rsidRDefault="00D00661">
      <w:pPr>
        <w:rPr>
          <w:b/>
          <w:bCs/>
        </w:rPr>
      </w:pPr>
      <w:r>
        <w:rPr>
          <w:b/>
          <w:bCs/>
        </w:rPr>
        <w:t>Exclusion of some sequences from</w:t>
      </w:r>
      <w:r w:rsidR="00FB586D">
        <w:rPr>
          <w:b/>
          <w:bCs/>
        </w:rPr>
        <w:t xml:space="preserve"> the CKLFSF dataset</w:t>
      </w:r>
    </w:p>
    <w:p w14:paraId="45E54798" w14:textId="4F4761CD" w:rsidR="00233E99" w:rsidRDefault="002B5293">
      <w:r>
        <w:t>The data mining through BLASTP</w:t>
      </w:r>
      <w:r w:rsidR="009C05DC">
        <w:t xml:space="preserve"> </w:t>
      </w:r>
      <w:r>
        <w:t xml:space="preserve">and PSI-BLAST </w:t>
      </w:r>
      <w:r w:rsidR="003B38A5">
        <w:fldChar w:fldCharType="begin"/>
      </w:r>
      <w:r w:rsidR="003E53AA">
        <w:instrText xml:space="preserve"> ADDIN ZOTERO_ITEM CSL_CITATION {"citationID":"Nirnw42e","properties":{"formattedCitation":"(8)","plainCitation":"(8)","noteIndex":0},"citationItems":[{"id":1114,"uris":["http://zotero.org/users/8176000/items/NBVZJZSF"],"itemData":{"id":1114,"type":"article-journal","abstract":"The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Research","page":"3389-3402","source":"Silverchair","title":"Gapped BLAST and PSI-BLAST: a new generation of protein database search programs","title-short":"Gapped BLAST and PSI-BLAST","volume":"25","author":[{"family":"Altschul","given":"Stephen F."},{"family":"Madden","given":"Thomas L."},{"family":"Schäffer","given":"Alejandro A."},{"family":"Zhang","given":"Jinghui"},{"family":"Zhang","given":"Zheng"},{"family":"Miller","given":"Webb"},{"family":"Lipman","given":"David J."}],"issued":{"date-parts":[["1997",9,1]]}}}],"schema":"https://github.com/citation-style-language/schema/raw/master/csl-citation.json"} </w:instrText>
      </w:r>
      <w:r w:rsidR="003B38A5">
        <w:fldChar w:fldCharType="separate"/>
      </w:r>
      <w:r w:rsidR="003E53AA" w:rsidRPr="003E53AA">
        <w:rPr>
          <w:rFonts w:ascii="Calibri" w:hAnsi="Calibri" w:cs="Calibri"/>
        </w:rPr>
        <w:t>(8)</w:t>
      </w:r>
      <w:r w:rsidR="003B38A5">
        <w:fldChar w:fldCharType="end"/>
      </w:r>
      <w:r w:rsidR="009C05DC">
        <w:t xml:space="preserve"> </w:t>
      </w:r>
      <w:r>
        <w:t>provided numerous candidate CKLFSF homologs both in vertebrates and in invertebrates and these were all included in a clustering analysis with CLANS (Figure 1</w:t>
      </w:r>
      <w:r w:rsidR="009C05DC">
        <w:t>C</w:t>
      </w:r>
      <w:r>
        <w:t xml:space="preserve"> and Figure</w:t>
      </w:r>
      <w:r w:rsidR="3490AC91">
        <w:t xml:space="preserve"> S2</w:t>
      </w:r>
      <w:r>
        <w:t>).</w:t>
      </w:r>
      <w:r w:rsidR="00ED02F1">
        <w:t xml:space="preserve"> Two main clusters emerged </w:t>
      </w:r>
      <w:r w:rsidR="00DA01E7">
        <w:t>and</w:t>
      </w:r>
      <w:r w:rsidR="00ED02F1">
        <w:t xml:space="preserve"> we called</w:t>
      </w:r>
      <w:r w:rsidR="00DA01E7">
        <w:t xml:space="preserve"> them</w:t>
      </w:r>
      <w:r w:rsidR="00ED02F1">
        <w:t xml:space="preserve"> “CKLF I” and “CKLF </w:t>
      </w:r>
      <w:r w:rsidR="00ED02F1">
        <w:lastRenderedPageBreak/>
        <w:t>II”. While CKLF I was vertebrate specific, the CKLF II included multiple invertebrate sequences.</w:t>
      </w:r>
      <w:r w:rsidR="00DA01E7">
        <w:t xml:space="preserve"> </w:t>
      </w:r>
      <w:r w:rsidR="007C0E4E">
        <w:t xml:space="preserve">While the </w:t>
      </w:r>
      <w:r w:rsidR="00DA01E7">
        <w:t xml:space="preserve">two main clusters </w:t>
      </w:r>
      <w:r w:rsidR="006D4D68">
        <w:t>are</w:t>
      </w:r>
      <w:r w:rsidR="00DA01E7">
        <w:t xml:space="preserve"> well</w:t>
      </w:r>
      <w:r w:rsidR="00F87284">
        <w:t>-</w:t>
      </w:r>
      <w:r w:rsidR="00DA01E7">
        <w:t xml:space="preserve">defined </w:t>
      </w:r>
      <w:r w:rsidR="007C0E4E">
        <w:t>already at</w:t>
      </w:r>
      <w:r w:rsidR="006D4D68">
        <w:t xml:space="preserve"> p-values of ~1E-20</w:t>
      </w:r>
      <w:r w:rsidR="007C0E4E">
        <w:t xml:space="preserve"> </w:t>
      </w:r>
      <w:r w:rsidR="00DA01E7">
        <w:t>(Figure S</w:t>
      </w:r>
      <w:r w:rsidR="1FF81922">
        <w:t>2 and File S2</w:t>
      </w:r>
      <w:r w:rsidR="00DA01E7">
        <w:t>)</w:t>
      </w:r>
      <w:r w:rsidR="007C0E4E">
        <w:t xml:space="preserve">, they only connect to each other </w:t>
      </w:r>
      <w:r w:rsidR="00DA01E7">
        <w:t xml:space="preserve">at 1E-15. At this p-value, 4 additional sequences connected loosely to the CKLF II cluster. </w:t>
      </w:r>
      <w:r w:rsidR="007C0E4E">
        <w:t xml:space="preserve">These were 3 echinoderm sequences (all from </w:t>
      </w:r>
      <w:proofErr w:type="spellStart"/>
      <w:r w:rsidR="007C0E4E" w:rsidRPr="7F9934B6">
        <w:rPr>
          <w:i/>
          <w:iCs/>
        </w:rPr>
        <w:t>Stichopus</w:t>
      </w:r>
      <w:proofErr w:type="spellEnd"/>
      <w:r w:rsidR="007C0E4E" w:rsidRPr="7F9934B6">
        <w:rPr>
          <w:i/>
          <w:iCs/>
        </w:rPr>
        <w:t xml:space="preserve"> japonicus</w:t>
      </w:r>
      <w:r w:rsidR="007C0E4E">
        <w:t xml:space="preserve">) and one sequence from the placozoan </w:t>
      </w:r>
      <w:r w:rsidR="007C0E4E" w:rsidRPr="7F9934B6">
        <w:rPr>
          <w:i/>
          <w:iCs/>
        </w:rPr>
        <w:t xml:space="preserve">Trichoplax </w:t>
      </w:r>
      <w:proofErr w:type="spellStart"/>
      <w:r w:rsidR="007C0E4E" w:rsidRPr="7F9934B6">
        <w:rPr>
          <w:i/>
          <w:iCs/>
        </w:rPr>
        <w:t>adhaerens</w:t>
      </w:r>
      <w:proofErr w:type="spellEnd"/>
      <w:r w:rsidR="007C0E4E">
        <w:t xml:space="preserve">. </w:t>
      </w:r>
      <w:r w:rsidR="00666A1A">
        <w:t xml:space="preserve">The latter is the only non-bilaterian sequence collected from the original BLASTs. </w:t>
      </w:r>
      <w:r w:rsidR="00D00661">
        <w:t xml:space="preserve">These sequences not only joined the CKLFSF cluster at the limit threshold, but also connected only to sequences that were already marginal, therefore being only indirectly connected to the core </w:t>
      </w:r>
      <w:r w:rsidR="00F251B3">
        <w:t>of the cluster</w:t>
      </w:r>
      <w:r w:rsidR="00D00661">
        <w:t xml:space="preserve">. Like above, we examined the sequences with a BLAST versus </w:t>
      </w:r>
      <w:proofErr w:type="spellStart"/>
      <w:r w:rsidR="00D00661">
        <w:t>SwissProt</w:t>
      </w:r>
      <w:proofErr w:type="spellEnd"/>
      <w:r w:rsidR="00D00661">
        <w:t xml:space="preserve"> and with </w:t>
      </w:r>
      <w:proofErr w:type="spellStart"/>
      <w:r w:rsidR="00D00661">
        <w:t>InterProScan</w:t>
      </w:r>
      <w:proofErr w:type="spellEnd"/>
      <w:r w:rsidR="00D00661">
        <w:t xml:space="preserve"> (see </w:t>
      </w:r>
      <w:r w:rsidR="0BC7870F">
        <w:t>S</w:t>
      </w:r>
      <w:r w:rsidR="00D00661">
        <w:t xml:space="preserve">upplementary </w:t>
      </w:r>
      <w:r w:rsidR="50290A84">
        <w:t>F</w:t>
      </w:r>
      <w:r w:rsidR="00D00661">
        <w:t xml:space="preserve">ile </w:t>
      </w:r>
      <w:r w:rsidR="06E24960">
        <w:t>S3</w:t>
      </w:r>
      <w:r w:rsidR="00D00661">
        <w:t xml:space="preserve">). </w:t>
      </w:r>
      <w:r w:rsidR="00FF6B95">
        <w:t xml:space="preserve">The evidence in favour of keeping these sequences was scant (see details in </w:t>
      </w:r>
      <w:r w:rsidR="0C462166">
        <w:t>S</w:t>
      </w:r>
      <w:r w:rsidR="00FF6B95">
        <w:t xml:space="preserve">upplementary </w:t>
      </w:r>
      <w:r w:rsidR="363F4428">
        <w:t>F</w:t>
      </w:r>
      <w:r w:rsidR="00FF6B95">
        <w:t xml:space="preserve">ile </w:t>
      </w:r>
      <w:r w:rsidR="2B73E090">
        <w:t>S3</w:t>
      </w:r>
      <w:r w:rsidR="00FF6B95">
        <w:t xml:space="preserve">), and we decided to exclude them from downstream phylogenetic analyses. The CKLFSF </w:t>
      </w:r>
      <w:r w:rsidR="00847FCC">
        <w:t xml:space="preserve">dataset </w:t>
      </w:r>
      <w:r w:rsidR="00FF6B95">
        <w:t xml:space="preserve">therefore did not include any non-bilaterian sequences, although multiple bilaterian invertebrate phyla were represented.  </w:t>
      </w:r>
      <w:r w:rsidR="00847FCC">
        <w:t xml:space="preserve"> </w:t>
      </w:r>
    </w:p>
    <w:p w14:paraId="7ADA796D" w14:textId="2A713872" w:rsidR="006C62F8" w:rsidRDefault="006C62F8"/>
    <w:p w14:paraId="548F2BFA" w14:textId="390AF320" w:rsidR="006C62F8" w:rsidRPr="006C62F8" w:rsidRDefault="006C62F8">
      <w:pPr>
        <w:rPr>
          <w:b/>
          <w:bCs/>
        </w:rPr>
      </w:pPr>
      <w:r w:rsidRPr="006C62F8">
        <w:rPr>
          <w:b/>
          <w:bCs/>
        </w:rPr>
        <w:t>References</w:t>
      </w:r>
    </w:p>
    <w:p w14:paraId="420B2434" w14:textId="77777777" w:rsidR="003E53AA" w:rsidRPr="003E53AA" w:rsidRDefault="006C62F8" w:rsidP="003E53AA">
      <w:pPr>
        <w:pStyle w:val="Bibliography"/>
        <w:rPr>
          <w:rFonts w:ascii="Calibri" w:hAnsi="Calibri" w:cs="Calibri"/>
        </w:rPr>
      </w:pPr>
      <w:r>
        <w:fldChar w:fldCharType="begin"/>
      </w:r>
      <w:r>
        <w:instrText xml:space="preserve"> ADDIN ZOTERO_BIBL {"uncited":[],"omitted":[],"custom":[]} CSL_BIBLIOGRAPHY </w:instrText>
      </w:r>
      <w:r>
        <w:fldChar w:fldCharType="separate"/>
      </w:r>
      <w:r w:rsidR="003E53AA" w:rsidRPr="003E53AA">
        <w:rPr>
          <w:rFonts w:ascii="Calibri" w:hAnsi="Calibri" w:cs="Calibri"/>
        </w:rPr>
        <w:t xml:space="preserve">1. </w:t>
      </w:r>
      <w:r w:rsidR="003E53AA" w:rsidRPr="003E53AA">
        <w:rPr>
          <w:rFonts w:ascii="Calibri" w:hAnsi="Calibri" w:cs="Calibri"/>
        </w:rPr>
        <w:tab/>
        <w:t xml:space="preserve">S. F. </w:t>
      </w:r>
      <w:proofErr w:type="spellStart"/>
      <w:r w:rsidR="003E53AA" w:rsidRPr="003E53AA">
        <w:rPr>
          <w:rFonts w:ascii="Calibri" w:hAnsi="Calibri" w:cs="Calibri"/>
        </w:rPr>
        <w:t>Altschul</w:t>
      </w:r>
      <w:proofErr w:type="spellEnd"/>
      <w:r w:rsidR="003E53AA" w:rsidRPr="003E53AA">
        <w:rPr>
          <w:rFonts w:ascii="Calibri" w:hAnsi="Calibri" w:cs="Calibri"/>
        </w:rPr>
        <w:t xml:space="preserve">, W. Gish, W. Miller, E. W. Myers, D. J. Lipman, Basic local alignment search tool. </w:t>
      </w:r>
      <w:r w:rsidR="003E53AA" w:rsidRPr="003E53AA">
        <w:rPr>
          <w:rFonts w:ascii="Calibri" w:hAnsi="Calibri" w:cs="Calibri"/>
          <w:i/>
          <w:iCs/>
        </w:rPr>
        <w:t>Journal of Molecular Biology</w:t>
      </w:r>
      <w:r w:rsidR="003E53AA" w:rsidRPr="003E53AA">
        <w:rPr>
          <w:rFonts w:ascii="Calibri" w:hAnsi="Calibri" w:cs="Calibri"/>
        </w:rPr>
        <w:t xml:space="preserve"> </w:t>
      </w:r>
      <w:r w:rsidR="003E53AA" w:rsidRPr="003E53AA">
        <w:rPr>
          <w:rFonts w:ascii="Calibri" w:hAnsi="Calibri" w:cs="Calibri"/>
          <w:b/>
          <w:bCs/>
        </w:rPr>
        <w:t>215</w:t>
      </w:r>
      <w:r w:rsidR="003E53AA" w:rsidRPr="003E53AA">
        <w:rPr>
          <w:rFonts w:ascii="Calibri" w:hAnsi="Calibri" w:cs="Calibri"/>
        </w:rPr>
        <w:t>, 403–410 (1990).</w:t>
      </w:r>
    </w:p>
    <w:p w14:paraId="4078B462" w14:textId="77777777" w:rsidR="003E53AA" w:rsidRPr="003E53AA" w:rsidRDefault="003E53AA" w:rsidP="003E53AA">
      <w:pPr>
        <w:pStyle w:val="Bibliography"/>
        <w:rPr>
          <w:rFonts w:ascii="Calibri" w:hAnsi="Calibri" w:cs="Calibri"/>
        </w:rPr>
      </w:pPr>
      <w:r w:rsidRPr="003E53AA">
        <w:rPr>
          <w:rFonts w:ascii="Calibri" w:hAnsi="Calibri" w:cs="Calibri"/>
        </w:rPr>
        <w:t xml:space="preserve">2. </w:t>
      </w:r>
      <w:r w:rsidRPr="003E53AA">
        <w:rPr>
          <w:rFonts w:ascii="Calibri" w:hAnsi="Calibri" w:cs="Calibri"/>
        </w:rPr>
        <w:tab/>
        <w:t xml:space="preserve">C. Camacho, </w:t>
      </w:r>
      <w:r w:rsidRPr="003E53AA">
        <w:rPr>
          <w:rFonts w:ascii="Calibri" w:hAnsi="Calibri" w:cs="Calibri"/>
          <w:i/>
          <w:iCs/>
        </w:rPr>
        <w:t>et al.</w:t>
      </w:r>
      <w:r w:rsidRPr="003E53AA">
        <w:rPr>
          <w:rFonts w:ascii="Calibri" w:hAnsi="Calibri" w:cs="Calibri"/>
        </w:rPr>
        <w:t xml:space="preserve">, BLAST+: architecture and applications. </w:t>
      </w:r>
      <w:r w:rsidRPr="003E53AA">
        <w:rPr>
          <w:rFonts w:ascii="Calibri" w:hAnsi="Calibri" w:cs="Calibri"/>
          <w:i/>
          <w:iCs/>
        </w:rPr>
        <w:t>BMC Bioinformatics</w:t>
      </w:r>
      <w:r w:rsidRPr="003E53AA">
        <w:rPr>
          <w:rFonts w:ascii="Calibri" w:hAnsi="Calibri" w:cs="Calibri"/>
        </w:rPr>
        <w:t xml:space="preserve"> </w:t>
      </w:r>
      <w:r w:rsidRPr="003E53AA">
        <w:rPr>
          <w:rFonts w:ascii="Calibri" w:hAnsi="Calibri" w:cs="Calibri"/>
          <w:b/>
          <w:bCs/>
        </w:rPr>
        <w:t>10</w:t>
      </w:r>
      <w:r w:rsidRPr="003E53AA">
        <w:rPr>
          <w:rFonts w:ascii="Calibri" w:hAnsi="Calibri" w:cs="Calibri"/>
        </w:rPr>
        <w:t>, 421 (2009).</w:t>
      </w:r>
    </w:p>
    <w:p w14:paraId="71ACF71B" w14:textId="77777777" w:rsidR="003E53AA" w:rsidRPr="003E53AA" w:rsidRDefault="003E53AA" w:rsidP="003E53AA">
      <w:pPr>
        <w:pStyle w:val="Bibliography"/>
        <w:rPr>
          <w:rFonts w:ascii="Calibri" w:hAnsi="Calibri" w:cs="Calibri"/>
        </w:rPr>
      </w:pPr>
      <w:r w:rsidRPr="003E53AA">
        <w:rPr>
          <w:rFonts w:ascii="Calibri" w:hAnsi="Calibri" w:cs="Calibri"/>
        </w:rPr>
        <w:t xml:space="preserve">3. </w:t>
      </w:r>
      <w:r w:rsidRPr="003E53AA">
        <w:rPr>
          <w:rFonts w:ascii="Calibri" w:hAnsi="Calibri" w:cs="Calibri"/>
        </w:rPr>
        <w:tab/>
        <w:t xml:space="preserve">E. </w:t>
      </w:r>
      <w:proofErr w:type="spellStart"/>
      <w:r w:rsidRPr="003E53AA">
        <w:rPr>
          <w:rFonts w:ascii="Calibri" w:hAnsi="Calibri" w:cs="Calibri"/>
        </w:rPr>
        <w:t>Boutet</w:t>
      </w:r>
      <w:proofErr w:type="spellEnd"/>
      <w:r w:rsidRPr="003E53AA">
        <w:rPr>
          <w:rFonts w:ascii="Calibri" w:hAnsi="Calibri" w:cs="Calibri"/>
        </w:rPr>
        <w:t xml:space="preserve">, </w:t>
      </w:r>
      <w:r w:rsidRPr="003E53AA">
        <w:rPr>
          <w:rFonts w:ascii="Calibri" w:hAnsi="Calibri" w:cs="Calibri"/>
          <w:i/>
          <w:iCs/>
        </w:rPr>
        <w:t>et al.</w:t>
      </w:r>
      <w:r w:rsidRPr="003E53AA">
        <w:rPr>
          <w:rFonts w:ascii="Calibri" w:hAnsi="Calibri" w:cs="Calibri"/>
        </w:rPr>
        <w:t>, “</w:t>
      </w:r>
      <w:proofErr w:type="spellStart"/>
      <w:r w:rsidRPr="003E53AA">
        <w:rPr>
          <w:rFonts w:ascii="Calibri" w:hAnsi="Calibri" w:cs="Calibri"/>
        </w:rPr>
        <w:t>UniProtKB</w:t>
      </w:r>
      <w:proofErr w:type="spellEnd"/>
      <w:r w:rsidRPr="003E53AA">
        <w:rPr>
          <w:rFonts w:ascii="Calibri" w:hAnsi="Calibri" w:cs="Calibri"/>
        </w:rPr>
        <w:t>/Swiss-</w:t>
      </w:r>
      <w:proofErr w:type="spellStart"/>
      <w:r w:rsidRPr="003E53AA">
        <w:rPr>
          <w:rFonts w:ascii="Calibri" w:hAnsi="Calibri" w:cs="Calibri"/>
        </w:rPr>
        <w:t>Prot</w:t>
      </w:r>
      <w:proofErr w:type="spellEnd"/>
      <w:r w:rsidRPr="003E53AA">
        <w:rPr>
          <w:rFonts w:ascii="Calibri" w:hAnsi="Calibri" w:cs="Calibri"/>
        </w:rPr>
        <w:t xml:space="preserve">, the Manually Annotated Section of the </w:t>
      </w:r>
      <w:proofErr w:type="spellStart"/>
      <w:r w:rsidRPr="003E53AA">
        <w:rPr>
          <w:rFonts w:ascii="Calibri" w:hAnsi="Calibri" w:cs="Calibri"/>
        </w:rPr>
        <w:t>UniProt</w:t>
      </w:r>
      <w:proofErr w:type="spellEnd"/>
      <w:r w:rsidRPr="003E53AA">
        <w:rPr>
          <w:rFonts w:ascii="Calibri" w:hAnsi="Calibri" w:cs="Calibri"/>
        </w:rPr>
        <w:t xml:space="preserve"> </w:t>
      </w:r>
      <w:proofErr w:type="spellStart"/>
      <w:r w:rsidRPr="003E53AA">
        <w:rPr>
          <w:rFonts w:ascii="Calibri" w:hAnsi="Calibri" w:cs="Calibri"/>
        </w:rPr>
        <w:t>KnowledgeBase</w:t>
      </w:r>
      <w:proofErr w:type="spellEnd"/>
      <w:r w:rsidRPr="003E53AA">
        <w:rPr>
          <w:rFonts w:ascii="Calibri" w:hAnsi="Calibri" w:cs="Calibri"/>
        </w:rPr>
        <w:t xml:space="preserve">: How to Use the Entry View” in </w:t>
      </w:r>
      <w:r w:rsidRPr="003E53AA">
        <w:rPr>
          <w:rFonts w:ascii="Calibri" w:hAnsi="Calibri" w:cs="Calibri"/>
          <w:i/>
          <w:iCs/>
        </w:rPr>
        <w:t>Plant Bioinformatics: Methods and Protocols</w:t>
      </w:r>
      <w:r w:rsidRPr="003E53AA">
        <w:rPr>
          <w:rFonts w:ascii="Calibri" w:hAnsi="Calibri" w:cs="Calibri"/>
        </w:rPr>
        <w:t>, Methods in Molecular Biology., D. Edwards, Ed. (Springer, 2016), pp. 23–54.</w:t>
      </w:r>
    </w:p>
    <w:p w14:paraId="1390A90B" w14:textId="77777777" w:rsidR="003E53AA" w:rsidRPr="003E53AA" w:rsidRDefault="003E53AA" w:rsidP="003E53AA">
      <w:pPr>
        <w:pStyle w:val="Bibliography"/>
        <w:rPr>
          <w:rFonts w:ascii="Calibri" w:hAnsi="Calibri" w:cs="Calibri"/>
        </w:rPr>
      </w:pPr>
      <w:r w:rsidRPr="003E53AA">
        <w:rPr>
          <w:rFonts w:ascii="Calibri" w:hAnsi="Calibri" w:cs="Calibri"/>
        </w:rPr>
        <w:t xml:space="preserve">4. </w:t>
      </w:r>
      <w:r w:rsidRPr="003E53AA">
        <w:rPr>
          <w:rFonts w:ascii="Calibri" w:hAnsi="Calibri" w:cs="Calibri"/>
        </w:rPr>
        <w:tab/>
        <w:t xml:space="preserve">S. </w:t>
      </w:r>
      <w:proofErr w:type="spellStart"/>
      <w:r w:rsidRPr="003E53AA">
        <w:rPr>
          <w:rFonts w:ascii="Calibri" w:hAnsi="Calibri" w:cs="Calibri"/>
        </w:rPr>
        <w:t>Poux</w:t>
      </w:r>
      <w:proofErr w:type="spellEnd"/>
      <w:r w:rsidRPr="003E53AA">
        <w:rPr>
          <w:rFonts w:ascii="Calibri" w:hAnsi="Calibri" w:cs="Calibri"/>
        </w:rPr>
        <w:t xml:space="preserve">, </w:t>
      </w:r>
      <w:r w:rsidRPr="003E53AA">
        <w:rPr>
          <w:rFonts w:ascii="Calibri" w:hAnsi="Calibri" w:cs="Calibri"/>
          <w:i/>
          <w:iCs/>
        </w:rPr>
        <w:t>et al.</w:t>
      </w:r>
      <w:r w:rsidRPr="003E53AA">
        <w:rPr>
          <w:rFonts w:ascii="Calibri" w:hAnsi="Calibri" w:cs="Calibri"/>
        </w:rPr>
        <w:t xml:space="preserve">, On expert curation and scalability: </w:t>
      </w:r>
      <w:proofErr w:type="spellStart"/>
      <w:r w:rsidRPr="003E53AA">
        <w:rPr>
          <w:rFonts w:ascii="Calibri" w:hAnsi="Calibri" w:cs="Calibri"/>
        </w:rPr>
        <w:t>UniProtKB</w:t>
      </w:r>
      <w:proofErr w:type="spellEnd"/>
      <w:r w:rsidRPr="003E53AA">
        <w:rPr>
          <w:rFonts w:ascii="Calibri" w:hAnsi="Calibri" w:cs="Calibri"/>
        </w:rPr>
        <w:t>/Swiss-</w:t>
      </w:r>
      <w:proofErr w:type="spellStart"/>
      <w:r w:rsidRPr="003E53AA">
        <w:rPr>
          <w:rFonts w:ascii="Calibri" w:hAnsi="Calibri" w:cs="Calibri"/>
        </w:rPr>
        <w:t>Prot</w:t>
      </w:r>
      <w:proofErr w:type="spellEnd"/>
      <w:r w:rsidRPr="003E53AA">
        <w:rPr>
          <w:rFonts w:ascii="Calibri" w:hAnsi="Calibri" w:cs="Calibri"/>
        </w:rPr>
        <w:t xml:space="preserve"> as a case study. </w:t>
      </w:r>
      <w:r w:rsidRPr="003E53AA">
        <w:rPr>
          <w:rFonts w:ascii="Calibri" w:hAnsi="Calibri" w:cs="Calibri"/>
          <w:i/>
          <w:iCs/>
        </w:rPr>
        <w:t>Bioinformatics</w:t>
      </w:r>
      <w:r w:rsidRPr="003E53AA">
        <w:rPr>
          <w:rFonts w:ascii="Calibri" w:hAnsi="Calibri" w:cs="Calibri"/>
        </w:rPr>
        <w:t xml:space="preserve"> </w:t>
      </w:r>
      <w:r w:rsidRPr="003E53AA">
        <w:rPr>
          <w:rFonts w:ascii="Calibri" w:hAnsi="Calibri" w:cs="Calibri"/>
          <w:b/>
          <w:bCs/>
        </w:rPr>
        <w:t>33</w:t>
      </w:r>
      <w:r w:rsidRPr="003E53AA">
        <w:rPr>
          <w:rFonts w:ascii="Calibri" w:hAnsi="Calibri" w:cs="Calibri"/>
        </w:rPr>
        <w:t>, 3454–3460 (2017).</w:t>
      </w:r>
    </w:p>
    <w:p w14:paraId="2FB1C391" w14:textId="77777777" w:rsidR="003E53AA" w:rsidRPr="003E53AA" w:rsidRDefault="003E53AA" w:rsidP="003E53AA">
      <w:pPr>
        <w:pStyle w:val="Bibliography"/>
        <w:rPr>
          <w:rFonts w:ascii="Calibri" w:hAnsi="Calibri" w:cs="Calibri"/>
        </w:rPr>
      </w:pPr>
      <w:r w:rsidRPr="003E53AA">
        <w:rPr>
          <w:rFonts w:ascii="Calibri" w:hAnsi="Calibri" w:cs="Calibri"/>
        </w:rPr>
        <w:t xml:space="preserve">5. </w:t>
      </w:r>
      <w:r w:rsidRPr="003E53AA">
        <w:rPr>
          <w:rFonts w:ascii="Calibri" w:hAnsi="Calibri" w:cs="Calibri"/>
        </w:rPr>
        <w:tab/>
        <w:t xml:space="preserve">E. M. </w:t>
      </w:r>
      <w:proofErr w:type="spellStart"/>
      <w:r w:rsidRPr="003E53AA">
        <w:rPr>
          <w:rFonts w:ascii="Calibri" w:hAnsi="Calibri" w:cs="Calibri"/>
        </w:rPr>
        <w:t>Zdobnov</w:t>
      </w:r>
      <w:proofErr w:type="spellEnd"/>
      <w:r w:rsidRPr="003E53AA">
        <w:rPr>
          <w:rFonts w:ascii="Calibri" w:hAnsi="Calibri" w:cs="Calibri"/>
        </w:rPr>
        <w:t xml:space="preserve">, R. </w:t>
      </w:r>
      <w:proofErr w:type="spellStart"/>
      <w:r w:rsidRPr="003E53AA">
        <w:rPr>
          <w:rFonts w:ascii="Calibri" w:hAnsi="Calibri" w:cs="Calibri"/>
        </w:rPr>
        <w:t>Apweiler</w:t>
      </w:r>
      <w:proofErr w:type="spellEnd"/>
      <w:r w:rsidRPr="003E53AA">
        <w:rPr>
          <w:rFonts w:ascii="Calibri" w:hAnsi="Calibri" w:cs="Calibri"/>
        </w:rPr>
        <w:t xml:space="preserve">, </w:t>
      </w:r>
      <w:proofErr w:type="spellStart"/>
      <w:r w:rsidRPr="003E53AA">
        <w:rPr>
          <w:rFonts w:ascii="Calibri" w:hAnsi="Calibri" w:cs="Calibri"/>
        </w:rPr>
        <w:t>InterProScan</w:t>
      </w:r>
      <w:proofErr w:type="spellEnd"/>
      <w:r w:rsidRPr="003E53AA">
        <w:rPr>
          <w:rFonts w:ascii="Calibri" w:hAnsi="Calibri" w:cs="Calibri"/>
        </w:rPr>
        <w:t xml:space="preserve"> – an integration platform for the signature-recognition methods in </w:t>
      </w:r>
      <w:proofErr w:type="spellStart"/>
      <w:r w:rsidRPr="003E53AA">
        <w:rPr>
          <w:rFonts w:ascii="Calibri" w:hAnsi="Calibri" w:cs="Calibri"/>
        </w:rPr>
        <w:t>InterPro</w:t>
      </w:r>
      <w:proofErr w:type="spellEnd"/>
      <w:r w:rsidRPr="003E53AA">
        <w:rPr>
          <w:rFonts w:ascii="Calibri" w:hAnsi="Calibri" w:cs="Calibri"/>
        </w:rPr>
        <w:t xml:space="preserve">. </w:t>
      </w:r>
      <w:r w:rsidRPr="003E53AA">
        <w:rPr>
          <w:rFonts w:ascii="Calibri" w:hAnsi="Calibri" w:cs="Calibri"/>
          <w:i/>
          <w:iCs/>
        </w:rPr>
        <w:t>Bioinformatics</w:t>
      </w:r>
      <w:r w:rsidRPr="003E53AA">
        <w:rPr>
          <w:rFonts w:ascii="Calibri" w:hAnsi="Calibri" w:cs="Calibri"/>
        </w:rPr>
        <w:t xml:space="preserve"> </w:t>
      </w:r>
      <w:r w:rsidRPr="003E53AA">
        <w:rPr>
          <w:rFonts w:ascii="Calibri" w:hAnsi="Calibri" w:cs="Calibri"/>
          <w:b/>
          <w:bCs/>
        </w:rPr>
        <w:t>17</w:t>
      </w:r>
      <w:r w:rsidRPr="003E53AA">
        <w:rPr>
          <w:rFonts w:ascii="Calibri" w:hAnsi="Calibri" w:cs="Calibri"/>
        </w:rPr>
        <w:t>, 847–848 (2001).</w:t>
      </w:r>
    </w:p>
    <w:p w14:paraId="51A870D5" w14:textId="77777777" w:rsidR="003E53AA" w:rsidRPr="003E53AA" w:rsidRDefault="003E53AA" w:rsidP="003E53AA">
      <w:pPr>
        <w:pStyle w:val="Bibliography"/>
        <w:rPr>
          <w:rFonts w:ascii="Calibri" w:hAnsi="Calibri" w:cs="Calibri"/>
        </w:rPr>
      </w:pPr>
      <w:r w:rsidRPr="003E53AA">
        <w:rPr>
          <w:rFonts w:ascii="Calibri" w:hAnsi="Calibri" w:cs="Calibri"/>
        </w:rPr>
        <w:t xml:space="preserve">6. </w:t>
      </w:r>
      <w:r w:rsidRPr="003E53AA">
        <w:rPr>
          <w:rFonts w:ascii="Calibri" w:hAnsi="Calibri" w:cs="Calibri"/>
        </w:rPr>
        <w:tab/>
        <w:t xml:space="preserve">P. Jones, </w:t>
      </w:r>
      <w:r w:rsidRPr="003E53AA">
        <w:rPr>
          <w:rFonts w:ascii="Calibri" w:hAnsi="Calibri" w:cs="Calibri"/>
          <w:i/>
          <w:iCs/>
        </w:rPr>
        <w:t>et al.</w:t>
      </w:r>
      <w:r w:rsidRPr="003E53AA">
        <w:rPr>
          <w:rFonts w:ascii="Calibri" w:hAnsi="Calibri" w:cs="Calibri"/>
        </w:rPr>
        <w:t xml:space="preserve">, </w:t>
      </w:r>
      <w:proofErr w:type="spellStart"/>
      <w:r w:rsidRPr="003E53AA">
        <w:rPr>
          <w:rFonts w:ascii="Calibri" w:hAnsi="Calibri" w:cs="Calibri"/>
        </w:rPr>
        <w:t>InterProScan</w:t>
      </w:r>
      <w:proofErr w:type="spellEnd"/>
      <w:r w:rsidRPr="003E53AA">
        <w:rPr>
          <w:rFonts w:ascii="Calibri" w:hAnsi="Calibri" w:cs="Calibri"/>
        </w:rPr>
        <w:t xml:space="preserve"> 5: genome-scale protein function classification. </w:t>
      </w:r>
      <w:r w:rsidRPr="003E53AA">
        <w:rPr>
          <w:rFonts w:ascii="Calibri" w:hAnsi="Calibri" w:cs="Calibri"/>
          <w:i/>
          <w:iCs/>
        </w:rPr>
        <w:t>Bioinformatics</w:t>
      </w:r>
      <w:r w:rsidRPr="003E53AA">
        <w:rPr>
          <w:rFonts w:ascii="Calibri" w:hAnsi="Calibri" w:cs="Calibri"/>
        </w:rPr>
        <w:t xml:space="preserve"> </w:t>
      </w:r>
      <w:r w:rsidRPr="003E53AA">
        <w:rPr>
          <w:rFonts w:ascii="Calibri" w:hAnsi="Calibri" w:cs="Calibri"/>
          <w:b/>
          <w:bCs/>
        </w:rPr>
        <w:t>30</w:t>
      </w:r>
      <w:r w:rsidRPr="003E53AA">
        <w:rPr>
          <w:rFonts w:ascii="Calibri" w:hAnsi="Calibri" w:cs="Calibri"/>
        </w:rPr>
        <w:t>, 1236–1240 (2014).</w:t>
      </w:r>
    </w:p>
    <w:p w14:paraId="45FD8F71" w14:textId="77777777" w:rsidR="003E53AA" w:rsidRPr="003E53AA" w:rsidRDefault="003E53AA" w:rsidP="003E53AA">
      <w:pPr>
        <w:pStyle w:val="Bibliography"/>
        <w:rPr>
          <w:rFonts w:ascii="Calibri" w:hAnsi="Calibri" w:cs="Calibri"/>
        </w:rPr>
      </w:pPr>
      <w:r w:rsidRPr="003E53AA">
        <w:rPr>
          <w:rFonts w:ascii="Calibri" w:hAnsi="Calibri" w:cs="Calibri"/>
        </w:rPr>
        <w:t xml:space="preserve">7. </w:t>
      </w:r>
      <w:r w:rsidRPr="003E53AA">
        <w:rPr>
          <w:rFonts w:ascii="Calibri" w:hAnsi="Calibri" w:cs="Calibri"/>
        </w:rPr>
        <w:tab/>
        <w:t xml:space="preserve">C. E. Hughes, R. J. B. </w:t>
      </w:r>
      <w:proofErr w:type="spellStart"/>
      <w:r w:rsidRPr="003E53AA">
        <w:rPr>
          <w:rFonts w:ascii="Calibri" w:hAnsi="Calibri" w:cs="Calibri"/>
        </w:rPr>
        <w:t>Nibbs</w:t>
      </w:r>
      <w:proofErr w:type="spellEnd"/>
      <w:r w:rsidRPr="003E53AA">
        <w:rPr>
          <w:rFonts w:ascii="Calibri" w:hAnsi="Calibri" w:cs="Calibri"/>
        </w:rPr>
        <w:t xml:space="preserve">, A guide to chemokines and their receptors. </w:t>
      </w:r>
      <w:r w:rsidRPr="003E53AA">
        <w:rPr>
          <w:rFonts w:ascii="Calibri" w:hAnsi="Calibri" w:cs="Calibri"/>
          <w:i/>
          <w:iCs/>
        </w:rPr>
        <w:t>The FEBS Journal</w:t>
      </w:r>
      <w:r w:rsidRPr="003E53AA">
        <w:rPr>
          <w:rFonts w:ascii="Calibri" w:hAnsi="Calibri" w:cs="Calibri"/>
        </w:rPr>
        <w:t xml:space="preserve"> </w:t>
      </w:r>
      <w:r w:rsidRPr="003E53AA">
        <w:rPr>
          <w:rFonts w:ascii="Calibri" w:hAnsi="Calibri" w:cs="Calibri"/>
          <w:b/>
          <w:bCs/>
        </w:rPr>
        <w:t>285</w:t>
      </w:r>
      <w:r w:rsidRPr="003E53AA">
        <w:rPr>
          <w:rFonts w:ascii="Calibri" w:hAnsi="Calibri" w:cs="Calibri"/>
        </w:rPr>
        <w:t>, 2944–2971 (2018).</w:t>
      </w:r>
    </w:p>
    <w:p w14:paraId="2B74C9C1" w14:textId="77777777" w:rsidR="003E53AA" w:rsidRPr="003E53AA" w:rsidRDefault="003E53AA" w:rsidP="003E53AA">
      <w:pPr>
        <w:pStyle w:val="Bibliography"/>
        <w:rPr>
          <w:rFonts w:ascii="Calibri" w:hAnsi="Calibri" w:cs="Calibri"/>
        </w:rPr>
      </w:pPr>
      <w:r w:rsidRPr="003E53AA">
        <w:rPr>
          <w:rFonts w:ascii="Calibri" w:hAnsi="Calibri" w:cs="Calibri"/>
        </w:rPr>
        <w:t xml:space="preserve">8. </w:t>
      </w:r>
      <w:r w:rsidRPr="003E53AA">
        <w:rPr>
          <w:rFonts w:ascii="Calibri" w:hAnsi="Calibri" w:cs="Calibri"/>
        </w:rPr>
        <w:tab/>
        <w:t xml:space="preserve">S. F. </w:t>
      </w:r>
      <w:proofErr w:type="spellStart"/>
      <w:r w:rsidRPr="003E53AA">
        <w:rPr>
          <w:rFonts w:ascii="Calibri" w:hAnsi="Calibri" w:cs="Calibri"/>
        </w:rPr>
        <w:t>Altschul</w:t>
      </w:r>
      <w:proofErr w:type="spellEnd"/>
      <w:r w:rsidRPr="003E53AA">
        <w:rPr>
          <w:rFonts w:ascii="Calibri" w:hAnsi="Calibri" w:cs="Calibri"/>
        </w:rPr>
        <w:t xml:space="preserve">, </w:t>
      </w:r>
      <w:r w:rsidRPr="003E53AA">
        <w:rPr>
          <w:rFonts w:ascii="Calibri" w:hAnsi="Calibri" w:cs="Calibri"/>
          <w:i/>
          <w:iCs/>
        </w:rPr>
        <w:t>et al.</w:t>
      </w:r>
      <w:r w:rsidRPr="003E53AA">
        <w:rPr>
          <w:rFonts w:ascii="Calibri" w:hAnsi="Calibri" w:cs="Calibri"/>
        </w:rPr>
        <w:t xml:space="preserve">, Gapped BLAST and PSI-BLAST: a new generation of protein database search programs. </w:t>
      </w:r>
      <w:r w:rsidRPr="003E53AA">
        <w:rPr>
          <w:rFonts w:ascii="Calibri" w:hAnsi="Calibri" w:cs="Calibri"/>
          <w:i/>
          <w:iCs/>
        </w:rPr>
        <w:t>Nucleic Acids Research</w:t>
      </w:r>
      <w:r w:rsidRPr="003E53AA">
        <w:rPr>
          <w:rFonts w:ascii="Calibri" w:hAnsi="Calibri" w:cs="Calibri"/>
        </w:rPr>
        <w:t xml:space="preserve"> </w:t>
      </w:r>
      <w:r w:rsidRPr="003E53AA">
        <w:rPr>
          <w:rFonts w:ascii="Calibri" w:hAnsi="Calibri" w:cs="Calibri"/>
          <w:b/>
          <w:bCs/>
        </w:rPr>
        <w:t>25</w:t>
      </w:r>
      <w:r w:rsidRPr="003E53AA">
        <w:rPr>
          <w:rFonts w:ascii="Calibri" w:hAnsi="Calibri" w:cs="Calibri"/>
        </w:rPr>
        <w:t>, 3389–3402 (1997).</w:t>
      </w:r>
    </w:p>
    <w:p w14:paraId="741DDC34" w14:textId="5150FC90" w:rsidR="006C62F8" w:rsidRDefault="006C62F8">
      <w:r>
        <w:fldChar w:fldCharType="end"/>
      </w:r>
    </w:p>
    <w:sectPr w:rsidR="006C6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F8F"/>
    <w:rsid w:val="000A7FAC"/>
    <w:rsid w:val="00127F44"/>
    <w:rsid w:val="00140A67"/>
    <w:rsid w:val="00206C83"/>
    <w:rsid w:val="00233E99"/>
    <w:rsid w:val="002670FE"/>
    <w:rsid w:val="002B5293"/>
    <w:rsid w:val="003A1500"/>
    <w:rsid w:val="003B38A5"/>
    <w:rsid w:val="003E53AA"/>
    <w:rsid w:val="00461D01"/>
    <w:rsid w:val="00483F03"/>
    <w:rsid w:val="004B4979"/>
    <w:rsid w:val="00540662"/>
    <w:rsid w:val="00666A1A"/>
    <w:rsid w:val="006836A6"/>
    <w:rsid w:val="006C62F8"/>
    <w:rsid w:val="006D4D68"/>
    <w:rsid w:val="007C0E4E"/>
    <w:rsid w:val="00820361"/>
    <w:rsid w:val="00826875"/>
    <w:rsid w:val="0082D81B"/>
    <w:rsid w:val="00847FCC"/>
    <w:rsid w:val="008A522B"/>
    <w:rsid w:val="009A70F9"/>
    <w:rsid w:val="009C05DC"/>
    <w:rsid w:val="00BB7AA8"/>
    <w:rsid w:val="00C77F8F"/>
    <w:rsid w:val="00D00661"/>
    <w:rsid w:val="00D45CAE"/>
    <w:rsid w:val="00DA01E7"/>
    <w:rsid w:val="00ED02F1"/>
    <w:rsid w:val="00F04B5D"/>
    <w:rsid w:val="00F251B3"/>
    <w:rsid w:val="00F87284"/>
    <w:rsid w:val="00FB586D"/>
    <w:rsid w:val="00FE0C7E"/>
    <w:rsid w:val="00FF6B95"/>
    <w:rsid w:val="06D8F142"/>
    <w:rsid w:val="06E24960"/>
    <w:rsid w:val="0BC7870F"/>
    <w:rsid w:val="0C462166"/>
    <w:rsid w:val="0F3809DE"/>
    <w:rsid w:val="103642C1"/>
    <w:rsid w:val="169CD925"/>
    <w:rsid w:val="1F4C356A"/>
    <w:rsid w:val="1FF81922"/>
    <w:rsid w:val="230C6249"/>
    <w:rsid w:val="26012CC3"/>
    <w:rsid w:val="2B73E090"/>
    <w:rsid w:val="332A7399"/>
    <w:rsid w:val="3490AC91"/>
    <w:rsid w:val="363F4428"/>
    <w:rsid w:val="3662145B"/>
    <w:rsid w:val="3A8B7B85"/>
    <w:rsid w:val="3B898C35"/>
    <w:rsid w:val="3DCB71C6"/>
    <w:rsid w:val="3E23719A"/>
    <w:rsid w:val="4EDB27F2"/>
    <w:rsid w:val="50290A84"/>
    <w:rsid w:val="5530E8A9"/>
    <w:rsid w:val="5A3F1D93"/>
    <w:rsid w:val="5AD09246"/>
    <w:rsid w:val="5AF49DFE"/>
    <w:rsid w:val="618AB8FC"/>
    <w:rsid w:val="6E4A5010"/>
    <w:rsid w:val="70B8CD81"/>
    <w:rsid w:val="72B4E3FE"/>
    <w:rsid w:val="7F9934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48729"/>
  <w15:chartTrackingRefBased/>
  <w15:docId w15:val="{ABC3F1E9-42DC-4E6A-9E16-5B8B229B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500"/>
    <w:rPr>
      <w:color w:val="0563C1" w:themeColor="hyperlink"/>
      <w:u w:val="single"/>
    </w:rPr>
  </w:style>
  <w:style w:type="character" w:styleId="UnresolvedMention">
    <w:name w:val="Unresolved Mention"/>
    <w:basedOn w:val="DefaultParagraphFont"/>
    <w:uiPriority w:val="99"/>
    <w:semiHidden/>
    <w:unhideWhenUsed/>
    <w:rsid w:val="003A1500"/>
    <w:rPr>
      <w:color w:val="605E5C"/>
      <w:shd w:val="clear" w:color="auto" w:fill="E1DFDD"/>
    </w:rPr>
  </w:style>
  <w:style w:type="paragraph" w:styleId="Bibliography">
    <w:name w:val="Bibliography"/>
    <w:basedOn w:val="Normal"/>
    <w:next w:val="Normal"/>
    <w:uiPriority w:val="37"/>
    <w:unhideWhenUsed/>
    <w:rsid w:val="006C62F8"/>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rvices.healthtech.dtu.dk/service.php?SignalP-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3198</Words>
  <Characters>18231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21387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6</cp:revision>
  <dcterms:created xsi:type="dcterms:W3CDTF">2023-05-11T09:50:00Z</dcterms:created>
  <dcterms:modified xsi:type="dcterms:W3CDTF">2023-05-11T10:57:00Z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id="Arz6zgAr"/&gt;&lt;style id="http://www.zotero.org/styles/pnas" hasBibliography="1" bibliographyStyleHasBeenSet="1"/&gt;&lt;prefs&gt;&lt;pref name="fieldType" value="Field"/&gt;&lt;/prefs&gt;&lt;/data&gt;</vt:lpwstr>
  </property>
</Properties>
</file>