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8BBE" w14:textId="038646B6" w:rsidR="009A70F9" w:rsidRPr="00FE0C7E" w:rsidRDefault="00C77F8F">
      <w:pPr>
        <w:rPr>
          <w:sz w:val="28"/>
          <w:szCs w:val="28"/>
        </w:rPr>
      </w:pPr>
      <w:r w:rsidRPr="00FE0C7E">
        <w:rPr>
          <w:sz w:val="28"/>
          <w:szCs w:val="28"/>
        </w:rPr>
        <w:t xml:space="preserve">Supplementary </w:t>
      </w:r>
      <w:r w:rsidR="00BB7AA8">
        <w:rPr>
          <w:sz w:val="28"/>
          <w:szCs w:val="28"/>
        </w:rPr>
        <w:t>Results</w:t>
      </w:r>
    </w:p>
    <w:p w14:paraId="3311A117" w14:textId="465DC4EC" w:rsidR="00233E99" w:rsidRDefault="00233E99"/>
    <w:p w14:paraId="16587C36" w14:textId="66F299F8" w:rsidR="00233E99" w:rsidRPr="00FE0C7E" w:rsidRDefault="00233E99">
      <w:pPr>
        <w:rPr>
          <w:b/>
          <w:bCs/>
        </w:rPr>
      </w:pPr>
      <w:r w:rsidRPr="00FE0C7E">
        <w:rPr>
          <w:b/>
          <w:bCs/>
        </w:rPr>
        <w:t>Exploration of candidate invertebrate homologs to canonical chemokines and related molecules</w:t>
      </w:r>
    </w:p>
    <w:p w14:paraId="0409A261" w14:textId="23245997" w:rsidR="00233E99" w:rsidRDefault="00233E99">
      <w:r>
        <w:t>To explore the possibility of finding canonical chemokines and/or related molecules (TAFA and CYTL)</w:t>
      </w:r>
      <w:r w:rsidR="00140A67">
        <w:t xml:space="preserve"> outside of vertebrates</w:t>
      </w:r>
      <w:r>
        <w:t xml:space="preserve">, we </w:t>
      </w:r>
      <w:r w:rsidR="00140A67">
        <w:t>used</w:t>
      </w:r>
      <w:r>
        <w:t xml:space="preserve"> BLASTP </w:t>
      </w:r>
      <w:r w:rsidR="00FE0C7E">
        <w:t xml:space="preserve">with </w:t>
      </w:r>
      <w:r>
        <w:t>a loose e-value threshold of 0.1</w:t>
      </w:r>
      <w:r w:rsidR="00140A67">
        <w:t xml:space="preserve"> to search 39 invertebrate proteomes</w:t>
      </w:r>
      <w:r w:rsidR="00826875">
        <w:t xml:space="preserve"> (see Table S2)</w:t>
      </w:r>
      <w:r>
        <w:t>.</w:t>
      </w:r>
      <w:r w:rsidR="00FE0C7E">
        <w:t xml:space="preserve"> 18 candidate sequences were collected and explored further. </w:t>
      </w:r>
    </w:p>
    <w:p w14:paraId="4429D731" w14:textId="327AFCD0" w:rsidR="00FE0C7E" w:rsidRDefault="00FE0C7E">
      <w:r>
        <w:t>From the clustering analysis in CLANS (Figure 1A</w:t>
      </w:r>
      <w:r w:rsidR="5AF49DFE">
        <w:t xml:space="preserve">, </w:t>
      </w:r>
      <w:r>
        <w:t>Figure</w:t>
      </w:r>
      <w:r w:rsidR="3DCB71C6">
        <w:t xml:space="preserve"> S1</w:t>
      </w:r>
      <w:r w:rsidR="3E23719A">
        <w:t xml:space="preserve"> and File S1</w:t>
      </w:r>
      <w:r>
        <w:t xml:space="preserve">), it became </w:t>
      </w:r>
      <w:r w:rsidR="00140A67">
        <w:t>apparent</w:t>
      </w:r>
      <w:r>
        <w:t xml:space="preserve"> that 4 sequences were candidate TAFAs, while the remaining 14 sequences connected</w:t>
      </w:r>
      <w:r w:rsidR="00140A67">
        <w:t xml:space="preserve"> </w:t>
      </w:r>
      <w:r>
        <w:t xml:space="preserve">loosely to the canonical chemokines. We then performed BLASTP </w:t>
      </w:r>
      <w:r w:rsidR="006C62F8">
        <w:fldChar w:fldCharType="begin"/>
      </w:r>
      <w:r w:rsidR="006C62F8">
        <w:instrText xml:space="preserve"> ADDIN ZOTERO_ITEM CSL_CITATION {"citationID":"YX4yuxwx","properties":{"formattedCitation":"(1, 2)","plainCitation":"(1, 2)","noteIndex":0},"citationItems":[{"id":1115,"uris":["http://zotero.org/users/8176000/items/NCGHSHJJ"],"itemData":{"id":1115,"type":"article-journal","abstract":"A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6C62F8">
        <w:fldChar w:fldCharType="separate"/>
      </w:r>
      <w:r w:rsidR="006C62F8" w:rsidRPr="006C62F8">
        <w:rPr>
          <w:rFonts w:ascii="Calibri" w:hAnsi="Calibri" w:cs="Calibri"/>
        </w:rPr>
        <w:t>(1, 2)</w:t>
      </w:r>
      <w:r w:rsidR="006C62F8">
        <w:fldChar w:fldCharType="end"/>
      </w:r>
      <w:r w:rsidR="00826875">
        <w:t xml:space="preserve"> </w:t>
      </w:r>
      <w:r>
        <w:t xml:space="preserve">versus the curated SwissProt dataset </w:t>
      </w:r>
      <w:r w:rsidR="006C62F8">
        <w:fldChar w:fldCharType="begin"/>
      </w:r>
      <w:r w:rsidR="006C62F8">
        <w:instrText xml:space="preserve"> ADDIN ZOTERO_ITEM CSL_CITATION {"citationID":"v1fsyWCy","properties":{"formattedCitation":"(3, 4)","plainCitation":"(3, 4)","noteIndex":0},"citationItems":[{"id":1111,"uris":["http://zotero.org/users/8176000/items/S6M2V8TM"],"itemData":{"id":1111,"type":"chapter","abstract":"The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437,"uris":["http://zotero.org/users/8176000/items/DMA5KC6L"],"itemData":{"id":437,"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6C62F8">
        <w:fldChar w:fldCharType="separate"/>
      </w:r>
      <w:r w:rsidR="006C62F8" w:rsidRPr="006C62F8">
        <w:rPr>
          <w:rFonts w:ascii="Calibri" w:hAnsi="Calibri" w:cs="Calibri"/>
        </w:rPr>
        <w:t>(3, 4)</w:t>
      </w:r>
      <w:r w:rsidR="006C62F8">
        <w:fldChar w:fldCharType="end"/>
      </w:r>
      <w:r>
        <w:t xml:space="preserve"> and collected the first 5 hits. Furthermore, we used InterProScan </w:t>
      </w:r>
      <w:r w:rsidR="006C62F8">
        <w:fldChar w:fldCharType="begin"/>
      </w:r>
      <w:r w:rsidR="006C62F8">
        <w:instrText xml:space="preserve"> ADDIN ZOTERO_ITEM CSL_CITATION {"citationID":"KRXToe55","properties":{"formattedCitation":"(5, 6)","plainCitation":"(5, 6)","noteIndex":0},"citationItems":[{"id":1110,"uris":["http://zotero.org/users/8176000/items/U6XBP3R7"],"itemData":{"id":1110,"type":"article-journal","abstract":"Summary: InterProScan is a tool that scans given protein\nsequences against the protein signatures of the InterPro member\ndatabases, currently – PROSITE, PRINTS, Pfam, ProDom and SMART.\nThe number of signature databases and their associated scanning tools as well as the further refinement procedures make the problem\ncomplex. InterProScan is designed to be a scalable and extensible\nsystem with a robust internal architecture.Availability: The Perl-based InterProScan implementation is\navailable from the EBI ftp server (ftp://ftp.ebi.ac.uk/pub/software/unix/iprscan/)\nand the SRS-basedInterProScan is available upon request. We provide\nthe public web interface (http://www.ebi.ac.uk/interpro/scan.html)\nas well as email submission server (interproscan@ebi.ac.uk).Contact: Evgueni.Zdobnov@EBI.ac.uk*To whom correspondence should be\naddressed.","container-title":"Bioinformatics","DOI":"10.1093/bioinformatics/17.9.847","ISSN":"1367-4803","issue":"9","journalAbbreviation":"Bioinformatics","page":"847-848","source":"Silverchair","title":"InterProScan – an integration platform for the signature-recognition methods in InterPro","volume":"17","author":[{"family":"Zdobnov","given":"Evgeni M."},{"family":"Apweiler","given":"Rolf"}],"issued":{"date-parts":[["2001",9,1]]}}},{"id":441,"uris":["http://zotero.org/users/8176000/items/BLNEN5WD"],"itemData":{"id":441,"type":"article-journal","abstract":"Motivation: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6C62F8">
        <w:fldChar w:fldCharType="separate"/>
      </w:r>
      <w:r w:rsidR="006C62F8" w:rsidRPr="006C62F8">
        <w:rPr>
          <w:rFonts w:ascii="Calibri" w:hAnsi="Calibri" w:cs="Calibri"/>
        </w:rPr>
        <w:t>(5, 6)</w:t>
      </w:r>
      <w:r w:rsidR="006C62F8">
        <w:fldChar w:fldCharType="end"/>
      </w:r>
      <w:r>
        <w:t xml:space="preserve"> to identify protein signatures. See </w:t>
      </w:r>
      <w:r w:rsidR="230C6249">
        <w:t>S</w:t>
      </w:r>
      <w:r>
        <w:t xml:space="preserve">upplementary </w:t>
      </w:r>
      <w:r w:rsidR="618AB8FC">
        <w:t>F</w:t>
      </w:r>
      <w:r>
        <w:t xml:space="preserve">ile </w:t>
      </w:r>
      <w:r w:rsidR="1F4C356A">
        <w:t>S3</w:t>
      </w:r>
      <w:r>
        <w:t xml:space="preserve"> for a summary of all these results for all sequences. </w:t>
      </w:r>
    </w:p>
    <w:p w14:paraId="233F31C0" w14:textId="65AA461C" w:rsidR="00233E99" w:rsidRDefault="00140A67">
      <w:r>
        <w:t>Regarding the canonical chemokines, only 3 sequences received annotations related to chemokines from the BLASTP versus SwissProt. These were: one brachiopod sequence (</w:t>
      </w:r>
      <w:r w:rsidRPr="7F9934B6">
        <w:rPr>
          <w:i/>
          <w:iCs/>
        </w:rPr>
        <w:t>Lingula unguis</w:t>
      </w:r>
      <w:r>
        <w:t>) as candidate CCL24, one cnidarian (</w:t>
      </w:r>
      <w:r w:rsidR="00127F44" w:rsidRPr="7F9934B6">
        <w:rPr>
          <w:i/>
          <w:iCs/>
        </w:rPr>
        <w:t>Clytia hemisphaerica</w:t>
      </w:r>
      <w:r>
        <w:t>) sequence as candidate CCL3, and one echinoderm (</w:t>
      </w:r>
      <w:r w:rsidR="00127F44" w:rsidRPr="7F9934B6">
        <w:rPr>
          <w:i/>
          <w:iCs/>
        </w:rPr>
        <w:t>Acanthaster planci</w:t>
      </w:r>
      <w:r>
        <w:t>) sequence as candidate CXCL10. Although none of these sequences were categorised as chemokines with InterProScan, we anyway decided to look at them further.</w:t>
      </w:r>
      <w:r w:rsidR="00461D01">
        <w:t xml:space="preserve"> Firstly, we noted how all three sequences were significantly longer than their counterparts in vertebrates. Secondly, none of the three sequences possessed a signal peptide, as calculated with SignalP 6.0 online tool (</w:t>
      </w:r>
      <w:hyperlink r:id="rId4">
        <w:r w:rsidR="003A1500" w:rsidRPr="7F9934B6">
          <w:rPr>
            <w:rStyle w:val="Hyperlink"/>
          </w:rPr>
          <w:t>https://services.healthtech.dtu.dk/service.php?SignalP-6.0</w:t>
        </w:r>
      </w:hyperlink>
      <w:r w:rsidR="00461D01">
        <w:t xml:space="preserve">), which is expected from secreted proteins such as chemokines </w:t>
      </w:r>
      <w:r w:rsidR="003E53AA">
        <w:fldChar w:fldCharType="begin"/>
      </w:r>
      <w:r w:rsidR="003E53AA">
        <w:instrText xml:space="preserve"> ADDIN ZOTERO_ITEM CSL_CITATION {"citationID":"AvtobS72","properties":{"formattedCitation":"(7)","plainCitation":"(7)","noteIndex":0},"citationItems":[{"id":15,"uris":["http://zotero.org/users/8176000/items/VV2HZEDK"],"itemData":{"id":15,"type":"article-journal","abstract":"The chemokines (or chemotactic cytokines) are a large family of small, secreted proteins that signal through cell surface G protein-coupled heptahelical chemokine receptors. They are best known for their ability to stimulate the migration of cells, most notably white blood cells (leukocytes). Consequently, chemokines play a central role in the development and homeostasis of the immune system, and are involved in all protective or destructive immune and inflammatory responses. Classically viewed as inducers of directed chemotactic migration, it is now clear that chemokines can stimulate a variety of other types of directed and undirected migratory behavior, such as haptotaxis, chemokinesis, and haptokinesis, in addition to inducing cell arrest or adhesion. However, chemokine receptors on leukocytes can do more than just direct migration, and these molecules can also be expressed on, and regulate the biology of, many nonleukocytic cell types. Chemokines are profoundly affected by post-translational modification, by interaction with the extracellular matrix (ECM), and by binding to heptahelical ‘atypical’ chemokine receptors that regulate chemokine localization and abundance. This guide gives a broad overview of the chemokine and chemokine receptor families; summarizes the complex physical interactions that occur in the chemokine network; and, using specific examples, discusses general principles of chemokine function, focusing particularly on their ability to direct leukocyte migration.","container-title":"The FEBS Journal","DOI":"10.1111/febs.14466","ISSN":"1742-464X","issue":"16","page":"2944-2971","title":"A guide to chemokines and their receptors","volume":"285","author":[{"family":"Hughes","given":"Catherine E."},{"family":"Nibbs","given":"Robert J. B."}],"issued":{"date-parts":[["2018"]]}}}],"schema":"https://github.com/citation-style-language/schema/raw/master/csl-citation.json"} </w:instrText>
      </w:r>
      <w:r w:rsidR="003E53AA">
        <w:fldChar w:fldCharType="separate"/>
      </w:r>
      <w:r w:rsidR="003E53AA" w:rsidRPr="003E53AA">
        <w:rPr>
          <w:rFonts w:ascii="Calibri" w:hAnsi="Calibri" w:cs="Calibri"/>
        </w:rPr>
        <w:t>(7)</w:t>
      </w:r>
      <w:r w:rsidR="003E53AA">
        <w:fldChar w:fldCharType="end"/>
      </w:r>
      <w:r w:rsidR="00461D01">
        <w:t>. Finally, we anyway tried to align the sequences (MAFFT –auto) with their respective candidate relatives and found poor conservation</w:t>
      </w:r>
      <w:r w:rsidR="003A1500">
        <w:t xml:space="preserve"> (Figures S</w:t>
      </w:r>
      <w:r w:rsidR="00AD3088">
        <w:t>1</w:t>
      </w:r>
      <w:r w:rsidR="103642C1">
        <w:t>3-</w:t>
      </w:r>
      <w:r w:rsidR="00AD3088">
        <w:t>1</w:t>
      </w:r>
      <w:r w:rsidR="103642C1">
        <w:t>5</w:t>
      </w:r>
      <w:r w:rsidR="003A1500">
        <w:t>)</w:t>
      </w:r>
      <w:r w:rsidR="00461D01">
        <w:t>. The lack of evidence for being true chemokine</w:t>
      </w:r>
      <w:r w:rsidR="003A1500">
        <w:t>s</w:t>
      </w:r>
      <w:r w:rsidR="00461D01">
        <w:t>, led us to discard all invertebrate candidates for further analyses on canonical chemokines.</w:t>
      </w:r>
    </w:p>
    <w:p w14:paraId="5C568DEF" w14:textId="2D478006" w:rsidR="00461D01" w:rsidRDefault="00820361">
      <w:r>
        <w:t xml:space="preserve">The 4 candidate invertebrate TAFA sequences all belong to the urochordate </w:t>
      </w:r>
      <w:r w:rsidRPr="7F9934B6">
        <w:rPr>
          <w:i/>
          <w:iCs/>
        </w:rPr>
        <w:t>Ciona intestinalis</w:t>
      </w:r>
      <w:r>
        <w:t xml:space="preserve">. </w:t>
      </w:r>
      <w:r w:rsidR="002670FE">
        <w:t xml:space="preserve">One sequence was annotated as TAFA by both SwissProt and InterProScan, while the other three appear to be prolyl hydroxylases (see </w:t>
      </w:r>
      <w:r w:rsidR="4EDB27F2">
        <w:t>S</w:t>
      </w:r>
      <w:r w:rsidR="002670FE">
        <w:t xml:space="preserve">upplementary </w:t>
      </w:r>
      <w:r w:rsidR="5A3F1D93">
        <w:t>F</w:t>
      </w:r>
      <w:r w:rsidR="002670FE">
        <w:t xml:space="preserve">ile </w:t>
      </w:r>
      <w:r w:rsidR="169CD925">
        <w:t>S3</w:t>
      </w:r>
      <w:r w:rsidR="002670FE">
        <w:t xml:space="preserve">). We anyway studied all four sequences further and found that the only one to possess a signal peptide is the sequence that </w:t>
      </w:r>
      <w:r w:rsidR="004B4979">
        <w:t>received</w:t>
      </w:r>
      <w:r w:rsidR="002670FE">
        <w:t xml:space="preserve"> TAFA</w:t>
      </w:r>
      <w:r w:rsidR="004B4979">
        <w:t xml:space="preserve"> annotation. Moreover,</w:t>
      </w:r>
      <w:r w:rsidR="002670FE">
        <w:t xml:space="preserve"> the other three sequences appear to be too long </w:t>
      </w:r>
      <w:r w:rsidR="00540662">
        <w:t>and poorly aligned with</w:t>
      </w:r>
      <w:r w:rsidR="002670FE">
        <w:t xml:space="preserve"> vertebrate TAFAs</w:t>
      </w:r>
      <w:r w:rsidR="00540662">
        <w:t xml:space="preserve"> (Figure S</w:t>
      </w:r>
      <w:r w:rsidR="00AD3088">
        <w:t>17</w:t>
      </w:r>
      <w:r w:rsidR="00540662">
        <w:t>)</w:t>
      </w:r>
      <w:r w:rsidR="002670FE">
        <w:t xml:space="preserve">. </w:t>
      </w:r>
      <w:r w:rsidR="00540662">
        <w:t>The TAFA annotated sequence was of correct length and showed sequence conservation in the alignments</w:t>
      </w:r>
      <w:r w:rsidR="72B4E3FE">
        <w:t xml:space="preserve"> (Figures S</w:t>
      </w:r>
      <w:r w:rsidR="00AD3088">
        <w:t>17</w:t>
      </w:r>
      <w:r w:rsidR="72B4E3FE">
        <w:t>-S</w:t>
      </w:r>
      <w:r w:rsidR="00AD3088">
        <w:t>18</w:t>
      </w:r>
      <w:r w:rsidR="72B4E3FE">
        <w:t>)</w:t>
      </w:r>
      <w:r w:rsidR="00540662">
        <w:t xml:space="preserve">. </w:t>
      </w:r>
      <w:r w:rsidR="004B4979">
        <w:t>Interestingly, it possesses 8 of the 10 typical cysteine residues of TAFA1-4 and the two missing cysteines are the same ones missing in TAFA5.</w:t>
      </w:r>
      <w:r w:rsidR="00540662">
        <w:t xml:space="preserve"> Considering that TAFA5 is sister group to TAFA1-4 and that the urochordate sequence places itself as orthologous to all TAFAs (see main text Results) it is reasonable to conclude that the ancestral TAFAs possessed 8 cysteine residues and that the additional cysteines are a novelty of the TAFA1-4 lineage. </w:t>
      </w:r>
    </w:p>
    <w:p w14:paraId="7E367BB3" w14:textId="4E24D2CD" w:rsidR="00461D01" w:rsidRDefault="006836A6">
      <w:r>
        <w:t>Taken together these results show that while canonical chemokines are indeed a vertebrate innovation, TAFA “chemokines” likely originated in the ancestor of vertebrates and urochordates.</w:t>
      </w:r>
    </w:p>
    <w:p w14:paraId="2176FE42" w14:textId="77777777" w:rsidR="004B4979" w:rsidRDefault="004B4979"/>
    <w:p w14:paraId="439C891A" w14:textId="0A51BE22" w:rsidR="00233E99" w:rsidRPr="00461D01" w:rsidRDefault="00D00661">
      <w:pPr>
        <w:rPr>
          <w:b/>
          <w:bCs/>
        </w:rPr>
      </w:pPr>
      <w:r>
        <w:rPr>
          <w:b/>
          <w:bCs/>
        </w:rPr>
        <w:t>Exclusion of some sequences from</w:t>
      </w:r>
      <w:r w:rsidR="00FB586D">
        <w:rPr>
          <w:b/>
          <w:bCs/>
        </w:rPr>
        <w:t xml:space="preserve"> the CKLFSF dataset</w:t>
      </w:r>
    </w:p>
    <w:p w14:paraId="45E54798" w14:textId="4F4761CD" w:rsidR="00233E99" w:rsidRDefault="002B5293">
      <w:r>
        <w:t>The data mining through BLASTP</w:t>
      </w:r>
      <w:r w:rsidR="009C05DC">
        <w:t xml:space="preserve"> </w:t>
      </w:r>
      <w:r>
        <w:t xml:space="preserve">and PSI-BLAST </w:t>
      </w:r>
      <w:r w:rsidR="003B38A5">
        <w:fldChar w:fldCharType="begin"/>
      </w:r>
      <w:r w:rsidR="003E53AA">
        <w:instrText xml:space="preserve"> ADDIN ZOTERO_ITEM CSL_CITATION {"citationID":"Nirnw42e","properties":{"formattedCitation":"(8)","plainCitation":"(8)","noteIndex":0},"citationItems":[{"id":1114,"uris":["http://zotero.org/users/8176000/items/NBVZJZSF"],"itemData":{"id":1114,"type":"article-journal","abstract":"The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J."}],"issued":{"date-parts":[["1997",9,1]]}}}],"schema":"https://github.com/citation-style-language/schema/raw/master/csl-citation.json"} </w:instrText>
      </w:r>
      <w:r w:rsidR="003B38A5">
        <w:fldChar w:fldCharType="separate"/>
      </w:r>
      <w:r w:rsidR="003E53AA" w:rsidRPr="003E53AA">
        <w:rPr>
          <w:rFonts w:ascii="Calibri" w:hAnsi="Calibri" w:cs="Calibri"/>
        </w:rPr>
        <w:t>(8)</w:t>
      </w:r>
      <w:r w:rsidR="003B38A5">
        <w:fldChar w:fldCharType="end"/>
      </w:r>
      <w:r w:rsidR="009C05DC">
        <w:t xml:space="preserve"> </w:t>
      </w:r>
      <w:r>
        <w:t>provided numerous candidate CKLFSF homologs both in vertebrates and in invertebrates and these were all included in a clustering analysis with CLANS (Figure 1</w:t>
      </w:r>
      <w:r w:rsidR="009C05DC">
        <w:t>C</w:t>
      </w:r>
      <w:r>
        <w:t xml:space="preserve"> and Figure</w:t>
      </w:r>
      <w:r w:rsidR="3490AC91">
        <w:t xml:space="preserve"> S2</w:t>
      </w:r>
      <w:r>
        <w:t>).</w:t>
      </w:r>
      <w:r w:rsidR="00ED02F1">
        <w:t xml:space="preserve"> Two main clusters emerged </w:t>
      </w:r>
      <w:r w:rsidR="00DA01E7">
        <w:t>and</w:t>
      </w:r>
      <w:r w:rsidR="00ED02F1">
        <w:t xml:space="preserve"> we called</w:t>
      </w:r>
      <w:r w:rsidR="00DA01E7">
        <w:t xml:space="preserve"> them</w:t>
      </w:r>
      <w:r w:rsidR="00ED02F1">
        <w:t xml:space="preserve"> “CKLF I” and “CKLF </w:t>
      </w:r>
      <w:r w:rsidR="00ED02F1">
        <w:lastRenderedPageBreak/>
        <w:t>II”. While CKLF I was vertebrate specific, the CKLF II included multiple invertebrate sequences.</w:t>
      </w:r>
      <w:r w:rsidR="00DA01E7">
        <w:t xml:space="preserve"> </w:t>
      </w:r>
      <w:r w:rsidR="007C0E4E">
        <w:t xml:space="preserve">While the </w:t>
      </w:r>
      <w:r w:rsidR="00DA01E7">
        <w:t xml:space="preserve">two main clusters </w:t>
      </w:r>
      <w:r w:rsidR="006D4D68">
        <w:t>are</w:t>
      </w:r>
      <w:r w:rsidR="00DA01E7">
        <w:t xml:space="preserve"> well</w:t>
      </w:r>
      <w:r w:rsidR="00F87284">
        <w:t>-</w:t>
      </w:r>
      <w:r w:rsidR="00DA01E7">
        <w:t xml:space="preserve">defined </w:t>
      </w:r>
      <w:r w:rsidR="007C0E4E">
        <w:t>already at</w:t>
      </w:r>
      <w:r w:rsidR="006D4D68">
        <w:t xml:space="preserve"> p-values of ~1E-20</w:t>
      </w:r>
      <w:r w:rsidR="007C0E4E">
        <w:t xml:space="preserve"> </w:t>
      </w:r>
      <w:r w:rsidR="00DA01E7">
        <w:t>(Figure S</w:t>
      </w:r>
      <w:r w:rsidR="1FF81922">
        <w:t>2 and File S2</w:t>
      </w:r>
      <w:r w:rsidR="00DA01E7">
        <w:t>)</w:t>
      </w:r>
      <w:r w:rsidR="007C0E4E">
        <w:t xml:space="preserve">, they only connect to each other </w:t>
      </w:r>
      <w:r w:rsidR="00DA01E7">
        <w:t xml:space="preserve">at 1E-15. At this p-value, 4 additional sequences connected loosely to the CKLF II cluster. </w:t>
      </w:r>
      <w:r w:rsidR="007C0E4E">
        <w:t xml:space="preserve">These were 3 echinoderm sequences (all from </w:t>
      </w:r>
      <w:r w:rsidR="007C0E4E" w:rsidRPr="7F9934B6">
        <w:rPr>
          <w:i/>
          <w:iCs/>
        </w:rPr>
        <w:t>Stichopus japonicus</w:t>
      </w:r>
      <w:r w:rsidR="007C0E4E">
        <w:t xml:space="preserve">) and one sequence from the placozoan </w:t>
      </w:r>
      <w:r w:rsidR="007C0E4E" w:rsidRPr="7F9934B6">
        <w:rPr>
          <w:i/>
          <w:iCs/>
        </w:rPr>
        <w:t>Trichoplax adhaerens</w:t>
      </w:r>
      <w:r w:rsidR="007C0E4E">
        <w:t xml:space="preserve">. </w:t>
      </w:r>
      <w:r w:rsidR="00666A1A">
        <w:t xml:space="preserve">The latter is the only non-bilaterian sequence collected from the original BLASTs. </w:t>
      </w:r>
      <w:r w:rsidR="00D00661">
        <w:t xml:space="preserve">These sequences not only joined the CKLFSF cluster at the limit threshold, but also connected only to sequences that were already marginal, therefore being only indirectly connected to the core </w:t>
      </w:r>
      <w:r w:rsidR="00F251B3">
        <w:t>of the cluster</w:t>
      </w:r>
      <w:r w:rsidR="00D00661">
        <w:t xml:space="preserve">. Like above, we examined the sequences with a BLAST versus SwissProt and with InterProScan (see </w:t>
      </w:r>
      <w:r w:rsidR="0BC7870F">
        <w:t>S</w:t>
      </w:r>
      <w:r w:rsidR="00D00661">
        <w:t xml:space="preserve">upplementary </w:t>
      </w:r>
      <w:r w:rsidR="50290A84">
        <w:t>F</w:t>
      </w:r>
      <w:r w:rsidR="00D00661">
        <w:t xml:space="preserve">ile </w:t>
      </w:r>
      <w:r w:rsidR="06E24960">
        <w:t>S3</w:t>
      </w:r>
      <w:r w:rsidR="00D00661">
        <w:t xml:space="preserve">). </w:t>
      </w:r>
      <w:r w:rsidR="00FF6B95">
        <w:t xml:space="preserve">The evidence in favour of keeping these sequences was scant (see details in </w:t>
      </w:r>
      <w:r w:rsidR="0C462166">
        <w:t>S</w:t>
      </w:r>
      <w:r w:rsidR="00FF6B95">
        <w:t xml:space="preserve">upplementary </w:t>
      </w:r>
      <w:r w:rsidR="363F4428">
        <w:t>F</w:t>
      </w:r>
      <w:r w:rsidR="00FF6B95">
        <w:t xml:space="preserve">ile </w:t>
      </w:r>
      <w:r w:rsidR="2B73E090">
        <w:t>S3</w:t>
      </w:r>
      <w:r w:rsidR="00FF6B95">
        <w:t xml:space="preserve">), and we decided to exclude them from downstream phylogenetic analyses. The CKLFSF </w:t>
      </w:r>
      <w:r w:rsidR="00847FCC">
        <w:t xml:space="preserve">dataset </w:t>
      </w:r>
      <w:r w:rsidR="00FF6B95">
        <w:t xml:space="preserve">therefore did not include any non-bilaterian sequences, although multiple bilaterian invertebrate phyla were represented.  </w:t>
      </w:r>
      <w:r w:rsidR="00847FCC">
        <w:t xml:space="preserve"> </w:t>
      </w:r>
    </w:p>
    <w:p w14:paraId="7ADA796D" w14:textId="2A713872" w:rsidR="006C62F8" w:rsidRDefault="006C62F8"/>
    <w:p w14:paraId="548F2BFA" w14:textId="390AF320" w:rsidR="006C62F8" w:rsidRPr="006C62F8" w:rsidRDefault="006C62F8">
      <w:pPr>
        <w:rPr>
          <w:b/>
          <w:bCs/>
        </w:rPr>
      </w:pPr>
      <w:r w:rsidRPr="006C62F8">
        <w:rPr>
          <w:b/>
          <w:bCs/>
        </w:rPr>
        <w:t>References</w:t>
      </w:r>
    </w:p>
    <w:p w14:paraId="420B2434" w14:textId="77777777" w:rsidR="003E53AA" w:rsidRPr="003E53AA" w:rsidRDefault="006C62F8" w:rsidP="003E53AA">
      <w:pPr>
        <w:pStyle w:val="Bibliography"/>
        <w:rPr>
          <w:rFonts w:ascii="Calibri" w:hAnsi="Calibri" w:cs="Calibri"/>
        </w:rPr>
      </w:pPr>
      <w:r>
        <w:fldChar w:fldCharType="begin"/>
      </w:r>
      <w:r>
        <w:instrText xml:space="preserve"> ADDIN ZOTERO_BIBL {"uncited":[],"omitted":[],"custom":[]} CSL_BIBLIOGRAPHY </w:instrText>
      </w:r>
      <w:r>
        <w:fldChar w:fldCharType="separate"/>
      </w:r>
      <w:r w:rsidR="003E53AA" w:rsidRPr="003E53AA">
        <w:rPr>
          <w:rFonts w:ascii="Calibri" w:hAnsi="Calibri" w:cs="Calibri"/>
        </w:rPr>
        <w:t xml:space="preserve">1. </w:t>
      </w:r>
      <w:r w:rsidR="003E53AA" w:rsidRPr="003E53AA">
        <w:rPr>
          <w:rFonts w:ascii="Calibri" w:hAnsi="Calibri" w:cs="Calibri"/>
        </w:rPr>
        <w:tab/>
        <w:t xml:space="preserve">S. F. Altschul, W. Gish, W. Miller, E. W. Myers, D. J. Lipman, Basic local alignment search tool. </w:t>
      </w:r>
      <w:r w:rsidR="003E53AA" w:rsidRPr="003E53AA">
        <w:rPr>
          <w:rFonts w:ascii="Calibri" w:hAnsi="Calibri" w:cs="Calibri"/>
          <w:i/>
          <w:iCs/>
        </w:rPr>
        <w:t>Journal of Molecular Biology</w:t>
      </w:r>
      <w:r w:rsidR="003E53AA" w:rsidRPr="003E53AA">
        <w:rPr>
          <w:rFonts w:ascii="Calibri" w:hAnsi="Calibri" w:cs="Calibri"/>
        </w:rPr>
        <w:t xml:space="preserve"> </w:t>
      </w:r>
      <w:r w:rsidR="003E53AA" w:rsidRPr="003E53AA">
        <w:rPr>
          <w:rFonts w:ascii="Calibri" w:hAnsi="Calibri" w:cs="Calibri"/>
          <w:b/>
          <w:bCs/>
        </w:rPr>
        <w:t>215</w:t>
      </w:r>
      <w:r w:rsidR="003E53AA" w:rsidRPr="003E53AA">
        <w:rPr>
          <w:rFonts w:ascii="Calibri" w:hAnsi="Calibri" w:cs="Calibri"/>
        </w:rPr>
        <w:t>, 403–410 (1990).</w:t>
      </w:r>
    </w:p>
    <w:p w14:paraId="4078B462" w14:textId="77777777" w:rsidR="003E53AA" w:rsidRPr="003E53AA" w:rsidRDefault="003E53AA" w:rsidP="003E53AA">
      <w:pPr>
        <w:pStyle w:val="Bibliography"/>
        <w:rPr>
          <w:rFonts w:ascii="Calibri" w:hAnsi="Calibri" w:cs="Calibri"/>
        </w:rPr>
      </w:pPr>
      <w:r w:rsidRPr="003E53AA">
        <w:rPr>
          <w:rFonts w:ascii="Calibri" w:hAnsi="Calibri" w:cs="Calibri"/>
        </w:rPr>
        <w:t xml:space="preserve">2. </w:t>
      </w:r>
      <w:r w:rsidRPr="003E53AA">
        <w:rPr>
          <w:rFonts w:ascii="Calibri" w:hAnsi="Calibri" w:cs="Calibri"/>
        </w:rPr>
        <w:tab/>
        <w:t xml:space="preserve">C. Camacho, </w:t>
      </w:r>
      <w:r w:rsidRPr="003E53AA">
        <w:rPr>
          <w:rFonts w:ascii="Calibri" w:hAnsi="Calibri" w:cs="Calibri"/>
          <w:i/>
          <w:iCs/>
        </w:rPr>
        <w:t>et al.</w:t>
      </w:r>
      <w:r w:rsidRPr="003E53AA">
        <w:rPr>
          <w:rFonts w:ascii="Calibri" w:hAnsi="Calibri" w:cs="Calibri"/>
        </w:rPr>
        <w:t xml:space="preserve">, BLAST+: architecture and applications. </w:t>
      </w:r>
      <w:r w:rsidRPr="003E53AA">
        <w:rPr>
          <w:rFonts w:ascii="Calibri" w:hAnsi="Calibri" w:cs="Calibri"/>
          <w:i/>
          <w:iCs/>
        </w:rPr>
        <w:t>BMC Bioinformatics</w:t>
      </w:r>
      <w:r w:rsidRPr="003E53AA">
        <w:rPr>
          <w:rFonts w:ascii="Calibri" w:hAnsi="Calibri" w:cs="Calibri"/>
        </w:rPr>
        <w:t xml:space="preserve"> </w:t>
      </w:r>
      <w:r w:rsidRPr="003E53AA">
        <w:rPr>
          <w:rFonts w:ascii="Calibri" w:hAnsi="Calibri" w:cs="Calibri"/>
          <w:b/>
          <w:bCs/>
        </w:rPr>
        <w:t>10</w:t>
      </w:r>
      <w:r w:rsidRPr="003E53AA">
        <w:rPr>
          <w:rFonts w:ascii="Calibri" w:hAnsi="Calibri" w:cs="Calibri"/>
        </w:rPr>
        <w:t>, 421 (2009).</w:t>
      </w:r>
    </w:p>
    <w:p w14:paraId="71ACF71B" w14:textId="77777777" w:rsidR="003E53AA" w:rsidRPr="003E53AA" w:rsidRDefault="003E53AA" w:rsidP="003E53AA">
      <w:pPr>
        <w:pStyle w:val="Bibliography"/>
        <w:rPr>
          <w:rFonts w:ascii="Calibri" w:hAnsi="Calibri" w:cs="Calibri"/>
        </w:rPr>
      </w:pPr>
      <w:r w:rsidRPr="003E53AA">
        <w:rPr>
          <w:rFonts w:ascii="Calibri" w:hAnsi="Calibri" w:cs="Calibri"/>
        </w:rPr>
        <w:t xml:space="preserve">3. </w:t>
      </w:r>
      <w:r w:rsidRPr="003E53AA">
        <w:rPr>
          <w:rFonts w:ascii="Calibri" w:hAnsi="Calibri" w:cs="Calibri"/>
        </w:rPr>
        <w:tab/>
        <w:t xml:space="preserve">E. Boutet, </w:t>
      </w:r>
      <w:r w:rsidRPr="003E53AA">
        <w:rPr>
          <w:rFonts w:ascii="Calibri" w:hAnsi="Calibri" w:cs="Calibri"/>
          <w:i/>
          <w:iCs/>
        </w:rPr>
        <w:t>et al.</w:t>
      </w:r>
      <w:r w:rsidRPr="003E53AA">
        <w:rPr>
          <w:rFonts w:ascii="Calibri" w:hAnsi="Calibri" w:cs="Calibri"/>
        </w:rPr>
        <w:t xml:space="preserve">, “UniProtKB/Swiss-Prot, the Manually Annotated Section of the UniProt KnowledgeBase: How to Use the Entry View” in </w:t>
      </w:r>
      <w:r w:rsidRPr="003E53AA">
        <w:rPr>
          <w:rFonts w:ascii="Calibri" w:hAnsi="Calibri" w:cs="Calibri"/>
          <w:i/>
          <w:iCs/>
        </w:rPr>
        <w:t>Plant Bioinformatics: Methods and Protocols</w:t>
      </w:r>
      <w:r w:rsidRPr="003E53AA">
        <w:rPr>
          <w:rFonts w:ascii="Calibri" w:hAnsi="Calibri" w:cs="Calibri"/>
        </w:rPr>
        <w:t>, Methods in Molecular Biology., D. Edwards, Ed. (Springer, 2016), pp. 23–54.</w:t>
      </w:r>
    </w:p>
    <w:p w14:paraId="1390A90B" w14:textId="77777777" w:rsidR="003E53AA" w:rsidRPr="003E53AA" w:rsidRDefault="003E53AA" w:rsidP="003E53AA">
      <w:pPr>
        <w:pStyle w:val="Bibliography"/>
        <w:rPr>
          <w:rFonts w:ascii="Calibri" w:hAnsi="Calibri" w:cs="Calibri"/>
        </w:rPr>
      </w:pPr>
      <w:r w:rsidRPr="003E53AA">
        <w:rPr>
          <w:rFonts w:ascii="Calibri" w:hAnsi="Calibri" w:cs="Calibri"/>
        </w:rPr>
        <w:t xml:space="preserve">4. </w:t>
      </w:r>
      <w:r w:rsidRPr="003E53AA">
        <w:rPr>
          <w:rFonts w:ascii="Calibri" w:hAnsi="Calibri" w:cs="Calibri"/>
        </w:rPr>
        <w:tab/>
        <w:t xml:space="preserve">S. Poux, </w:t>
      </w:r>
      <w:r w:rsidRPr="003E53AA">
        <w:rPr>
          <w:rFonts w:ascii="Calibri" w:hAnsi="Calibri" w:cs="Calibri"/>
          <w:i/>
          <w:iCs/>
        </w:rPr>
        <w:t>et al.</w:t>
      </w:r>
      <w:r w:rsidRPr="003E53AA">
        <w:rPr>
          <w:rFonts w:ascii="Calibri" w:hAnsi="Calibri" w:cs="Calibri"/>
        </w:rPr>
        <w:t xml:space="preserve">, On expert curation and scalability: UniProtKB/Swiss-Prot as a case study.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33</w:t>
      </w:r>
      <w:r w:rsidRPr="003E53AA">
        <w:rPr>
          <w:rFonts w:ascii="Calibri" w:hAnsi="Calibri" w:cs="Calibri"/>
        </w:rPr>
        <w:t>, 3454–3460 (2017).</w:t>
      </w:r>
    </w:p>
    <w:p w14:paraId="2FB1C391" w14:textId="77777777" w:rsidR="003E53AA" w:rsidRPr="003E53AA" w:rsidRDefault="003E53AA" w:rsidP="003E53AA">
      <w:pPr>
        <w:pStyle w:val="Bibliography"/>
        <w:rPr>
          <w:rFonts w:ascii="Calibri" w:hAnsi="Calibri" w:cs="Calibri"/>
        </w:rPr>
      </w:pPr>
      <w:r w:rsidRPr="003E53AA">
        <w:rPr>
          <w:rFonts w:ascii="Calibri" w:hAnsi="Calibri" w:cs="Calibri"/>
        </w:rPr>
        <w:t xml:space="preserve">5. </w:t>
      </w:r>
      <w:r w:rsidRPr="003E53AA">
        <w:rPr>
          <w:rFonts w:ascii="Calibri" w:hAnsi="Calibri" w:cs="Calibri"/>
        </w:rPr>
        <w:tab/>
        <w:t xml:space="preserve">E. M. Zdobnov, R. Apweiler, InterProScan – an integration platform for the signature-recognition methods in InterPro.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17</w:t>
      </w:r>
      <w:r w:rsidRPr="003E53AA">
        <w:rPr>
          <w:rFonts w:ascii="Calibri" w:hAnsi="Calibri" w:cs="Calibri"/>
        </w:rPr>
        <w:t>, 847–848 (2001).</w:t>
      </w:r>
    </w:p>
    <w:p w14:paraId="51A870D5" w14:textId="77777777" w:rsidR="003E53AA" w:rsidRPr="003E53AA" w:rsidRDefault="003E53AA" w:rsidP="003E53AA">
      <w:pPr>
        <w:pStyle w:val="Bibliography"/>
        <w:rPr>
          <w:rFonts w:ascii="Calibri" w:hAnsi="Calibri" w:cs="Calibri"/>
        </w:rPr>
      </w:pPr>
      <w:r w:rsidRPr="003E53AA">
        <w:rPr>
          <w:rFonts w:ascii="Calibri" w:hAnsi="Calibri" w:cs="Calibri"/>
        </w:rPr>
        <w:t xml:space="preserve">6. </w:t>
      </w:r>
      <w:r w:rsidRPr="003E53AA">
        <w:rPr>
          <w:rFonts w:ascii="Calibri" w:hAnsi="Calibri" w:cs="Calibri"/>
        </w:rPr>
        <w:tab/>
        <w:t xml:space="preserve">P. Jones, </w:t>
      </w:r>
      <w:r w:rsidRPr="003E53AA">
        <w:rPr>
          <w:rFonts w:ascii="Calibri" w:hAnsi="Calibri" w:cs="Calibri"/>
          <w:i/>
          <w:iCs/>
        </w:rPr>
        <w:t>et al.</w:t>
      </w:r>
      <w:r w:rsidRPr="003E53AA">
        <w:rPr>
          <w:rFonts w:ascii="Calibri" w:hAnsi="Calibri" w:cs="Calibri"/>
        </w:rPr>
        <w:t xml:space="preserve">, InterProScan 5: genome-scale protein function classification.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30</w:t>
      </w:r>
      <w:r w:rsidRPr="003E53AA">
        <w:rPr>
          <w:rFonts w:ascii="Calibri" w:hAnsi="Calibri" w:cs="Calibri"/>
        </w:rPr>
        <w:t>, 1236–1240 (2014).</w:t>
      </w:r>
    </w:p>
    <w:p w14:paraId="45FD8F71" w14:textId="77777777" w:rsidR="003E53AA" w:rsidRPr="003E53AA" w:rsidRDefault="003E53AA" w:rsidP="003E53AA">
      <w:pPr>
        <w:pStyle w:val="Bibliography"/>
        <w:rPr>
          <w:rFonts w:ascii="Calibri" w:hAnsi="Calibri" w:cs="Calibri"/>
        </w:rPr>
      </w:pPr>
      <w:r w:rsidRPr="003E53AA">
        <w:rPr>
          <w:rFonts w:ascii="Calibri" w:hAnsi="Calibri" w:cs="Calibri"/>
        </w:rPr>
        <w:t xml:space="preserve">7. </w:t>
      </w:r>
      <w:r w:rsidRPr="003E53AA">
        <w:rPr>
          <w:rFonts w:ascii="Calibri" w:hAnsi="Calibri" w:cs="Calibri"/>
        </w:rPr>
        <w:tab/>
        <w:t xml:space="preserve">C. E. Hughes, R. J. B. Nibbs, A guide to chemokines and their receptors. </w:t>
      </w:r>
      <w:r w:rsidRPr="003E53AA">
        <w:rPr>
          <w:rFonts w:ascii="Calibri" w:hAnsi="Calibri" w:cs="Calibri"/>
          <w:i/>
          <w:iCs/>
        </w:rPr>
        <w:t>The FEBS Journal</w:t>
      </w:r>
      <w:r w:rsidRPr="003E53AA">
        <w:rPr>
          <w:rFonts w:ascii="Calibri" w:hAnsi="Calibri" w:cs="Calibri"/>
        </w:rPr>
        <w:t xml:space="preserve"> </w:t>
      </w:r>
      <w:r w:rsidRPr="003E53AA">
        <w:rPr>
          <w:rFonts w:ascii="Calibri" w:hAnsi="Calibri" w:cs="Calibri"/>
          <w:b/>
          <w:bCs/>
        </w:rPr>
        <w:t>285</w:t>
      </w:r>
      <w:r w:rsidRPr="003E53AA">
        <w:rPr>
          <w:rFonts w:ascii="Calibri" w:hAnsi="Calibri" w:cs="Calibri"/>
        </w:rPr>
        <w:t>, 2944–2971 (2018).</w:t>
      </w:r>
    </w:p>
    <w:p w14:paraId="2B74C9C1" w14:textId="77777777" w:rsidR="003E53AA" w:rsidRPr="003E53AA" w:rsidRDefault="003E53AA" w:rsidP="003E53AA">
      <w:pPr>
        <w:pStyle w:val="Bibliography"/>
        <w:rPr>
          <w:rFonts w:ascii="Calibri" w:hAnsi="Calibri" w:cs="Calibri"/>
        </w:rPr>
      </w:pPr>
      <w:r w:rsidRPr="003E53AA">
        <w:rPr>
          <w:rFonts w:ascii="Calibri" w:hAnsi="Calibri" w:cs="Calibri"/>
        </w:rPr>
        <w:t xml:space="preserve">8. </w:t>
      </w:r>
      <w:r w:rsidRPr="003E53AA">
        <w:rPr>
          <w:rFonts w:ascii="Calibri" w:hAnsi="Calibri" w:cs="Calibri"/>
        </w:rPr>
        <w:tab/>
        <w:t xml:space="preserve">S. F. Altschul, </w:t>
      </w:r>
      <w:r w:rsidRPr="003E53AA">
        <w:rPr>
          <w:rFonts w:ascii="Calibri" w:hAnsi="Calibri" w:cs="Calibri"/>
          <w:i/>
          <w:iCs/>
        </w:rPr>
        <w:t>et al.</w:t>
      </w:r>
      <w:r w:rsidRPr="003E53AA">
        <w:rPr>
          <w:rFonts w:ascii="Calibri" w:hAnsi="Calibri" w:cs="Calibri"/>
        </w:rPr>
        <w:t xml:space="preserve">, Gapped BLAST and PSI-BLAST: a new generation of protein database search programs. </w:t>
      </w:r>
      <w:r w:rsidRPr="003E53AA">
        <w:rPr>
          <w:rFonts w:ascii="Calibri" w:hAnsi="Calibri" w:cs="Calibri"/>
          <w:i/>
          <w:iCs/>
        </w:rPr>
        <w:t>Nucleic Acids Research</w:t>
      </w:r>
      <w:r w:rsidRPr="003E53AA">
        <w:rPr>
          <w:rFonts w:ascii="Calibri" w:hAnsi="Calibri" w:cs="Calibri"/>
        </w:rPr>
        <w:t xml:space="preserve"> </w:t>
      </w:r>
      <w:r w:rsidRPr="003E53AA">
        <w:rPr>
          <w:rFonts w:ascii="Calibri" w:hAnsi="Calibri" w:cs="Calibri"/>
          <w:b/>
          <w:bCs/>
        </w:rPr>
        <w:t>25</w:t>
      </w:r>
      <w:r w:rsidRPr="003E53AA">
        <w:rPr>
          <w:rFonts w:ascii="Calibri" w:hAnsi="Calibri" w:cs="Calibri"/>
        </w:rPr>
        <w:t>, 3389–3402 (1997).</w:t>
      </w:r>
    </w:p>
    <w:p w14:paraId="741DDC34" w14:textId="5150FC90" w:rsidR="006C62F8" w:rsidRDefault="006C62F8">
      <w:r>
        <w:fldChar w:fldCharType="end"/>
      </w:r>
    </w:p>
    <w:sectPr w:rsidR="006C6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8F"/>
    <w:rsid w:val="000A7FAC"/>
    <w:rsid w:val="00127F44"/>
    <w:rsid w:val="00140A67"/>
    <w:rsid w:val="00206C83"/>
    <w:rsid w:val="00233E99"/>
    <w:rsid w:val="002670FE"/>
    <w:rsid w:val="002B5293"/>
    <w:rsid w:val="003A1500"/>
    <w:rsid w:val="003B38A5"/>
    <w:rsid w:val="003E53AA"/>
    <w:rsid w:val="00461D01"/>
    <w:rsid w:val="00483F03"/>
    <w:rsid w:val="004B4979"/>
    <w:rsid w:val="00540662"/>
    <w:rsid w:val="00666A1A"/>
    <w:rsid w:val="006836A6"/>
    <w:rsid w:val="006C62F8"/>
    <w:rsid w:val="006D4D68"/>
    <w:rsid w:val="007C0E4E"/>
    <w:rsid w:val="00820361"/>
    <w:rsid w:val="00826875"/>
    <w:rsid w:val="0082D81B"/>
    <w:rsid w:val="00847FCC"/>
    <w:rsid w:val="008A522B"/>
    <w:rsid w:val="009A70F9"/>
    <w:rsid w:val="009C05DC"/>
    <w:rsid w:val="00AD3088"/>
    <w:rsid w:val="00BB7AA8"/>
    <w:rsid w:val="00C77F8F"/>
    <w:rsid w:val="00D00661"/>
    <w:rsid w:val="00D45CAE"/>
    <w:rsid w:val="00DA01E7"/>
    <w:rsid w:val="00ED02F1"/>
    <w:rsid w:val="00F04B5D"/>
    <w:rsid w:val="00F251B3"/>
    <w:rsid w:val="00F87284"/>
    <w:rsid w:val="00FB586D"/>
    <w:rsid w:val="00FE0C7E"/>
    <w:rsid w:val="00FF6B95"/>
    <w:rsid w:val="06D8F142"/>
    <w:rsid w:val="06E24960"/>
    <w:rsid w:val="0BC7870F"/>
    <w:rsid w:val="0C462166"/>
    <w:rsid w:val="0F3809DE"/>
    <w:rsid w:val="103642C1"/>
    <w:rsid w:val="169CD925"/>
    <w:rsid w:val="1F4C356A"/>
    <w:rsid w:val="1FF81922"/>
    <w:rsid w:val="230C6249"/>
    <w:rsid w:val="26012CC3"/>
    <w:rsid w:val="2B73E090"/>
    <w:rsid w:val="332A7399"/>
    <w:rsid w:val="3490AC91"/>
    <w:rsid w:val="363F4428"/>
    <w:rsid w:val="3662145B"/>
    <w:rsid w:val="3A8B7B85"/>
    <w:rsid w:val="3B898C35"/>
    <w:rsid w:val="3DCB71C6"/>
    <w:rsid w:val="3E23719A"/>
    <w:rsid w:val="4EDB27F2"/>
    <w:rsid w:val="50290A84"/>
    <w:rsid w:val="5530E8A9"/>
    <w:rsid w:val="5A3F1D93"/>
    <w:rsid w:val="5AD09246"/>
    <w:rsid w:val="5AF49DFE"/>
    <w:rsid w:val="618AB8FC"/>
    <w:rsid w:val="6E4A5010"/>
    <w:rsid w:val="70B8CD81"/>
    <w:rsid w:val="72B4E3FE"/>
    <w:rsid w:val="7F993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8729"/>
  <w15:chartTrackingRefBased/>
  <w15:docId w15:val="{ABC3F1E9-42DC-4E6A-9E16-5B8B229B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500"/>
    <w:rPr>
      <w:color w:val="0563C1" w:themeColor="hyperlink"/>
      <w:u w:val="single"/>
    </w:rPr>
  </w:style>
  <w:style w:type="character" w:styleId="UnresolvedMention">
    <w:name w:val="Unresolved Mention"/>
    <w:basedOn w:val="DefaultParagraphFont"/>
    <w:uiPriority w:val="99"/>
    <w:semiHidden/>
    <w:unhideWhenUsed/>
    <w:rsid w:val="003A1500"/>
    <w:rPr>
      <w:color w:val="605E5C"/>
      <w:shd w:val="clear" w:color="auto" w:fill="E1DFDD"/>
    </w:rPr>
  </w:style>
  <w:style w:type="paragraph" w:styleId="Bibliography">
    <w:name w:val="Bibliography"/>
    <w:basedOn w:val="Normal"/>
    <w:next w:val="Normal"/>
    <w:uiPriority w:val="37"/>
    <w:unhideWhenUsed/>
    <w:rsid w:val="006C62F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vices.healthtech.dtu.dk/service.php?SignalP-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Alessandra Aleotti</cp:lastModifiedBy>
  <cp:revision>7</cp:revision>
  <dcterms:created xsi:type="dcterms:W3CDTF">2023-05-11T09:50:00Z</dcterms:created>
  <dcterms:modified xsi:type="dcterms:W3CDTF">2024-01-04T22:20:00Z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id="Arz6zgAr"/&gt;&lt;style id="http://www.zotero.org/styles/pnas" hasBibliography="1" bibliographyStyleHasBeenSet="1"/&gt;&lt;prefs&gt;&lt;pref name="fieldType" value="Field"/&gt;&lt;/prefs&gt;&lt;/data&gt;</vt:lpwstr>
  </property>
</Properties>
</file>