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>
          <w:b/>
          <w:color w:val="auto"/>
          <w:spacing w:val="0"/>
        </w:rPr>
      </w:pPr>
      <w:r>
        <w:rPr>
          <w:b/>
          <w:color w:val="auto"/>
          <w:spacing w:val="0"/>
        </w:rPr>
        <w:t>PARTE 3: 20 QUESTÕES DE CORRELACIONE</w:t>
      </w:r>
    </w:p>
    <w:p>
      <w:pPr>
        <w:pStyle w:val="Normal"/>
        <w:bidi w:val="0"/>
        <w:ind w:hanging="0" w:start="0" w:end="0"/>
        <w:jc w:val="start"/>
        <w:rPr>
          <w:b/>
          <w:color w:val="auto"/>
          <w:spacing w:val="0"/>
        </w:rPr>
      </w:pPr>
      <w:r>
        <w:rPr>
          <w:b/>
          <w:color w:val="auto"/>
          <w:spacing w:val="0"/>
        </w:rPr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GRUPO 1: Modelos de Administração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(1) Patrimonialista (2) Burocrático (3) Gerencial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 ) Foco em resultados e atendimento ao cidadão-cliente. (3) ( ) Cargos vistos como "prebendas" e extensão do poder do soberano. (1) ( ) Ênfase na impessoalidade, formalismo e controle de processos (meios). (2) ( ) Baseado na confiança e descentralização da decisão. (3)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GRUPO 2: Instrumentos Orçamentários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(A) PPA (B) LDO (C) LOA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 ) Define o orçamento anual, estimando receitas e fixando despesas. (C) ( ) Planejamento de longo prazo (4 anos); "Para onde vamos?". (A) ( ) Estabelece metas e prioridades para o exercício seguinte; liga o plano ao gasto. (B)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GRUPO 3: Setores do Estado (PDRAE)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(I) Núcleo Estratégico (II) Atividades Exclusivas (III) Serviços Não Exclusivos (IV) Produção para o Mercado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 ) Escolas e hospitais; atuação conjunta com o setor privado. (III) ( ) Onde se formulam as leis e políticas públicas (Cúpula dos 3 Poderes). (I) ( ) Poder de polícia, fiscalização de impostos e controle do meio ambiente. (II) ( ) Empresas estatais de infraestrutura voltadas para o lucro. (IV)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GRUPO 4: Instâncias de Governança MB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(X) Alta Administração Naval (Y) Gestão Estratégica (Z) Gestão Operacional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 ) Comandante da Marinha e Almirantado; dão o direcionamento. (X) ( ) Comandantes de OM; responsáveis pela execução direta das tarefas. (Z) ( ) CEMA e Titulares de ODS; integram governança e gestão. (Y)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/>
          <w:i w:val="false"/>
          <w:caps w:val="false"/>
          <w:smallCaps w:val="false"/>
          <w:color w:val="auto"/>
          <w:spacing w:val="0"/>
          <w:sz w:val="24"/>
        </w:rPr>
        <w:t>GRUPO 5: Datas e Marcos Históricos</w:t>
      </w: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 (D1) 1936 (D2) 1967 (D3) 1988 (D4) 1995</w:t>
      </w:r>
    </w:p>
    <w:p>
      <w:pPr>
        <w:pStyle w:val="Normal"/>
        <w:bidi w:val="0"/>
        <w:spacing w:lineRule="auto" w:line="360" w:before="0" w:after="120"/>
        <w:ind w:hanging="0" w:start="0" w:end="0"/>
        <w:jc w:val="start"/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rem;Google Sans Text" w:hAnsi="rem;Google Sans Text"/>
          <w:b w:val="false"/>
          <w:i w:val="false"/>
          <w:caps w:val="false"/>
          <w:smallCaps w:val="false"/>
          <w:color w:val="auto"/>
          <w:spacing w:val="0"/>
          <w:sz w:val="24"/>
        </w:rPr>
        <w:t>( ) Reforma Gerencial e Plano Diretor (PDRAE). (D4) ( ) Reforma do DASP (Burocracia profissional). (D1) ( ) Decreto-Lei 200 (Descentralização e planejamento). (D2) ( ) Nova Constituição (Engessamento e retrocesso burocrático). (D3)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em">
    <w:altName w:val="Google Sans Text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36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1</Pages>
  <Words>284</Words>
  <Characters>1459</Characters>
  <CharactersWithSpaces>1732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2026-06-17T15:58:23Z</dcterms:created>
  <dc:creator/>
  <dc:description/>
  <dc:language>pt-BR</dc:language>
  <cp:lastModifiedBy/>
  <dcterms:modified xsi:type="dcterms:W3CDTF">2026-06-17T15:59:09Z</dcterms:modified>
  <cp:revision>1</cp:revision>
  <dc:subject/>
  <dc:title/>
</cp:coreProperties>
</file>