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ubtitle"/>
      </w:pPr>
      <w:r>
        <w:t>QUIMMCO / QUESTUM</w:t>
      </w:r>
    </w:p>
    <w:p>
      <w:pPr>
        <w:pStyle w:val="Title"/>
      </w:pPr>
      <w:r>
        <w:t>MEMORIA TÉCNICA</w:t>
      </w:r>
    </w:p>
    <w:p>
      <w:pPr>
        <w:pStyle w:val="Subtitle"/>
      </w:pPr>
      <w:r>
        <w:t>SupplyHub — Arquitectura, módulos, datos, seguridad y mantenimiento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rPr>
                <w:sz w:val="18"/>
              </w:rPr>
              <w:t>Control documental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  <w:t>Valor</w:t>
            </w:r>
          </w:p>
        </w:tc>
      </w:tr>
      <w:tr>
        <w:tc>
          <w:tcPr>
            <w:tcW w:type="dxa" w:w="4896"/>
          </w:tcPr>
          <w:p>
            <w:r>
              <w:rPr>
                <w:sz w:val="18"/>
              </w:rPr>
              <w:t>Proyecto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  <w:t>SupplyHub — RFQ CAPEX y Seguimiento OC</w:t>
            </w:r>
          </w:p>
        </w:tc>
      </w:tr>
      <w:tr>
        <w:tc>
          <w:tcPr>
            <w:tcW w:type="dxa" w:w="4896"/>
          </w:tcPr>
          <w:p>
            <w:r>
              <w:rPr>
                <w:sz w:val="18"/>
              </w:rPr>
              <w:t>Fecha de preparación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  <w:t>19 de octubre de 2026</w:t>
            </w:r>
          </w:p>
        </w:tc>
      </w:tr>
      <w:tr>
        <w:tc>
          <w:tcPr>
            <w:tcW w:type="dxa" w:w="4896"/>
          </w:tcPr>
          <w:p>
            <w:r>
              <w:rPr>
                <w:sz w:val="18"/>
              </w:rPr>
              <w:t>Versión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  <w:t>0.1 — Borrador para revisión</w:t>
            </w:r>
          </w:p>
        </w:tc>
      </w:tr>
      <w:tr>
        <w:tc>
          <w:tcPr>
            <w:tcW w:type="dxa" w:w="4896"/>
          </w:tcPr>
          <w:p>
            <w:r>
              <w:rPr>
                <w:sz w:val="18"/>
              </w:rPr>
              <w:t>Elaboración técnica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  <w:t>Roberto Yeshua Moreno Pedraza</w:t>
            </w:r>
          </w:p>
        </w:tc>
      </w:tr>
      <w:tr>
        <w:tc>
          <w:tcPr>
            <w:tcW w:type="dxa" w:w="4896"/>
          </w:tcPr>
          <w:p>
            <w:r>
              <w:rPr>
                <w:sz w:val="18"/>
              </w:rPr>
              <w:t>Solicitante / usuarios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  <w:t>Compras — Edith y Jacqueline</w:t>
            </w:r>
          </w:p>
        </w:tc>
      </w:tr>
      <w:tr>
        <w:tc>
          <w:tcPr>
            <w:tcW w:type="dxa" w:w="4896"/>
          </w:tcPr>
          <w:p>
            <w:r>
              <w:rPr>
                <w:sz w:val="18"/>
              </w:rPr>
              <w:t>Coordinación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  <w:t>Gloria; revisión técnica solicitada por Juan Carlos Bermúdez</w:t>
            </w:r>
          </w:p>
        </w:tc>
      </w:tr>
      <w:tr>
        <w:tc>
          <w:tcPr>
            <w:tcW w:type="dxa" w:w="4896"/>
          </w:tcPr>
          <w:p>
            <w:r>
              <w:rPr>
                <w:sz w:val="18"/>
              </w:rPr>
              <w:t>Aprobación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  <w:t>Pendiente de validación formal</w:t>
            </w:r>
          </w:p>
        </w:tc>
      </w:tr>
      <w:tr>
        <w:tc>
          <w:tcPr>
            <w:tcW w:type="dxa" w:w="4896"/>
          </w:tcPr>
          <w:p>
            <w:r>
              <w:rPr>
                <w:sz w:val="18"/>
              </w:rPr>
              <w:t>Clasificación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  <w:t>Información interna; sin credenciales ni datos sensibles</w:t>
            </w:r>
          </w:p>
        </w:tc>
      </w:tr>
    </w:tbl>
    <w:p>
      <w:r>
        <w:t>ADVERTENCIA DOCUMENTAL. Se distingue entre funciones demostradas, parciales, propuestas y pendientes de autorización. Este documento no certifica liberación productiva, aprobación del negocio ni cumplimiento de seguridad.</w:t>
      </w:r>
    </w:p>
    <w:p>
      <w:r>
        <w:br w:type="page"/>
      </w:r>
    </w:p>
    <w:p>
      <w:pPr>
        <w:pStyle w:val="Heading1"/>
      </w:pPr>
      <w:r>
        <w:t>Índice</w:t>
      </w:r>
    </w:p>
    <w:p>
      <w:r>
        <w:t>1. Información general · 2. Objetivo y alcance · 3. Contexto y estado · 4. Arquitectura · 5. Estructura lógica · 6. Modelo de datos · 7. Módulo RFQ · 8. Módulo OC · 9. Integraciones · 10. Seguridad · 11. Calidad · 12. Operación · 13. Limitaciones · 14. Evolución · 15. Anexos.</w:t>
      </w:r>
    </w:p>
    <w:p>
      <w:pPr>
        <w:pStyle w:val="Heading1"/>
      </w:pPr>
      <w:r>
        <w:t>1. Información general</w:t>
      </w:r>
    </w:p>
    <w:p>
      <w:r>
        <w:t>SupplyHub es una aplicación web interna propuesta para concentrar los flujos de RFQ CAPEX y seguimiento de OC del área de Compras de Questum.</w:t>
      </w:r>
    </w:p>
    <w:p>
      <w:r>
        <w:t>Responsables conocidos: Edith (RFQ), Jacqueline (OC), Gloria (coordinación), Roberto Yeshua Moreno Pedraza (desarrollo de prototipo), Juan Carlos Bermúdez (solicitud de documentación y revisión técnica).</w:t>
      </w:r>
    </w:p>
    <w:p>
      <w:r>
        <w:t>El presente documento toma como referencia organizativa la Memoria Técnica de Data Analytics fechada 23/07/2026; no atribuye a SupplyHub las integraciones o controles que pertenecen exclusivamente a Data Analytics.</w:t>
      </w:r>
    </w:p>
    <w:p>
      <w:pPr>
        <w:pStyle w:val="Heading1"/>
      </w:pPr>
      <w:r>
        <w:t>2. Objetivo y alcance</w:t>
      </w:r>
    </w:p>
    <w:p>
      <w:r>
        <w:t>Objetivo: documentar componentes, contratos de datos, flujo de negocio, mecanismos de control, pruebas y condiciones para la eventual operación de SupplyHub.</w:t>
      </w:r>
    </w:p>
    <w:p>
      <w:r>
        <w:t>Alcance demostrado: captura asistida de RFQ, corrección de campos, cambios de estado, importación inicial de reportes Oracle mediante Excel, filtros de OC y navegación básica.</w:t>
      </w:r>
    </w:p>
    <w:p>
      <w:r>
        <w:t>Alcance parcial: detalle OC, historial, conteo real de cambios, importación de mínimos/máximos.</w:t>
      </w:r>
    </w:p>
    <w:p>
      <w:r>
        <w:t>No incluido o no confirmado: correo corporativo automatizado, conexión directa Oracle, producción, autenticación corporativa definitiva, esquema final de base de datos, recordatorios automáticos.</w:t>
      </w:r>
    </w:p>
    <w:p>
      <w:pPr>
        <w:pStyle w:val="Heading1"/>
      </w:pPr>
      <w:r>
        <w:t>3. Estado de implementación al 19/10/2026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rPr>
                <w:sz w:val="18"/>
              </w:rPr>
              <w:t>Categoría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  <w:t>Significado</w:t>
            </w:r>
          </w:p>
        </w:tc>
      </w:tr>
      <w:tr>
        <w:tc>
          <w:tcPr>
            <w:tcW w:type="dxa" w:w="4896"/>
          </w:tcPr>
          <w:p>
            <w:r>
              <w:rPr>
                <w:sz w:val="18"/>
              </w:rPr>
              <w:t>Demostrado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  <w:t>Observado durante la demostración del prototipo; no equivale a aceptación.</w:t>
            </w:r>
          </w:p>
        </w:tc>
      </w:tr>
      <w:tr>
        <w:tc>
          <w:tcPr>
            <w:tcW w:type="dxa" w:w="4896"/>
          </w:tcPr>
          <w:p>
            <w:r>
              <w:rPr>
                <w:sz w:val="18"/>
              </w:rPr>
              <w:t>Parcial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  <w:t>Existe implementación inicial o flujo con fallos conocidos.</w:t>
            </w:r>
          </w:p>
        </w:tc>
      </w:tr>
      <w:tr>
        <w:tc>
          <w:tcPr>
            <w:tcW w:type="dxa" w:w="4896"/>
          </w:tcPr>
          <w:p>
            <w:r>
              <w:rPr>
                <w:sz w:val="18"/>
              </w:rPr>
              <w:t>Propuesto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  <w:t>Diseño sugerido; no confirmado como requerimiento aprobado.</w:t>
            </w:r>
          </w:p>
        </w:tc>
      </w:tr>
      <w:tr>
        <w:tc>
          <w:tcPr>
            <w:tcW w:type="dxa" w:w="4896"/>
          </w:tcPr>
          <w:p>
            <w:r>
              <w:rPr>
                <w:sz w:val="18"/>
              </w:rPr>
              <w:t>Pendiente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  <w:t>No implementado, no verificado o sin evidencia suficiente.</w:t>
            </w:r>
          </w:p>
        </w:tc>
      </w:tr>
      <w:tr>
        <w:tc>
          <w:tcPr>
            <w:tcW w:type="dxa" w:w="4896"/>
          </w:tcPr>
          <w:p>
            <w:r>
              <w:rPr>
                <w:sz w:val="18"/>
              </w:rPr>
              <w:t>Por validar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  <w:t>Necesita confirmación de usuarios, TI o responsables.</w:t>
            </w:r>
          </w:p>
        </w:tc>
      </w:tr>
    </w:tbl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</w:tcPr>
          <w:p>
            <w:r>
              <w:rPr>
                <w:sz w:val="18"/>
              </w:rPr>
              <w:t>Componente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Estado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Observación</w:t>
            </w:r>
          </w:p>
        </w:tc>
      </w:tr>
      <w:tr>
        <w:tc>
          <w:tcPr>
            <w:tcW w:type="dxa" w:w="3264"/>
          </w:tcPr>
          <w:p>
            <w:r>
              <w:rPr>
                <w:sz w:val="18"/>
              </w:rPr>
              <w:t>Django y UI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Prototipo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Demostrado en reunión 16/10</w:t>
            </w:r>
          </w:p>
        </w:tc>
      </w:tr>
      <w:tr>
        <w:tc>
          <w:tcPr>
            <w:tcW w:type="dxa" w:w="3264"/>
          </w:tcPr>
          <w:p>
            <w:r>
              <w:rPr>
                <w:sz w:val="18"/>
              </w:rPr>
              <w:t>RFQ CAPEX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Demostrado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Campos y estados finales pendientes</w:t>
            </w:r>
          </w:p>
        </w:tc>
      </w:tr>
      <w:tr>
        <w:tc>
          <w:tcPr>
            <w:tcW w:type="dxa" w:w="3264"/>
          </w:tcPr>
          <w:p>
            <w:r>
              <w:rPr>
                <w:sz w:val="18"/>
              </w:rPr>
              <w:t>Importador OC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Demostrado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Prueba ~5,000 filas; contadores por corregir</w:t>
            </w:r>
          </w:p>
        </w:tc>
      </w:tr>
      <w:tr>
        <w:tc>
          <w:tcPr>
            <w:tcW w:type="dxa" w:w="3264"/>
          </w:tcPr>
          <w:p>
            <w:r>
              <w:rPr>
                <w:sz w:val="18"/>
              </w:rPr>
              <w:t>Detalle e historial OC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Parcial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Fallos observados</w:t>
            </w:r>
          </w:p>
        </w:tc>
      </w:tr>
      <w:tr>
        <w:tc>
          <w:tcPr>
            <w:tcW w:type="dxa" w:w="3264"/>
          </w:tcPr>
          <w:p>
            <w:r>
              <w:rPr>
                <w:sz w:val="18"/>
              </w:rPr>
              <w:t>Mínimos y máximos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Por validar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Archivo y lógica por revisar</w:t>
            </w:r>
          </w:p>
        </w:tc>
      </w:tr>
      <w:tr>
        <w:tc>
          <w:tcPr>
            <w:tcW w:type="dxa" w:w="3264"/>
          </w:tcPr>
          <w:p>
            <w:r>
              <w:rPr>
                <w:sz w:val="18"/>
              </w:rPr>
              <w:t>Gmail OAuth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Configuración en proceso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Sin proyecto corporativo confirmado</w:t>
            </w:r>
          </w:p>
        </w:tc>
      </w:tr>
      <w:tr>
        <w:tc>
          <w:tcPr>
            <w:tcW w:type="dxa" w:w="3264"/>
          </w:tcPr>
          <w:p>
            <w:r>
              <w:rPr>
                <w:sz w:val="18"/>
              </w:rPr>
              <w:t>Oracle directo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En evaluación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Paco / TI</w:t>
            </w:r>
          </w:p>
        </w:tc>
      </w:tr>
      <w:tr>
        <w:tc>
          <w:tcPr>
            <w:tcW w:type="dxa" w:w="3264"/>
          </w:tcPr>
          <w:p>
            <w:r>
              <w:rPr>
                <w:sz w:val="18"/>
              </w:rPr>
              <w:t>Base productiva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Pendiente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No seleccionar sin arquitectura aprobada</w:t>
            </w:r>
          </w:p>
        </w:tc>
      </w:tr>
      <w:tr>
        <w:tc>
          <w:tcPr>
            <w:tcW w:type="dxa" w:w="3264"/>
          </w:tcPr>
          <w:p>
            <w:r>
              <w:rPr>
                <w:sz w:val="18"/>
              </w:rPr>
              <w:t>Despliegue productivo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Pendiente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No se documenta como realizado</w:t>
            </w:r>
          </w:p>
        </w:tc>
      </w:tr>
    </w:tbl>
    <w:p>
      <w:pPr>
        <w:pStyle w:val="Heading1"/>
      </w:pPr>
      <w:r>
        <w:t>4. Arquitectura lógica</w:t>
      </w:r>
    </w:p>
    <w:p>
      <w:r>
        <w:t>Flujo actual propuesto: navegador → rutas Django → controladores → servicios de negocio → importadores/validadores → persistencia local de prototipo → presentación web.</w:t>
      </w:r>
    </w:p>
    <w:p>
      <w:r>
        <w:t>Flujo objetivo condicionado: usuario autorizado → proxy HTTPS → aplicación Django → base de datos aprobada; adaptadores separados para Oracle/Excel y correo corporativo. Las integraciones deben ser desacopladas y auditables.</w:t>
      </w:r>
    </w:p>
    <w:p>
      <w:r>
        <w:t>La arquitectura de Data Analytics sirve como patrón de separación de configuración, controles y operación, no como dependencia automática de SQL Server, DAsp, nómina o AD para SupplyHub.</w:t>
      </w:r>
    </w:p>
    <w:p>
      <w:r>
        <w:t>Principio: Oracle es origen de OC; la aplicación conserva el seguimiento y los metadatos propios. Cualquier sincronización debe definir precedencia de fuentes y resolución de conflictos.</w:t>
      </w:r>
    </w:p>
    <w:p>
      <w:pPr>
        <w:pStyle w:val="Heading1"/>
      </w:pPr>
      <w:r>
        <w:t>4.1 Diagrama textual</w:t>
      </w:r>
    </w:p>
    <w:p>
      <w:r>
        <w:t>[Navegador] → [Django URL / Vista] → [Controlador] → [Servicio de dominio] → [Repositorio/DB]</w:t>
      </w:r>
    </w:p>
    <w:p>
      <w:r>
        <w:t>[Excel Oracle] → [Validador] → [Normalizador] → [Vista previa de cambios] → [Importación confirmada]</w:t>
      </w:r>
    </w:p>
    <w:p>
      <w:r>
        <w:t>[Correo autorizado] → [Extractor] → [Propuesta revisable] → [Confirmación del comprador] → [Historial]</w:t>
      </w:r>
    </w:p>
    <w:p>
      <w:pPr>
        <w:pStyle w:val="Heading1"/>
      </w:pPr>
      <w:r>
        <w:t>5. Estructura lógica y control de versiones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rPr>
                <w:sz w:val="18"/>
              </w:rPr>
              <w:t>Elemento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  <w:t>Responsabilidad / verificación</w:t>
            </w:r>
          </w:p>
        </w:tc>
      </w:tr>
      <w:tr>
        <w:tc>
          <w:tcPr>
            <w:tcW w:type="dxa" w:w="4896"/>
          </w:tcPr>
          <w:p>
            <w:r>
              <w:rPr>
                <w:sz w:val="18"/>
              </w:rPr>
              <w:t>manage.py / configuración Django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  <w:t>Entrada y configuración; validar ruta en commit de entrega</w:t>
            </w:r>
          </w:p>
        </w:tc>
      </w:tr>
      <w:tr>
        <w:tc>
          <w:tcPr>
            <w:tcW w:type="dxa" w:w="4896"/>
          </w:tcPr>
          <w:p>
            <w:r>
              <w:rPr>
                <w:sz w:val="18"/>
              </w:rPr>
              <w:t>RFQ CAPEX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  <w:t>Captura, extracción, revisión, estados, auditoría</w:t>
            </w:r>
          </w:p>
        </w:tc>
      </w:tr>
      <w:tr>
        <w:tc>
          <w:tcPr>
            <w:tcW w:type="dxa" w:w="4896"/>
          </w:tcPr>
          <w:p>
            <w:r>
              <w:rPr>
                <w:sz w:val="18"/>
              </w:rPr>
              <w:t>Seguimiento OC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  <w:t>Importación, detalle, interacción, reportes</w:t>
            </w:r>
          </w:p>
        </w:tc>
      </w:tr>
      <w:tr>
        <w:tc>
          <w:tcPr>
            <w:tcW w:type="dxa" w:w="4896"/>
          </w:tcPr>
          <w:p>
            <w:r>
              <w:rPr>
                <w:sz w:val="18"/>
              </w:rPr>
              <w:t>Servicios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  <w:t>Reglas de negocio, transacciones, validaciones</w:t>
            </w:r>
          </w:p>
        </w:tc>
      </w:tr>
      <w:tr>
        <w:tc>
          <w:tcPr>
            <w:tcW w:type="dxa" w:w="4896"/>
          </w:tcPr>
          <w:p>
            <w:r>
              <w:rPr>
                <w:sz w:val="18"/>
              </w:rPr>
              <w:t>Adaptadores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  <w:t>Excel/Oracle/correo; aislamiento de formatos</w:t>
            </w:r>
          </w:p>
        </w:tc>
      </w:tr>
      <w:tr>
        <w:tc>
          <w:tcPr>
            <w:tcW w:type="dxa" w:w="4896"/>
          </w:tcPr>
          <w:p>
            <w:r>
              <w:rPr>
                <w:sz w:val="18"/>
              </w:rPr>
              <w:t>Plantillas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  <w:t>Interfaz y validación visual</w:t>
            </w:r>
          </w:p>
        </w:tc>
      </w:tr>
      <w:tr>
        <w:tc>
          <w:tcPr>
            <w:tcW w:type="dxa" w:w="4896"/>
          </w:tcPr>
          <w:p>
            <w:r>
              <w:rPr>
                <w:sz w:val="18"/>
              </w:rPr>
              <w:t>docs/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  <w:t>Documentos de diseño, memoria, montaje y evidencias</w:t>
            </w:r>
          </w:p>
        </w:tc>
      </w:tr>
      <w:tr>
        <w:tc>
          <w:tcPr>
            <w:tcW w:type="dxa" w:w="4896"/>
          </w:tcPr>
          <w:p>
            <w:r>
              <w:rPr>
                <w:sz w:val="18"/>
              </w:rPr>
              <w:t>tests/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  <w:t>Pruebas unitarias, integración y regresión</w:t>
            </w:r>
          </w:p>
        </w:tc>
      </w:tr>
      <w:tr>
        <w:tc>
          <w:tcPr>
            <w:tcW w:type="dxa" w:w="4896"/>
          </w:tcPr>
          <w:p>
            <w:r>
              <w:rPr>
                <w:sz w:val="18"/>
              </w:rPr>
              <w:t>Rama documental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  <w:t>docs/md050-diseno-funcional — documento previo</w:t>
            </w:r>
          </w:p>
        </w:tc>
      </w:tr>
      <w:tr>
        <w:tc>
          <w:tcPr>
            <w:tcW w:type="dxa" w:w="4896"/>
          </w:tcPr>
          <w:p>
            <w:r>
              <w:rPr>
                <w:sz w:val="18"/>
              </w:rPr>
              <w:t>Rama de desarrollo conocida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  <w:t>feat/supplyhub-step5-seguimiento-oc — confirmar HEAD antes de liberar</w:t>
            </w:r>
          </w:p>
        </w:tc>
      </w:tr>
    </w:tbl>
    <w:p>
      <w:pPr>
        <w:pStyle w:val="Heading1"/>
      </w:pPr>
      <w:r>
        <w:t>6. Modelo de datos preliminar</w:t>
      </w:r>
    </w:p>
    <w:p>
      <w:r>
        <w:t>No se afirma que todas las tablas siguientes existan en el código. Se presenta un modelo lógico propuesto que debe compararse contra migraciones Django y diccionario Oracle antes de congelar el diseño.</w:t>
      </w:r>
    </w:p>
    <w:p>
      <w:r>
        <w:t>Las claves deben evitar colisiones: la OC puede contener varias liberaciones y líneas. No se debe asumir que OC es única a nivel partida.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</w:tcPr>
          <w:p>
            <w:r>
              <w:rPr>
                <w:sz w:val="18"/>
              </w:rPr>
              <w:t>Entidad lógica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Campos esenciales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Relación</w:t>
            </w:r>
          </w:p>
        </w:tc>
      </w:tr>
      <w:tr>
        <w:tc>
          <w:tcPr>
            <w:tcW w:type="dxa" w:w="3264"/>
          </w:tcPr>
          <w:p>
            <w:r>
              <w:rPr>
                <w:sz w:val="18"/>
              </w:rPr>
              <w:t>RFQ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ID, identificador, planta, solicitante, descripción, estado, origen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1 a N cambios</w:t>
            </w:r>
          </w:p>
        </w:tc>
      </w:tr>
      <w:tr>
        <w:tc>
          <w:tcPr>
            <w:tcW w:type="dxa" w:w="3264"/>
          </w:tcPr>
          <w:p>
            <w:r>
              <w:rPr>
                <w:sz w:val="18"/>
              </w:rPr>
              <w:t>RFQEstadoHistorial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RFQ, estado anterior/nuevo, motivo, usuario, fecha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N a 1 RFQ</w:t>
            </w:r>
          </w:p>
        </w:tc>
      </w:tr>
      <w:tr>
        <w:tc>
          <w:tcPr>
            <w:tcW w:type="dxa" w:w="3264"/>
          </w:tcPr>
          <w:p>
            <w:r>
              <w:rPr>
                <w:sz w:val="18"/>
              </w:rPr>
              <w:t>PurchaseOrder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OC, proveedor, comprador, planta, origen, estado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1 a N líneas</w:t>
            </w:r>
          </w:p>
        </w:tc>
      </w:tr>
      <w:tr>
        <w:tc>
          <w:tcPr>
            <w:tcW w:type="dxa" w:w="3264"/>
          </w:tcPr>
          <w:p>
            <w:r>
              <w:rPr>
                <w:sz w:val="18"/>
              </w:rPr>
              <w:t>PurchaseOrderLine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OC, release, línea, cantidad, fechas, entregada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N a 1 OC</w:t>
            </w:r>
          </w:p>
        </w:tc>
      </w:tr>
      <w:tr>
        <w:tc>
          <w:tcPr>
            <w:tcW w:type="dxa" w:w="3264"/>
          </w:tcPr>
          <w:p>
            <w:r>
              <w:rPr>
                <w:sz w:val="18"/>
              </w:rPr>
              <w:t>FollowUpInteraction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Línea, fecha, respuesta, autor, fuente, validación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N a 1 línea</w:t>
            </w:r>
          </w:p>
        </w:tc>
      </w:tr>
      <w:tr>
        <w:tc>
          <w:tcPr>
            <w:tcW w:type="dxa" w:w="3264"/>
          </w:tcPr>
          <w:p>
            <w:r>
              <w:rPr>
                <w:sz w:val="18"/>
              </w:rPr>
              <w:t>Reminder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Línea, ventana, estado, fecha generación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N a 1 línea</w:t>
            </w:r>
          </w:p>
        </w:tc>
      </w:tr>
      <w:tr>
        <w:tc>
          <w:tcPr>
            <w:tcW w:type="dxa" w:w="3264"/>
          </w:tcPr>
          <w:p>
            <w:r>
              <w:rPr>
                <w:sz w:val="18"/>
              </w:rPr>
              <w:t>ImportBatch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Archivo, hash, fecha, usuario, métricas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1 a N registros procesados</w:t>
            </w:r>
          </w:p>
        </w:tc>
      </w:tr>
      <w:tr>
        <w:tc>
          <w:tcPr>
            <w:tcW w:type="dxa" w:w="3264"/>
          </w:tcPr>
          <w:p>
            <w:r>
              <w:rPr>
                <w:sz w:val="18"/>
              </w:rPr>
              <w:t>ImportRowIssue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Lote, hoja, fila, causa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N a 1 lote</w:t>
            </w:r>
          </w:p>
        </w:tc>
      </w:tr>
    </w:tbl>
    <w:p>
      <w:pPr>
        <w:pStyle w:val="Heading1"/>
      </w:pPr>
      <w:r>
        <w:t>6.1 Integridad y consistencia</w:t>
      </w:r>
    </w:p>
    <w:p>
      <w:r>
        <w:t>Propuesta: índices para OC/release/línea, planta, estado y fecha; unicidad compuesta según validación de Oracle.</w:t>
      </w:r>
    </w:p>
    <w:p>
      <w:r>
        <w:t>Cada importación debe ser idempotente. Calcular una representación normalizada de los campos de negocio para diferenciar cambios reales de filas reimportadas.</w:t>
      </w:r>
    </w:p>
    <w:p>
      <w:r>
        <w:t>Separar la información maestra importada del historial de interacciones manuales. Una reimportación nunca debe borrar comentarios del comprador.</w:t>
      </w:r>
    </w:p>
    <w:p>
      <w:r>
        <w:t>Registrar lote, origen, hoja, fila, usuario, marca temporal y resumen de cambios para trazabilidad.</w:t>
      </w:r>
    </w:p>
    <w:p>
      <w:pPr>
        <w:pStyle w:val="Heading1"/>
      </w:pPr>
      <w:r>
        <w:t>7. Lógica del módulo RFQ</w:t>
      </w:r>
    </w:p>
    <w:p>
      <w:r>
        <w:t>Entrada: texto de correo o archivo compatible. Parseo defensivo de etiquetas y variantes; conservar texto original o referencia de origen de manera controlada.</w:t>
      </w:r>
    </w:p>
    <w:p>
      <w:r>
        <w:t>Normalización: nombres de planta, campos vacíos, fechas y espacios; preservar valor original y evitar inferir datos faltantes.</w:t>
      </w:r>
    </w:p>
    <w:p>
      <w:r>
        <w:t>Previsualización: presentar datos extraídos con advertencias; permitir edición antes de confirmar.</w:t>
      </w:r>
    </w:p>
    <w:p>
      <w:r>
        <w:t>Persistencia: validar campos mínimos y duplicados; registrar RFQ e historial transaccional.</w:t>
      </w:r>
    </w:p>
    <w:p>
      <w:r>
        <w:t>Estados: catálogo oficial pendiente. La interfaz mostró creación y modificación, pero no se presume que todo cambio de estado sea válido.</w:t>
      </w:r>
    </w:p>
    <w:p>
      <w:pPr>
        <w:pStyle w:val="Heading1"/>
      </w:pPr>
      <w:r>
        <w:t>8. Lógica del módulo Seguimiento OC</w:t>
      </w:r>
    </w:p>
    <w:p>
      <w:r>
        <w:t>Entrada: reportes Excel exportados de Oracle, lista de vencidos, mínimos y máximos y otras hojas autorizadas.</w:t>
      </w:r>
    </w:p>
    <w:p>
      <w:r>
        <w:t>Identificación: normalizar encabezados y tipos, detectar hoja correcta, clave de línea y proveedor; rechazar filas ambiguas.</w:t>
      </w:r>
    </w:p>
    <w:p>
      <w:r>
        <w:t>Comparación: clasificar nueva, modificada, sin cambio, inválida; el contador de 'actualizadas' debe representar modificaciones reales.</w:t>
      </w:r>
    </w:p>
    <w:p>
      <w:r>
        <w:t>Seguimiento: almacenar interacciones como eventos inmutables con respuesta, fecha y autor; mantener último estado derivado para consulta.</w:t>
      </w:r>
    </w:p>
    <w:p>
      <w:r>
        <w:t>Correo: Gmail API permanece pendiente. El procesamiento debe conservar identificadores de mensaje/hilo y evitar interpretar una cadena completa como una sola respuesta.</w:t>
      </w:r>
    </w:p>
    <w:p>
      <w:r>
        <w:t>Recordatorios: servicio programado independiente de las sesiones web; condición, frecuencia, cancelación e idempotencia sujetos a aprobación de Compras.</w:t>
      </w:r>
    </w:p>
    <w:p>
      <w:pPr>
        <w:pStyle w:val="Heading1"/>
      </w:pPr>
      <w:r>
        <w:t>9. Integraciones y contratos</w:t>
      </w:r>
    </w:p>
    <w:p>
      <w:r>
        <w:t>La integración debe trabajar con permisos mínimos, interfaces documentadas y adaptadores reemplazables. El conector Oracle directo depende de evaluación por Paco/TI.</w:t>
      </w:r>
    </w:p>
    <w:p>
      <w:r>
        <w:t>La integración Gmail no debe operar sobre credenciales personales. Las pruebas deben emplear datos autorizados y no contener secretos reales.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</w:tcPr>
          <w:p>
            <w:r>
              <w:rPr>
                <w:sz w:val="18"/>
              </w:rPr>
              <w:t>Origen/destino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Mecanismo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Estado / dependencia</w:t>
            </w:r>
          </w:p>
        </w:tc>
      </w:tr>
      <w:tr>
        <w:tc>
          <w:tcPr>
            <w:tcW w:type="dxa" w:w="3264"/>
          </w:tcPr>
          <w:p>
            <w:r>
              <w:rPr>
                <w:sz w:val="18"/>
              </w:rPr>
              <w:t>Oracle → SupplyHub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Excel exportado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Demostrado con archivo de prueba</w:t>
            </w:r>
          </w:p>
        </w:tc>
      </w:tr>
      <w:tr>
        <w:tc>
          <w:tcPr>
            <w:tcW w:type="dxa" w:w="3264"/>
          </w:tcPr>
          <w:p>
            <w:r>
              <w:rPr>
                <w:sz w:val="18"/>
              </w:rPr>
              <w:t>Oracle → SupplyHub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Conexión directa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En evaluación</w:t>
            </w:r>
          </w:p>
        </w:tc>
      </w:tr>
      <w:tr>
        <w:tc>
          <w:tcPr>
            <w:tcW w:type="dxa" w:w="3264"/>
          </w:tcPr>
          <w:p>
            <w:r>
              <w:rPr>
                <w:sz w:val="18"/>
              </w:rPr>
              <w:t>Gmail corporativo → SupplyHub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OAuth 2.0 / API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Pendiente autorización</w:t>
            </w:r>
          </w:p>
        </w:tc>
      </w:tr>
      <w:tr>
        <w:tc>
          <w:tcPr>
            <w:tcW w:type="dxa" w:w="3264"/>
          </w:tcPr>
          <w:p>
            <w:r>
              <w:rPr>
                <w:sz w:val="18"/>
              </w:rPr>
              <w:t>SupplyHub → correo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Borrador con validación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Propuesto</w:t>
            </w:r>
          </w:p>
        </w:tc>
      </w:tr>
      <w:tr>
        <w:tc>
          <w:tcPr>
            <w:tcW w:type="dxa" w:w="3264"/>
          </w:tcPr>
          <w:p>
            <w:r>
              <w:rPr>
                <w:sz w:val="18"/>
              </w:rPr>
              <w:t>SupplyHub → DB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ORM Django / base aprobada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Diseño definitivo pendiente</w:t>
            </w:r>
          </w:p>
        </w:tc>
      </w:tr>
      <w:tr>
        <w:tc>
          <w:tcPr>
            <w:tcW w:type="dxa" w:w="3264"/>
          </w:tcPr>
          <w:p>
            <w:r>
              <w:rPr>
                <w:sz w:val="18"/>
              </w:rPr>
              <w:t>Data Analytics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Referencia de prácticas técnicas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No afirmar integración real</w:t>
            </w:r>
          </w:p>
        </w:tc>
      </w:tr>
    </w:tbl>
    <w:p>
      <w:pPr>
        <w:pStyle w:val="Heading1"/>
      </w:pPr>
      <w:r>
        <w:t>10. Seguridad y permisos</w:t>
      </w:r>
    </w:p>
    <w:p>
      <w:r>
        <w:t>Aplicar principio de mínimo privilegio; definir roles: consulta, comprador, administrador y soporte, sujetos a matriz aprobada.</w:t>
      </w:r>
    </w:p>
    <w:p>
      <w:r>
        <w:t>Proteger CSRF, cookies, sesiones, TLS y control de acceso en servidor; no confiar solo en botones ocultos.</w:t>
      </w:r>
    </w:p>
    <w:p>
      <w:r>
        <w:t>Separar secretos del código y del repositorio. La memoria de Data Analytics documenta Fernet y APP_CONFIG_ENCRYPTION_KEY; reutilizar únicamente tras comprobar compatibilidad e implementación real.</w:t>
      </w:r>
    </w:p>
    <w:p>
      <w:r>
        <w:t>No almacenar tokens OAuth, contraseñas, direcciones internas ni datos personales reales en Git, capturas o documentación.</w:t>
      </w:r>
    </w:p>
    <w:p>
      <w:r>
        <w:t>Registrar quién importó, editó, aprobó un borrador y cambió estado; proteger la bitácora contra alteraciones.</w:t>
      </w:r>
    </w:p>
    <w:p>
      <w:r>
        <w:t>Tratar archivos Excel y correos como entradas no confiables: límites de tamaño, validación de extensión y contenido, sanitización de HTML y manejo de errores.</w:t>
      </w:r>
    </w:p>
    <w:p>
      <w:pPr>
        <w:pStyle w:val="Heading1"/>
      </w:pPr>
      <w:r>
        <w:t>11. Pruebas y límites</w:t>
      </w:r>
    </w:p>
    <w:p>
      <w:r>
        <w:t>Unitarias: normalización de planta, parseo RFQ, fechas, reglas de estados, cálculo de recordatorios, detección de cambios.</w:t>
      </w:r>
    </w:p>
    <w:p>
      <w:r>
        <w:t>Integración: migraciones, importación repetida, rollback transaccional, persistencia de historial, manejo de archivo corrupto.</w:t>
      </w:r>
    </w:p>
    <w:p>
      <w:r>
        <w:t>Regresión: detalle OC, seguimiento, filtros, corrección manual RFQ, contador de filas realmente actualizadas.</w:t>
      </w:r>
    </w:p>
    <w:p>
      <w:r>
        <w:t>Seguridad: acceso no autorizado, CSRF, carga maliciosa, exposición de secretos, scopes OAuth y control de permisos.</w:t>
      </w:r>
    </w:p>
    <w:p>
      <w:r>
        <w:t>Rendimiento: medir importación de aproximadamente 5,000 filas con tiempos y memoria reales; no extrapolar capacidad productiva desde una sola demostración.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rPr>
                <w:sz w:val="18"/>
              </w:rPr>
              <w:t>Caso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  <w:t>Criterio de salida</w:t>
            </w:r>
          </w:p>
        </w:tc>
      </w:tr>
      <w:tr>
        <w:tc>
          <w:tcPr>
            <w:tcW w:type="dxa" w:w="4896"/>
          </w:tcPr>
          <w:p>
            <w:r>
              <w:rPr>
                <w:sz w:val="18"/>
              </w:rPr>
              <w:t>Archivo idéntico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  <w:t>Cero actualizaciones efectivas</w:t>
            </w:r>
          </w:p>
        </w:tc>
      </w:tr>
      <w:tr>
        <w:tc>
          <w:tcPr>
            <w:tcW w:type="dxa" w:w="4896"/>
          </w:tcPr>
          <w:p>
            <w:r>
              <w:rPr>
                <w:sz w:val="18"/>
              </w:rPr>
              <w:t>OC multilínea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  <w:t>No sobrescribir líneas distintas</w:t>
            </w:r>
          </w:p>
        </w:tc>
      </w:tr>
      <w:tr>
        <w:tc>
          <w:tcPr>
            <w:tcW w:type="dxa" w:w="4896"/>
          </w:tcPr>
          <w:p>
            <w:r>
              <w:rPr>
                <w:sz w:val="18"/>
              </w:rPr>
              <w:t>Seguimiento nuevo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  <w:t>Se conserva evento anterior</w:t>
            </w:r>
          </w:p>
        </w:tc>
      </w:tr>
      <w:tr>
        <w:tc>
          <w:tcPr>
            <w:tcW w:type="dxa" w:w="4896"/>
          </w:tcPr>
          <w:p>
            <w:r>
              <w:rPr>
                <w:sz w:val="18"/>
              </w:rPr>
              <w:t>Recordatorio concurrente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  <w:t>Una sola generación por ventana</w:t>
            </w:r>
          </w:p>
        </w:tc>
      </w:tr>
      <w:tr>
        <w:tc>
          <w:tcPr>
            <w:tcW w:type="dxa" w:w="4896"/>
          </w:tcPr>
          <w:p>
            <w:r>
              <w:rPr>
                <w:sz w:val="18"/>
              </w:rPr>
              <w:t>RFQ incompleto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  <w:t>No inventar datos</w:t>
            </w:r>
          </w:p>
        </w:tc>
      </w:tr>
      <w:tr>
        <w:tc>
          <w:tcPr>
            <w:tcW w:type="dxa" w:w="4896"/>
          </w:tcPr>
          <w:p>
            <w:r>
              <w:rPr>
                <w:sz w:val="18"/>
              </w:rPr>
              <w:t>Error de importación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  <w:t>Se informa causa y se preserva consistencia</w:t>
            </w:r>
          </w:p>
        </w:tc>
      </w:tr>
      <w:tr>
        <w:tc>
          <w:tcPr>
            <w:tcW w:type="dxa" w:w="4896"/>
          </w:tcPr>
          <w:p>
            <w:r>
              <w:rPr>
                <w:sz w:val="18"/>
              </w:rPr>
              <w:t>Usuario sin permiso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  <w:t>Acceso denegado en backend</w:t>
            </w:r>
          </w:p>
        </w:tc>
      </w:tr>
      <w:tr>
        <w:tc>
          <w:tcPr>
            <w:tcW w:type="dxa" w:w="4896"/>
          </w:tcPr>
          <w:p>
            <w:r>
              <w:rPr>
                <w:sz w:val="18"/>
              </w:rPr>
              <w:t>OAuth no configurado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  <w:t>No activar integración</w:t>
            </w:r>
          </w:p>
        </w:tc>
      </w:tr>
    </w:tbl>
    <w:p>
      <w:pPr>
        <w:pStyle w:val="Heading1"/>
      </w:pPr>
      <w:r>
        <w:t>12. Operación y mantenimiento</w:t>
      </w:r>
    </w:p>
    <w:p>
      <w:r>
        <w:t>Definir responsable de aplicación, respaldo, retención, restauración y soporte antes de producción.</w:t>
      </w:r>
    </w:p>
    <w:p>
      <w:r>
        <w:t>Documentar versión Python/Django, dependencias bloqueadas, hash de commit, migraciones y configuración sin secretos.</w:t>
      </w:r>
    </w:p>
    <w:p>
      <w:r>
        <w:t>Supervisar errores de importación, integraciones, intentos de acceso y tareas programadas. No registrar cuerpos completos de correos innecesariamente.</w:t>
      </w:r>
    </w:p>
    <w:p>
      <w:r>
        <w:t>Actualizar dependencias bajo ventana controlada y con pruebas de regresión; registrar cambios y plan de reversión.</w:t>
      </w:r>
    </w:p>
    <w:p>
      <w:pPr>
        <w:pStyle w:val="Heading1"/>
      </w:pPr>
      <w:r>
        <w:t>13. Limitaciones y deuda técnica</w:t>
      </w:r>
    </w:p>
    <w:p>
      <w:r>
        <w:t>Los fallos de detalle OC y seguimiento observados el 16/10/2026 requieren diagnóstico antes de aceptar el módulo.</w:t>
      </w:r>
    </w:p>
    <w:p>
      <w:r>
        <w:t>El conteo de 'actualizados' no refleja necesariamente diferencias de contenido; debe implementarse comparación explícita.</w:t>
      </w:r>
    </w:p>
    <w:p>
      <w:r>
        <w:t>El diccionario real de campos Oracle y el catálogo RFQ siguen sin validación formal.</w:t>
      </w:r>
    </w:p>
    <w:p>
      <w:r>
        <w:t>Las reglas de recordatorios, clasificación de proveedores y lectura de hilos de correo requieren definición de negocio y permisos.</w:t>
      </w:r>
    </w:p>
    <w:p>
      <w:r>
        <w:t>El entorno de despliegue, cifrado y autenticación final debe confirmarse en el código y con TI.</w:t>
      </w:r>
    </w:p>
    <w:p>
      <w:pPr>
        <w:pStyle w:val="Heading1"/>
      </w:pPr>
      <w:r>
        <w:t>14. Hoja de ruta recomendada</w:t>
      </w:r>
    </w:p>
    <w:p>
      <w:r>
        <w:t>Fase A: cerrar levantamiento con Edith, Jacqueline y Gloria; obtener MD.050 y archivos oficiales.</w:t>
      </w:r>
    </w:p>
    <w:p>
      <w:r>
        <w:t>Fase B: estabilizar detalle OC, historial y comparación de importaciones; pruebas de regresión.</w:t>
      </w:r>
    </w:p>
    <w:p>
      <w:r>
        <w:t>Fase C: definir modelo de persistencia y controles de acceso; formalizar migraciones y auditoría.</w:t>
      </w:r>
    </w:p>
    <w:p>
      <w:r>
        <w:t>Fase D: tramitar Google Cloud corporativo, scopes y consentimiento; probar lectura controlada de mensajes.</w:t>
      </w:r>
    </w:p>
    <w:p>
      <w:r>
        <w:t>Fase E: introducir borradores asistidos, recordatorios aprobados y métricas de operación.</w:t>
      </w:r>
    </w:p>
    <w:p>
      <w:r>
        <w:t>Fase F: pruebas UAT, aprobación de seguridad, montaje corporativo y manual de usuario.</w:t>
      </w:r>
    </w:p>
    <w:p>
      <w:pPr>
        <w:pStyle w:val="Heading1"/>
      </w:pPr>
      <w:r>
        <w:t>15. Anexos y referencias</w:t>
      </w:r>
    </w:p>
    <w:p>
      <w:r>
        <w:t>Referencia técnica: Memoria_Tecnica_Sistema_Data_Analytics (1).docx, 23/07/2026 — estructura, seguridad y despliegue como patrón; no fuente de implementación de SupplyHub.</w:t>
      </w:r>
    </w:p>
    <w:p>
      <w:r>
        <w:t>Referencia técnica: Documento_de_Montaje_Sistema_Data_Analytics (1).docx, 23/07/2026 — configuración y validación como patrón.</w:t>
      </w:r>
    </w:p>
    <w:p>
      <w:r>
        <w:t>Referencia funcional: reuniones, prototipo y levantamiento consolidado hasta 19/10/2026; demostración del 16/10/2026.</w:t>
      </w:r>
    </w:p>
    <w:p>
      <w:r>
        <w:t>Fuentes por adjuntar: estructura real de repositorio, migraciones, requirements, capturas de pantallas, muestras anonimizadas de Oracle/Excel, logs de pruebas y acta de validación.</w:t>
      </w:r>
    </w:p>
    <w:p>
      <w:pPr>
        <w:pStyle w:val="Heading1"/>
      </w:pPr>
      <w:r>
        <w:t>Control de revisiones y firmas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</w:tcPr>
          <w:p>
            <w:r>
              <w:rPr>
                <w:sz w:val="18"/>
              </w:rPr>
              <w:t>Rol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Responsable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Fecha / resultado</w:t>
            </w:r>
          </w:p>
        </w:tc>
      </w:tr>
      <w:tr>
        <w:tc>
          <w:tcPr>
            <w:tcW w:type="dxa" w:w="3264"/>
          </w:tcPr>
          <w:p>
            <w:r>
              <w:rPr>
                <w:sz w:val="18"/>
              </w:rPr>
              <w:t>Elaboró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Roberto Yeshua Moreno Pedraza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19/10/2026 — borrador</w:t>
            </w:r>
          </w:p>
        </w:tc>
      </w:tr>
      <w:tr>
        <w:tc>
          <w:tcPr>
            <w:tcW w:type="dxa" w:w="3264"/>
          </w:tcPr>
          <w:p>
            <w:r>
              <w:rPr>
                <w:sz w:val="18"/>
              </w:rPr>
              <w:t>Revisó — negocio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Gloria / Compras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Pendiente</w:t>
            </w:r>
          </w:p>
        </w:tc>
      </w:tr>
      <w:tr>
        <w:tc>
          <w:tcPr>
            <w:tcW w:type="dxa" w:w="3264"/>
          </w:tcPr>
          <w:p>
            <w:r>
              <w:rPr>
                <w:sz w:val="18"/>
              </w:rPr>
              <w:t>Validó — usuarias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Edith / Jacqueline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Pendiente</w:t>
            </w:r>
          </w:p>
        </w:tc>
      </w:tr>
      <w:tr>
        <w:tc>
          <w:tcPr>
            <w:tcW w:type="dxa" w:w="3264"/>
          </w:tcPr>
          <w:p>
            <w:r>
              <w:rPr>
                <w:sz w:val="18"/>
              </w:rPr>
              <w:t>Revisión técnica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Juan Carlos Bermúdez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Pendiente</w:t>
            </w:r>
          </w:p>
        </w:tc>
      </w:tr>
      <w:tr>
        <w:tc>
          <w:tcPr>
            <w:tcW w:type="dxa" w:w="3264"/>
          </w:tcPr>
          <w:p>
            <w:r>
              <w:rPr>
                <w:sz w:val="18"/>
              </w:rPr>
              <w:t>Infraestructura y seguridad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TI / responsables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Pendiente</w:t>
            </w:r>
          </w:p>
        </w:tc>
      </w:tr>
    </w:tbl>
    <w:p>
      <w:r>
        <w:t>Registro de cambios: v0.1 — Primera integración documental de antecedentes y alcance conocido hasta 19/10/2026. Toda modificación posterior debe registrar versión, autor, fecha y evidencia.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24" w:right="1181" w:bottom="1152" w:left="12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SupplyHub · Memoria técnica · v0.1 · 19/10/2026     |     Validación pendiente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QUESTUM  |  Aplicaciones y Desarrollo de Software  |  Información interna — borrador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82D4C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82D4C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82D4C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