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━━━━━━━━━━━━━━━━━━━━━━━━━━━━━━━━━━━━━━━━━━━━━━</w:t>
      </w:r>
    </w:p>
    <w:p>
      <w:r>
        <w:rPr>
          <w:b w:val="0"/>
          <w:sz w:val="34"/>
        </w:rPr>
        <w:t>MD.050 DISEÑO FUNCIONAL</w:t>
      </w:r>
    </w:p>
    <w:p>
      <w:r>
        <w:rPr>
          <w:b w:val="0"/>
          <w:color w:val="224F90"/>
          <w:sz w:val="34"/>
        </w:rPr>
        <w:t>Quimmco</w:t>
      </w:r>
    </w:p>
    <w:p>
      <w:r>
        <w:rPr>
          <w:b w:val="0"/>
          <w:color w:val="224F90"/>
          <w:sz w:val="34"/>
        </w:rPr>
        <w:t>SupplyHub — Centralización y automatización de procesos de Compras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</w:tcPr>
          <w:p>
            <w:r>
              <w:t>Autor</w:t>
            </w:r>
          </w:p>
        </w:tc>
        <w:tc>
          <w:tcPr>
            <w:tcW w:type="dxa" w:w="4932"/>
          </w:tcPr>
          <w:p>
            <w:r>
              <w:t>Roberto Yeshua Moreno Pedraza</w:t>
            </w:r>
          </w:p>
        </w:tc>
      </w:tr>
      <w:tr>
        <w:tc>
          <w:tcPr>
            <w:tcW w:type="dxa" w:w="4932"/>
          </w:tcPr>
          <w:p>
            <w:r>
              <w:t>Fecha creación</w:t>
            </w:r>
          </w:p>
        </w:tc>
        <w:tc>
          <w:tcPr>
            <w:tcW w:type="dxa" w:w="4932"/>
          </w:tcPr>
          <w:p>
            <w:r>
              <w:t>19 octubre 2026</w:t>
            </w:r>
          </w:p>
        </w:tc>
      </w:tr>
      <w:tr>
        <w:tc>
          <w:tcPr>
            <w:tcW w:type="dxa" w:w="4932"/>
          </w:tcPr>
          <w:p>
            <w:r>
              <w:t>Última modificación</w:t>
            </w:r>
          </w:p>
        </w:tc>
        <w:tc>
          <w:tcPr>
            <w:tcW w:type="dxa" w:w="4932"/>
          </w:tcPr>
          <w:p>
            <w:r>
              <w:t>19 octubre 2026</w:t>
            </w:r>
          </w:p>
        </w:tc>
      </w:tr>
      <w:tr>
        <w:tc>
          <w:tcPr>
            <w:tcW w:type="dxa" w:w="4932"/>
          </w:tcPr>
          <w:p>
            <w:r>
              <w:t>No. de referencia</w:t>
            </w:r>
          </w:p>
        </w:tc>
        <w:tc>
          <w:tcPr>
            <w:tcW w:type="dxa" w:w="4932"/>
          </w:tcPr>
          <w:p>
            <w:r>
              <w:t>Pendiente de asignación</w:t>
            </w:r>
          </w:p>
        </w:tc>
      </w:tr>
      <w:tr>
        <w:tc>
          <w:tcPr>
            <w:tcW w:type="dxa" w:w="4932"/>
          </w:tcPr>
          <w:p>
            <w:r>
              <w:t>Versión</w:t>
            </w:r>
          </w:p>
        </w:tc>
        <w:tc>
          <w:tcPr>
            <w:tcW w:type="dxa" w:w="4932"/>
          </w:tcPr>
          <w:p>
            <w:r>
              <w:t>0.1 — Borrador para revisión</w:t>
            </w:r>
          </w:p>
        </w:tc>
      </w:tr>
    </w:tbl>
    <w:p>
      <w:r>
        <w:rPr>
          <w:b/>
          <w:sz w:val="24"/>
        </w:rPr>
        <w:t>Aprobaciones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</w:tcPr>
          <w:p>
            <w:r>
              <w:t>Rol</w:t>
            </w:r>
          </w:p>
        </w:tc>
        <w:tc>
          <w:tcPr>
            <w:tcW w:type="dxa" w:w="4932"/>
          </w:tcPr>
          <w:p>
            <w:r>
              <w:t>Nombre / validación</w:t>
            </w:r>
          </w:p>
        </w:tc>
      </w:tr>
      <w:tr>
        <w:tc>
          <w:tcPr>
            <w:tcW w:type="dxa" w:w="4932"/>
          </w:tcPr>
          <w:p>
            <w:r>
              <w:t>Solicitante / Compras</w:t>
            </w:r>
          </w:p>
        </w:tc>
        <w:tc>
          <w:tcPr>
            <w:tcW w:type="dxa" w:w="4932"/>
          </w:tcPr>
          <w:p>
            <w:r>
              <w:t>Por confirmar con Gloria</w:t>
            </w:r>
          </w:p>
        </w:tc>
      </w:tr>
      <w:tr>
        <w:tc>
          <w:tcPr>
            <w:tcW w:type="dxa" w:w="4932"/>
          </w:tcPr>
          <w:p>
            <w:r>
              <w:t>Responsable funcional</w:t>
            </w:r>
          </w:p>
        </w:tc>
        <w:tc>
          <w:tcPr>
            <w:tcW w:type="dxa" w:w="4932"/>
          </w:tcPr>
          <w:p>
            <w:r>
              <w:t>Por confirmar</w:t>
            </w:r>
          </w:p>
        </w:tc>
      </w:tr>
      <w:tr>
        <w:tc>
          <w:tcPr>
            <w:tcW w:type="dxa" w:w="4932"/>
          </w:tcPr>
          <w:p>
            <w:r>
              <w:t>Responsable técnico</w:t>
            </w:r>
          </w:p>
        </w:tc>
        <w:tc>
          <w:tcPr>
            <w:tcW w:type="dxa" w:w="4932"/>
          </w:tcPr>
          <w:p>
            <w:r>
              <w:t>Juan Carlos Bermúdez — revisión pendiente</w:t>
            </w:r>
          </w:p>
        </w:tc>
      </w:tr>
      <w:tr>
        <w:tc>
          <w:tcPr>
            <w:tcW w:type="dxa" w:w="4932"/>
          </w:tcPr>
          <w:p>
            <w:r>
              <w:t>Desarrollador del prototipo</w:t>
            </w:r>
          </w:p>
        </w:tc>
        <w:tc>
          <w:tcPr>
            <w:tcW w:type="dxa" w:w="4932"/>
          </w:tcPr>
          <w:p>
            <w:r>
              <w:t>Roberto Yeshua Moreno Pedraza</w:t>
            </w:r>
          </w:p>
        </w:tc>
      </w:tr>
      <w:tr>
        <w:tc>
          <w:tcPr>
            <w:tcW w:type="dxa" w:w="4932"/>
          </w:tcPr>
          <w:p>
            <w:r>
              <w:t>Autorización final</w:t>
            </w:r>
          </w:p>
        </w:tc>
        <w:tc>
          <w:tcPr>
            <w:tcW w:type="dxa" w:w="4932"/>
          </w:tcPr>
          <w:p>
            <w:r>
              <w:t>Pendiente</w:t>
            </w:r>
          </w:p>
        </w:tc>
      </w:tr>
    </w:tbl>
    <w:p>
      <w:r>
        <w:rPr>
          <w:b w:val="0"/>
          <w:sz w:val="18"/>
        </w:rPr>
        <w:t>Documento de trabajo. No representa aprobación formal de requisitos.</w:t>
      </w:r>
    </w:p>
    <w:p>
      <w:r>
        <w:br w:type="page"/>
      </w:r>
    </w:p>
    <w:p>
      <w:r>
        <w:rPr>
          <w:b/>
          <w:sz w:val="32"/>
        </w:rPr>
        <w:t>Contenido</w:t>
      </w:r>
    </w:p>
    <w:p>
      <w:r>
        <w:rPr>
          <w:b w:val="0"/>
          <w:sz w:val="20"/>
        </w:rPr>
        <w:t>Introducción</w:t>
      </w:r>
    </w:p>
    <w:p>
      <w:r>
        <w:rPr>
          <w:b w:val="0"/>
          <w:sz w:val="20"/>
        </w:rPr>
        <w:t>Necesidades básicas del negocio</w:t>
      </w:r>
    </w:p>
    <w:p>
      <w:r>
        <w:rPr>
          <w:b w:val="0"/>
          <w:sz w:val="20"/>
        </w:rPr>
        <w:t>Características principales</w:t>
      </w:r>
    </w:p>
    <w:p>
      <w:r>
        <w:rPr>
          <w:b w:val="0"/>
          <w:sz w:val="20"/>
        </w:rPr>
        <w:t>Procedimiento de usuario</w:t>
      </w:r>
    </w:p>
    <w:p>
      <w:r>
        <w:rPr>
          <w:b w:val="0"/>
          <w:sz w:val="20"/>
        </w:rPr>
        <w:t>Reglas de negocio</w:t>
      </w:r>
    </w:p>
    <w:p>
      <w:r>
        <w:rPr>
          <w:b w:val="0"/>
          <w:sz w:val="20"/>
        </w:rPr>
        <w:t>Supuestos</w:t>
      </w:r>
    </w:p>
    <w:p>
      <w:pPr>
        <w:spacing w:after="0"/>
      </w:pPr>
      <w:r>
        <w:rPr>
          <w:b/>
          <w:sz w:val="24"/>
        </w:rPr>
        <w:t>▰</w:t>
      </w:r>
    </w:p>
    <w:p>
      <w:r>
        <w:rPr>
          <w:b/>
          <w:sz w:val="24"/>
        </w:rPr>
        <w:t>Introducción</w:t>
      </w:r>
    </w:p>
    <w:p>
      <w:r>
        <w:rPr>
          <w:b w:val="0"/>
          <w:sz w:val="20"/>
        </w:rPr>
        <w:t>SupplyHub es una propuesta de aplicación web para apoyar las actividades del área de Compras de Questum. El prototipo reúne dos procesos: gestión de solicitudes RFQ de CAPEX y seguimiento de órdenes de compra (OC). Actualmente se utilizan correos electrónicos, exportaciones de Oracle y archivos Excel para consultar, capturar y actualizar información.</w:t>
      </w:r>
    </w:p>
    <w:p>
      <w:r>
        <w:rPr>
          <w:b w:val="0"/>
          <w:sz w:val="20"/>
        </w:rPr>
        <w:t>El presente documento describe el diseño funcional preliminar a partir de reuniones y demostraciones realizadas hasta el 19 de octubre de 2026. Las funciones propuestas, los criterios de aceptación y las autorizaciones requieren validación de los responsables del área.</w:t>
      </w:r>
    </w:p>
    <w:p>
      <w:pPr>
        <w:spacing w:after="0"/>
      </w:pPr>
      <w:r>
        <w:rPr>
          <w:b/>
          <w:sz w:val="24"/>
        </w:rPr>
        <w:t>▰</w:t>
      </w:r>
    </w:p>
    <w:p>
      <w:r>
        <w:rPr>
          <w:b/>
          <w:sz w:val="24"/>
        </w:rPr>
        <w:t>Necesidades básicas del negocio</w:t>
      </w:r>
    </w:p>
    <w:p>
      <w:r>
        <w:rPr>
          <w:b w:val="0"/>
          <w:sz w:val="20"/>
        </w:rPr>
        <w:t>RFQ CAPEX — Edith: reducir la transcripción manual de solicitudes recibidas por correo, permitir su revisión antes del registro y facilitar la consulta de estados y comentarios.</w:t>
      </w:r>
    </w:p>
    <w:p>
      <w:r>
        <w:rPr>
          <w:b w:val="0"/>
          <w:sz w:val="20"/>
        </w:rPr>
        <w:t>Seguimiento OC — Jacqueline: incorporar información de órdenes exportada de Oracle, identificar pendientes por proveedor y planta, registrar interacciones y facilitar la revisión de respuestas y fechas de compromiso.</w:t>
      </w:r>
    </w:p>
    <w:p>
      <w:r>
        <w:rPr>
          <w:b w:val="0"/>
          <w:sz w:val="20"/>
        </w:rPr>
        <w:t>Se pretende conservar la trazabilidad de las modificaciones y reducir la dependencia de hojas de cálculo dispersas, sin sustituir a Oracle como origen empresarial de los datos de órdenes.</w:t>
      </w:r>
    </w:p>
    <w:p>
      <w:pPr>
        <w:spacing w:after="0"/>
      </w:pPr>
      <w:r>
        <w:rPr>
          <w:b/>
          <w:sz w:val="24"/>
        </w:rPr>
        <w:t>▰</w:t>
      </w:r>
    </w:p>
    <w:p>
      <w:r>
        <w:rPr>
          <w:b/>
          <w:sz w:val="24"/>
        </w:rPr>
        <w:t>Características principales</w:t>
      </w:r>
    </w:p>
    <w:p>
      <w:r>
        <w:rPr>
          <w:b/>
          <w:sz w:val="22"/>
        </w:rPr>
        <w:t>Módulo 1. RFQ de CAPEX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t>Funcionalidad</w:t>
            </w:r>
          </w:p>
        </w:tc>
        <w:tc>
          <w:tcPr>
            <w:tcW w:type="dxa" w:w="3288"/>
          </w:tcPr>
          <w:p>
            <w:r>
              <w:t>Descripción</w:t>
            </w:r>
          </w:p>
        </w:tc>
        <w:tc>
          <w:tcPr>
            <w:tcW w:type="dxa" w:w="3288"/>
          </w:tcPr>
          <w:p>
            <w:r>
              <w:t>Situación</w:t>
            </w:r>
          </w:p>
        </w:tc>
      </w:tr>
      <w:tr>
        <w:tc>
          <w:tcPr>
            <w:tcW w:type="dxa" w:w="3288"/>
          </w:tcPr>
          <w:p>
            <w:r>
              <w:t>Captura de correo</w:t>
            </w:r>
          </w:p>
        </w:tc>
        <w:tc>
          <w:tcPr>
            <w:tcW w:type="dxa" w:w="3288"/>
          </w:tcPr>
          <w:p>
            <w:r>
              <w:t>Pegar contenido de solicitud para interpretar campos.</w:t>
            </w:r>
          </w:p>
        </w:tc>
        <w:tc>
          <w:tcPr>
            <w:tcW w:type="dxa" w:w="3288"/>
          </w:tcPr>
          <w:p>
            <w:r>
              <w:t>Demostrada</w:t>
            </w:r>
          </w:p>
        </w:tc>
      </w:tr>
      <w:tr>
        <w:tc>
          <w:tcPr>
            <w:tcW w:type="dxa" w:w="3288"/>
          </w:tcPr>
          <w:p>
            <w:r>
              <w:t>Extracción y revisión</w:t>
            </w:r>
          </w:p>
        </w:tc>
        <w:tc>
          <w:tcPr>
            <w:tcW w:type="dxa" w:w="3288"/>
          </w:tcPr>
          <w:p>
            <w:r>
              <w:t>Identificar RFQ, planta, solicitante y descripción; corregir antes de guardar.</w:t>
            </w:r>
          </w:p>
        </w:tc>
        <w:tc>
          <w:tcPr>
            <w:tcW w:type="dxa" w:w="3288"/>
          </w:tcPr>
          <w:p>
            <w:r>
              <w:t>Demostrada</w:t>
            </w:r>
          </w:p>
        </w:tc>
      </w:tr>
      <w:tr>
        <w:tc>
          <w:tcPr>
            <w:tcW w:type="dxa" w:w="3288"/>
          </w:tcPr>
          <w:p>
            <w:r>
              <w:t>Registro y seguimiento</w:t>
            </w:r>
          </w:p>
        </w:tc>
        <w:tc>
          <w:tcPr>
            <w:tcW w:type="dxa" w:w="3288"/>
          </w:tcPr>
          <w:p>
            <w:r>
              <w:t>Crear RFQ, cambiar estado y agregar comentarios.</w:t>
            </w:r>
          </w:p>
        </w:tc>
        <w:tc>
          <w:tcPr>
            <w:tcW w:type="dxa" w:w="3288"/>
          </w:tcPr>
          <w:p>
            <w:r>
              <w:t>Demostrada</w:t>
            </w:r>
          </w:p>
        </w:tc>
      </w:tr>
      <w:tr>
        <w:tc>
          <w:tcPr>
            <w:tcW w:type="dxa" w:w="3288"/>
          </w:tcPr>
          <w:p>
            <w:r>
              <w:t>Detección automática de correo</w:t>
            </w:r>
          </w:p>
        </w:tc>
        <w:tc>
          <w:tcPr>
            <w:tcW w:type="dxa" w:w="3288"/>
          </w:tcPr>
          <w:p>
            <w:r>
              <w:t>Consultar buzón autorizado y proponer solicitudes nuevas.</w:t>
            </w:r>
          </w:p>
        </w:tc>
        <w:tc>
          <w:tcPr>
            <w:tcW w:type="dxa" w:w="3288"/>
          </w:tcPr>
          <w:p>
            <w:r>
              <w:t>Pendiente</w:t>
            </w:r>
          </w:p>
        </w:tc>
      </w:tr>
    </w:tbl>
    <w:p>
      <w:r>
        <w:rPr>
          <w:b/>
          <w:sz w:val="22"/>
        </w:rPr>
        <w:t>Módulo 2. Seguimiento de órdenes de compra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t>Funcionalidad</w:t>
            </w:r>
          </w:p>
        </w:tc>
        <w:tc>
          <w:tcPr>
            <w:tcW w:type="dxa" w:w="3288"/>
          </w:tcPr>
          <w:p>
            <w:r>
              <w:t>Descripción</w:t>
            </w:r>
          </w:p>
        </w:tc>
        <w:tc>
          <w:tcPr>
            <w:tcW w:type="dxa" w:w="3288"/>
          </w:tcPr>
          <w:p>
            <w:r>
              <w:t>Situación</w:t>
            </w:r>
          </w:p>
        </w:tc>
      </w:tr>
      <w:tr>
        <w:tc>
          <w:tcPr>
            <w:tcW w:type="dxa" w:w="3288"/>
          </w:tcPr>
          <w:p>
            <w:r>
              <w:t>Importación Oracle</w:t>
            </w:r>
          </w:p>
        </w:tc>
        <w:tc>
          <w:tcPr>
            <w:tcW w:type="dxa" w:w="3288"/>
          </w:tcPr>
          <w:p>
            <w:r>
              <w:t>Cargar archivo Excel con información de OC.</w:t>
            </w:r>
          </w:p>
        </w:tc>
        <w:tc>
          <w:tcPr>
            <w:tcW w:type="dxa" w:w="3288"/>
          </w:tcPr>
          <w:p>
            <w:r>
              <w:t>Demostrada con archivo de prueba</w:t>
            </w:r>
          </w:p>
        </w:tc>
      </w:tr>
      <w:tr>
        <w:tc>
          <w:tcPr>
            <w:tcW w:type="dxa" w:w="3288"/>
          </w:tcPr>
          <w:p>
            <w:r>
              <w:t>Consulta y filtros</w:t>
            </w:r>
          </w:p>
        </w:tc>
        <w:tc>
          <w:tcPr>
            <w:tcW w:type="dxa" w:w="3288"/>
          </w:tcPr>
          <w:p>
            <w:r>
              <w:t>Consultar órdenes, proveedores, compradores y plantas.</w:t>
            </w:r>
          </w:p>
        </w:tc>
        <w:tc>
          <w:tcPr>
            <w:tcW w:type="dxa" w:w="3288"/>
          </w:tcPr>
          <w:p>
            <w:r>
              <w:t>Demostrada parcialmente</w:t>
            </w:r>
          </w:p>
        </w:tc>
      </w:tr>
      <w:tr>
        <w:tc>
          <w:tcPr>
            <w:tcW w:type="dxa" w:w="3288"/>
          </w:tcPr>
          <w:p>
            <w:r>
              <w:t>Detalle e historial</w:t>
            </w:r>
          </w:p>
        </w:tc>
        <w:tc>
          <w:tcPr>
            <w:tcW w:type="dxa" w:w="3288"/>
          </w:tcPr>
          <w:p>
            <w:r>
              <w:t>Consultar líneas y registrar seguimientos.</w:t>
            </w:r>
          </w:p>
        </w:tc>
        <w:tc>
          <w:tcPr>
            <w:tcW w:type="dxa" w:w="3288"/>
          </w:tcPr>
          <w:p>
            <w:r>
              <w:t>Parcial; requiere correcciones</w:t>
            </w:r>
          </w:p>
        </w:tc>
      </w:tr>
      <w:tr>
        <w:tc>
          <w:tcPr>
            <w:tcW w:type="dxa" w:w="3288"/>
          </w:tcPr>
          <w:p>
            <w:r>
              <w:t>Correo de proveedores</w:t>
            </w:r>
          </w:p>
        </w:tc>
        <w:tc>
          <w:tcPr>
            <w:tcW w:type="dxa" w:w="3288"/>
          </w:tcPr>
          <w:p>
            <w:r>
              <w:t>Leer mensajes externos autorizados y proponer extracción.</w:t>
            </w:r>
          </w:p>
        </w:tc>
        <w:tc>
          <w:tcPr>
            <w:tcW w:type="dxa" w:w="3288"/>
          </w:tcPr>
          <w:p>
            <w:r>
              <w:t>Pendiente</w:t>
            </w:r>
          </w:p>
        </w:tc>
      </w:tr>
      <w:tr>
        <w:tc>
          <w:tcPr>
            <w:tcW w:type="dxa" w:w="3288"/>
          </w:tcPr>
          <w:p>
            <w:r>
              <w:t>Recordatorios</w:t>
            </w:r>
          </w:p>
        </w:tc>
        <w:tc>
          <w:tcPr>
            <w:tcW w:type="dxa" w:w="3288"/>
          </w:tcPr>
          <w:p>
            <w:r>
              <w:t>Proponer avisos tras 24 horas sin respuesta, sujeto a validación.</w:t>
            </w:r>
          </w:p>
        </w:tc>
        <w:tc>
          <w:tcPr>
            <w:tcW w:type="dxa" w:w="3288"/>
          </w:tcPr>
          <w:p>
            <w:r>
              <w:t>Propuesto</w:t>
            </w:r>
          </w:p>
        </w:tc>
      </w:tr>
    </w:tbl>
    <w:p>
      <w:pPr>
        <w:spacing w:after="0"/>
      </w:pPr>
      <w:r>
        <w:rPr>
          <w:b/>
          <w:sz w:val="24"/>
        </w:rPr>
        <w:t>▰</w:t>
      </w:r>
    </w:p>
    <w:p>
      <w:r>
        <w:rPr>
          <w:b/>
          <w:sz w:val="24"/>
        </w:rPr>
        <w:t>Procedimiento de usuario</w:t>
      </w:r>
    </w:p>
    <w:p>
      <w:r>
        <w:rPr>
          <w:b/>
          <w:sz w:val="22"/>
        </w:rPr>
        <w:t>A. RFQ CAPEX</w:t>
      </w:r>
    </w:p>
    <w:p>
      <w:r>
        <w:rPr>
          <w:b w:val="0"/>
          <w:sz w:val="20"/>
        </w:rPr>
        <w:t>1. Acceder a SupplyHub con una cuenta autorizada.</w:t>
      </w:r>
    </w:p>
    <w:p>
      <w:r>
        <w:rPr>
          <w:b w:val="0"/>
          <w:sz w:val="20"/>
        </w:rPr>
        <w:t>2. Abrir el módulo RFQ CAPEX y pegar el texto de la solicitud recibida.</w:t>
      </w:r>
    </w:p>
    <w:p>
      <w:r>
        <w:rPr>
          <w:b w:val="0"/>
          <w:sz w:val="20"/>
        </w:rPr>
        <w:t>3. Revisar los campos identificados y corregir información faltante o incorrecta.</w:t>
      </w:r>
    </w:p>
    <w:p>
      <w:r>
        <w:rPr>
          <w:b w:val="0"/>
          <w:sz w:val="20"/>
        </w:rPr>
        <w:t>4. Confirmar el registro y posteriormente actualizar estado, comentarios o motivos.</w:t>
      </w:r>
    </w:p>
    <w:p>
      <w:r>
        <w:rPr>
          <w:b/>
          <w:sz w:val="22"/>
        </w:rPr>
        <w:t>B. Seguimiento OC</w:t>
      </w:r>
    </w:p>
    <w:p>
      <w:r>
        <w:rPr>
          <w:b w:val="0"/>
          <w:sz w:val="20"/>
        </w:rPr>
        <w:t>1. Acceder al módulo Seguimiento OC.</w:t>
      </w:r>
    </w:p>
    <w:p>
      <w:r>
        <w:rPr>
          <w:b w:val="0"/>
          <w:sz w:val="20"/>
        </w:rPr>
        <w:t>2. Importar el reporte autorizado exportado desde Oracle.</w:t>
      </w:r>
    </w:p>
    <w:p>
      <w:r>
        <w:rPr>
          <w:b w:val="0"/>
          <w:sz w:val="20"/>
        </w:rPr>
        <w:t>3. Consultar órdenes mediante filtros por planta, proveedor o comprador.</w:t>
      </w:r>
    </w:p>
    <w:p>
      <w:r>
        <w:rPr>
          <w:b w:val="0"/>
          <w:sz w:val="20"/>
        </w:rPr>
        <w:t>4. Abrir una orden y registrar manualmente respuesta, fechas y comentarios.</w:t>
      </w:r>
    </w:p>
    <w:p>
      <w:r>
        <w:rPr>
          <w:b w:val="0"/>
          <w:sz w:val="20"/>
        </w:rPr>
        <w:t>5. Revisar propuestas de respuesta o recordatorio antes de cualquier envío.</w:t>
      </w:r>
    </w:p>
    <w:p>
      <w:r>
        <w:rPr>
          <w:b w:val="0"/>
          <w:sz w:val="18"/>
        </w:rPr>
        <w:t>Nota: algunos pasos describen el flujo objetivo y todavía no operan completamente en el prototipo.</w:t>
      </w:r>
    </w:p>
    <w:p>
      <w:pPr>
        <w:spacing w:after="0"/>
      </w:pPr>
      <w:r>
        <w:rPr>
          <w:b/>
          <w:sz w:val="24"/>
        </w:rPr>
        <w:t>▰</w:t>
      </w:r>
    </w:p>
    <w:p>
      <w:r>
        <w:rPr>
          <w:b/>
          <w:sz w:val="24"/>
        </w:rPr>
        <w:t>Reglas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</w:tcPr>
          <w:p>
            <w:r>
              <w:t>ID</w:t>
            </w:r>
          </w:p>
        </w:tc>
        <w:tc>
          <w:tcPr>
            <w:tcW w:type="dxa" w:w="4932"/>
          </w:tcPr>
          <w:p>
            <w:r>
              <w:t>Regla preliminar</w:t>
            </w:r>
          </w:p>
        </w:tc>
      </w:tr>
      <w:tr>
        <w:tc>
          <w:tcPr>
            <w:tcW w:type="dxa" w:w="4932"/>
          </w:tcPr>
          <w:p>
            <w:r>
              <w:t>RN-01</w:t>
            </w:r>
          </w:p>
        </w:tc>
        <w:tc>
          <w:tcPr>
            <w:tcW w:type="dxa" w:w="4932"/>
          </w:tcPr>
          <w:p>
            <w:r>
              <w:t>Los datos interpretados desde correos deben ser revisados por una persona antes de confirmarse.</w:t>
            </w:r>
          </w:p>
        </w:tc>
      </w:tr>
      <w:tr>
        <w:tc>
          <w:tcPr>
            <w:tcW w:type="dxa" w:w="4932"/>
          </w:tcPr>
          <w:p>
            <w:r>
              <w:t>RN-02</w:t>
            </w:r>
          </w:p>
        </w:tc>
        <w:tc>
          <w:tcPr>
            <w:tcW w:type="dxa" w:w="4932"/>
          </w:tcPr>
          <w:p>
            <w:r>
              <w:t>La importación repetida de reportes no debe generar duplicados indebidos.</w:t>
            </w:r>
          </w:p>
        </w:tc>
      </w:tr>
      <w:tr>
        <w:tc>
          <w:tcPr>
            <w:tcW w:type="dxa" w:w="4932"/>
          </w:tcPr>
          <w:p>
            <w:r>
              <w:t>RN-03</w:t>
            </w:r>
          </w:p>
        </w:tc>
        <w:tc>
          <w:tcPr>
            <w:tcW w:type="dxa" w:w="4932"/>
          </w:tcPr>
          <w:p>
            <w:r>
              <w:t>Cada seguimiento debe conservar referencia de orden, línea, fecha, comentario y responsable cuando corresponda.</w:t>
            </w:r>
          </w:p>
        </w:tc>
      </w:tr>
      <w:tr>
        <w:tc>
          <w:tcPr>
            <w:tcW w:type="dxa" w:w="4932"/>
          </w:tcPr>
          <w:p>
            <w:r>
              <w:t>RN-04</w:t>
            </w:r>
          </w:p>
        </w:tc>
        <w:tc>
          <w:tcPr>
            <w:tcW w:type="dxa" w:w="4932"/>
          </w:tcPr>
          <w:p>
            <w:r>
              <w:t>La consulta debe poder delimitarse por planta y comprador conforme a permisos autorizados.</w:t>
            </w:r>
          </w:p>
        </w:tc>
      </w:tr>
      <w:tr>
        <w:tc>
          <w:tcPr>
            <w:tcW w:type="dxa" w:w="4932"/>
          </w:tcPr>
          <w:p>
            <w:r>
              <w:t>RN-05</w:t>
            </w:r>
          </w:p>
        </w:tc>
        <w:tc>
          <w:tcPr>
            <w:tcW w:type="dxa" w:w="4932"/>
          </w:tcPr>
          <w:p>
            <w:r>
              <w:t>Las respuestas generadas no se enviarán automáticamente sin revisión y aprobación del usuario.</w:t>
            </w:r>
          </w:p>
        </w:tc>
      </w:tr>
      <w:tr>
        <w:tc>
          <w:tcPr>
            <w:tcW w:type="dxa" w:w="4932"/>
          </w:tcPr>
          <w:p>
            <w:r>
              <w:t>RN-06</w:t>
            </w:r>
          </w:p>
        </w:tc>
        <w:tc>
          <w:tcPr>
            <w:tcW w:type="dxa" w:w="4932"/>
          </w:tcPr>
          <w:p>
            <w:r>
              <w:t>El plazo de 24 horas para recordatorios es una propuesta pendiente de aprobación.</w:t>
            </w:r>
          </w:p>
        </w:tc>
      </w:tr>
      <w:tr>
        <w:tc>
          <w:tcPr>
            <w:tcW w:type="dxa" w:w="4932"/>
          </w:tcPr>
          <w:p>
            <w:r>
              <w:t>RN-07</w:t>
            </w:r>
          </w:p>
        </w:tc>
        <w:tc>
          <w:tcPr>
            <w:tcW w:type="dxa" w:w="4932"/>
          </w:tcPr>
          <w:p>
            <w:r>
              <w:t>El acceso a buzones y datos empresariales requiere autorización y credenciales protegidas.</w:t>
            </w:r>
          </w:p>
        </w:tc>
      </w:tr>
    </w:tbl>
    <w:p>
      <w:pPr>
        <w:spacing w:after="0"/>
      </w:pPr>
      <w:r>
        <w:rPr>
          <w:b/>
          <w:sz w:val="24"/>
        </w:rPr>
        <w:t>▰</w:t>
      </w:r>
    </w:p>
    <w:p>
      <w:r>
        <w:rPr>
          <w:b/>
          <w:sz w:val="24"/>
        </w:rPr>
        <w:t>Supuestos</w:t>
      </w:r>
    </w:p>
    <w:p>
      <w:r>
        <w:rPr>
          <w:b w:val="0"/>
          <w:sz w:val="20"/>
        </w:rPr>
        <w:t>• Oracle continúa como sistema origen de la información de órdenes de compra.</w:t>
      </w:r>
    </w:p>
    <w:p>
      <w:r>
        <w:rPr>
          <w:b w:val="0"/>
          <w:sz w:val="20"/>
        </w:rPr>
        <w:t>• Durante el prototipo, la integración se realiza mediante archivos Excel exportados.</w:t>
      </w:r>
    </w:p>
    <w:p>
      <w:r>
        <w:rPr>
          <w:b w:val="0"/>
          <w:sz w:val="20"/>
        </w:rPr>
        <w:t>• La conexión directa a Oracle y la autorización de Gmail API están sujetas a revisión corporativa.</w:t>
      </w:r>
    </w:p>
    <w:p>
      <w:r>
        <w:rPr>
          <w:b w:val="0"/>
          <w:sz w:val="20"/>
        </w:rPr>
        <w:t>• Los catálogos de estados, campos obligatorios y permisos no se consideran definitivos.</w:t>
      </w:r>
    </w:p>
    <w:p>
      <w:r>
        <w:rPr>
          <w:b w:val="0"/>
          <w:sz w:val="20"/>
        </w:rPr>
        <w:t>• El formato MD.050 original y sus requisitos internos deberán cotejarse con esta reconstrucción.</w:t>
      </w:r>
    </w:p>
    <w:p>
      <w:r>
        <w:rPr>
          <w:b w:val="0"/>
          <w:sz w:val="20"/>
        </w:rPr>
        <w:t>• El alcance final de SupplyHub requiere aprobación de Compras y responsables técnicos.</w:t>
      </w:r>
    </w:p>
    <w:p>
      <w:r>
        <w:rPr>
          <w:b/>
          <w:sz w:val="22"/>
        </w:rPr>
        <w:t>Pendientes de validación</w:t>
      </w:r>
    </w:p>
    <w:p>
      <w:r>
        <w:rPr>
          <w:b w:val="0"/>
          <w:sz w:val="20"/>
        </w:rPr>
        <w:t>Confirmar columnas exactas de archivos de Edith y Jacqueline, criterios de identificación de registros, estados oficiales, frecuencia de actualización, manejo de datos sensibles, reglas de recordatorios, permisos y criterios de aceptación.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MD.050 Diseño Funcional  •  SupplyHub  •  Borrador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Quimmco  |  MD.050 Diseño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