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omments.xml" ContentType="application/vnd.openxmlformats-officedocument.wordprocessingml.comments+xml"/>
  <Override PartName="/word/footer2.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commentsExtended.xml" ContentType="application/vnd.openxmlformats-officedocument.wordprocessingml.commentsExtended+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after="200" w:line="240" w:lineRule="auto"/>
        <w:ind w:firstLine="0"/>
        <w:jc w:val="left"/>
        <w:rPr/>
      </w:pPr>
      <w:r>
        <w:rPr>
          <w:rFonts w:ascii="Times New Roman" w:hAnsi="Times New Roman" w:eastAsia="Times New Roman" w:cs="Times New Roman"/>
          <w:b w:val="0"/>
          <w:bCs w:val="0"/>
          <w:i w:val="0"/>
          <w:iCs w:val="0"/>
          <w:sz w:val="20"/>
          <w:szCs w:val="20"/>
          <w:rtl w:val="0"/>
        </w:rPr>
        <w:t xml:space="preserve">Artículo Científico / Scientific Paper</w:t>
      </w:r>
      <w:r>
        <w:rPr>
          <w:rtl w:val="0"/>
        </w:rPr>
      </w:r>
      <w:r/>
    </w:p>
    <w:p w14:paraId="00000002">
      <w:pPr>
        <w:pBdr/>
        <w:spacing w:after="40" w:line="240" w:lineRule="auto"/>
        <w:ind w:firstLine="0"/>
        <w:jc w:val="center"/>
        <w:rPr/>
      </w:pPr>
      <w:r>
        <w:rPr>
          <w:smallCaps/>
          <w:sz w:val="36"/>
          <w:szCs w:val="36"/>
          <w:rtl w:val="0"/>
        </w:rPr>
        <w:t xml:space="preserve">ENSAIA: SISTEMA IOT CON INTELIGENCIA ARTIFICIAL PARA LA DETECCIÓN DE MULETILLAS Y MEJORA DE LA EXPRESIÓN ORAL</w:t>
      </w:r>
      <w:r>
        <w:rPr>
          <w:rtl w:val="0"/>
        </w:rPr>
      </w:r>
      <w:r/>
    </w:p>
    <w:p w14:paraId="00000003">
      <w:pPr>
        <w:pBdr/>
        <w:spacing w:after="160" w:line="240" w:lineRule="auto"/>
        <w:ind w:firstLine="0"/>
        <w:jc w:val="center"/>
        <w:rPr/>
      </w:pPr>
      <w:r>
        <w:rPr>
          <w:smallCaps/>
          <w:sz w:val="36"/>
          <w:szCs w:val="36"/>
          <w:rtl w:val="0"/>
        </w:rPr>
        <w:t xml:space="preserve">ENSAIA: IOT SYSTEM WITH ARTIFICIAL INTELLIGENCE FOR DETECTING FILLER WORDS AND IMPROVING ORAL EXPRESSION</w:t>
      </w:r>
      <w:r>
        <w:rPr>
          <w:rtl w:val="0"/>
        </w:rPr>
      </w:r>
      <w:r/>
    </w:p>
    <w:p w14:paraId="00000004">
      <w:pPr>
        <w:pBdr/>
        <w:spacing w:after="160" w:line="240" w:lineRule="auto"/>
        <w:ind w:firstLine="0"/>
        <w:jc w:val="center"/>
        <w:rPr>
          <w:sz w:val="20"/>
          <w:szCs w:val="20"/>
        </w:rPr>
      </w:pPr>
      <w:r>
        <w:rPr>
          <w:rFonts w:ascii="Times New Roman" w:hAnsi="Times New Roman" w:eastAsia="Times New Roman" w:cs="Times New Roman"/>
          <w:b w:val="0"/>
          <w:bCs w:val="0"/>
          <w:i w:val="0"/>
          <w:iCs w:val="0"/>
          <w:sz w:val="20"/>
          <w:szCs w:val="20"/>
          <w:rtl w:val="0"/>
        </w:rPr>
        <w:t xml:space="preserve"> </w:t>
      </w:r>
      <w:r>
        <w:rPr>
          <w:sz w:val="20"/>
          <w:szCs w:val="20"/>
          <w:rtl w:val="0"/>
        </w:rPr>
        <w:t xml:space="preserve">Gomez Rodríguez Adrián Fernando</w:t>
      </w:r>
      <w:r>
        <w:rPr>
          <w:rFonts w:ascii="Times New Roman" w:hAnsi="Times New Roman" w:eastAsia="Times New Roman" w:cs="Times New Roman"/>
          <w:b w:val="0"/>
          <w:bCs w:val="0"/>
          <w:i w:val="0"/>
          <w:iCs w:val="0"/>
          <w:sz w:val="20"/>
          <w:szCs w:val="20"/>
          <w:rtl w:val="0"/>
        </w:rPr>
        <w:t xml:space="preserve">¹, </w:t>
      </w:r>
      <w:r>
        <w:rPr>
          <w:sz w:val="20"/>
          <w:szCs w:val="20"/>
          <w:rtl w:val="0"/>
        </w:rPr>
        <w:t xml:space="preserve">Lucano Nieves David Adrián</w:t>
      </w:r>
      <w:r>
        <w:rPr>
          <w:rFonts w:ascii="Times New Roman" w:hAnsi="Times New Roman" w:eastAsia="Times New Roman" w:cs="Times New Roman"/>
          <w:b w:val="0"/>
          <w:bCs w:val="0"/>
          <w:i w:val="0"/>
          <w:iCs w:val="0"/>
          <w:sz w:val="20"/>
          <w:szCs w:val="20"/>
          <w:rtl w:val="0"/>
        </w:rPr>
        <w:t xml:space="preserve">¹, </w:t>
      </w:r>
      <w:r>
        <w:rPr>
          <w:sz w:val="20"/>
          <w:szCs w:val="20"/>
          <w:rtl w:val="0"/>
        </w:rPr>
        <w:t xml:space="preserve">Novoa Arce Bilton Junior</w:t>
      </w:r>
      <w:r>
        <w:rPr>
          <w:rFonts w:ascii="Times New Roman" w:hAnsi="Times New Roman" w:eastAsia="Times New Roman" w:cs="Times New Roman"/>
          <w:b w:val="0"/>
          <w:bCs w:val="0"/>
          <w:i w:val="0"/>
          <w:iCs w:val="0"/>
          <w:sz w:val="20"/>
          <w:szCs w:val="20"/>
          <w:rtl w:val="0"/>
        </w:rPr>
        <w:t xml:space="preserve">,</w:t>
      </w:r>
      <w:r>
        <w:rPr>
          <w:sz w:val="20"/>
          <w:szCs w:val="20"/>
          <w:rtl w:val="0"/>
        </w:rPr>
        <w:t xml:space="preserve"> </w:t>
      </w:r>
      <w:r>
        <w:rPr>
          <w:sz w:val="20"/>
          <w:szCs w:val="20"/>
        </w:rPr>
      </w:r>
    </w:p>
    <w:p w14:paraId="00000005">
      <w:pPr>
        <w:pBdr/>
        <w:spacing w:after="160" w:line="240" w:lineRule="auto"/>
        <w:ind w:firstLine="0"/>
        <w:jc w:val="center"/>
        <w:rPr/>
      </w:pPr>
      <w:r>
        <w:rPr>
          <w:sz w:val="20"/>
          <w:szCs w:val="20"/>
          <w:rtl w:val="0"/>
        </w:rPr>
        <w:t xml:space="preserve">Quezada Rodríguez Roberto Enrique¹</w:t>
      </w:r>
      <w:r>
        <w:rPr>
          <w:rFonts w:ascii="Times New Roman" w:hAnsi="Times New Roman" w:eastAsia="Times New Roman" w:cs="Times New Roman"/>
          <w:b w:val="0"/>
          <w:bCs w:val="0"/>
          <w:i w:val="0"/>
          <w:iCs w:val="0"/>
          <w:sz w:val="20"/>
          <w:szCs w:val="20"/>
          <w:rtl w:val="0"/>
        </w:rPr>
        <w:t xml:space="preserve">, </w:t>
      </w:r>
      <w:r>
        <w:rPr>
          <w:sz w:val="20"/>
          <w:szCs w:val="20"/>
          <w:rtl w:val="0"/>
        </w:rPr>
        <w:t xml:space="preserve">Velazquez Diaz Takeshy Jesús¹</w:t>
      </w:r>
      <w:r>
        <w:rPr>
          <w:rtl w:val="0"/>
        </w:rPr>
      </w:r>
      <w:r/>
    </w:p>
    <w:p w14:paraId="00000006">
      <w:pPr>
        <w:pBdr/>
        <w:spacing w:before="80"/>
        <w:ind/>
        <w:rPr/>
      </w:pPr>
      <w:r>
        <w:rPr>
          <w:rFonts w:ascii="Times New Roman" w:hAnsi="Times New Roman" w:eastAsia="Times New Roman" w:cs="Times New Roman"/>
          <w:b/>
          <w:bCs/>
          <w:i w:val="0"/>
          <w:iCs w:val="0"/>
          <w:sz w:val="26"/>
          <w:szCs w:val="26"/>
          <w:rtl w:val="0"/>
        </w:rPr>
        <w:t xml:space="preserve">Resumen</w:t>
      </w:r>
      <w:r>
        <w:rPr>
          <w:rtl w:val="0"/>
        </w:rPr>
      </w:r>
      <w:r/>
    </w:p>
    <w:p w14:paraId="00000007">
      <w:pPr>
        <w:pBdr/>
        <w:spacing w:after="60" w:line="240" w:lineRule="auto"/>
        <w:ind w:firstLine="0"/>
        <w:jc w:val="both"/>
        <w:rPr/>
      </w:pPr>
      <w:r>
        <w:rPr>
          <w:rtl w:val="0"/>
        </w:rPr>
      </w:r>
      <w:r/>
    </w:p>
    <w:p w14:paraId="00000008">
      <w:pPr>
        <w:pBdr/>
        <w:spacing w:after="60" w:line="240" w:lineRule="auto"/>
        <w:ind w:firstLine="0"/>
        <w:jc w:val="both"/>
        <w:rPr/>
      </w:pPr>
      <w:r>
        <w:rPr>
          <w:rtl w:val="0"/>
        </w:rPr>
      </w:r>
      <w:r/>
    </w:p>
    <w:p w14:paraId="00000009">
      <w:pPr>
        <w:pBdr/>
        <w:spacing/>
        <w:ind/>
        <w:jc w:val="both"/>
        <w:rPr/>
      </w:pPr>
      <w:r>
        <w:rPr>
          <w:rFonts w:ascii="Times New Roman" w:hAnsi="Times New Roman" w:eastAsia="Times New Roman" w:cs="Times New Roman"/>
          <w:b w:val="0"/>
          <w:bCs w:val="0"/>
          <w:i w:val="0"/>
          <w:iCs w:val="0"/>
          <w:sz w:val="24"/>
          <w:szCs w:val="24"/>
          <w:rtl w:val="0"/>
        </w:rPr>
        <w:t xml:space="preserve">Palabras clave: </w:t>
      </w:r>
      <w:r>
        <w:rPr>
          <w:rtl w:val="0"/>
        </w:rPr>
      </w:r>
      <w:r/>
    </w:p>
    <w:p w14:paraId="0000000A">
      <w:pPr>
        <w:pBdr/>
        <w:spacing/>
        <w:ind/>
        <w:jc w:val="both"/>
        <w:rPr/>
      </w:pPr>
      <w:r>
        <w:rPr>
          <w:rtl w:val="0"/>
        </w:rPr>
      </w:r>
      <w:r/>
    </w:p>
    <w:p w14:paraId="0000000B">
      <w:pPr>
        <w:pBdr/>
        <w:spacing w:before="80"/>
        <w:ind/>
        <w:rPr/>
      </w:pPr>
      <w:r>
        <w:rPr>
          <w:rFonts w:ascii="Times New Roman" w:hAnsi="Times New Roman" w:eastAsia="Times New Roman" w:cs="Times New Roman"/>
          <w:b/>
          <w:bCs/>
          <w:i w:val="0"/>
          <w:iCs w:val="0"/>
          <w:sz w:val="26"/>
          <w:szCs w:val="26"/>
          <w:rtl w:val="0"/>
        </w:rPr>
        <w:t xml:space="preserve">Abstract</w:t>
      </w:r>
      <w:r>
        <w:rPr>
          <w:rtl w:val="0"/>
        </w:rPr>
      </w:r>
      <w:r/>
    </w:p>
    <w:p w14:paraId="0000000C">
      <w:pPr>
        <w:pBdr/>
        <w:spacing w:after="60" w:line="240" w:lineRule="auto"/>
        <w:ind w:firstLine="0"/>
        <w:jc w:val="both"/>
        <w:rPr/>
      </w:pPr>
      <w:r>
        <w:rPr>
          <w:rtl w:val="0"/>
        </w:rPr>
      </w:r>
      <w:r/>
    </w:p>
    <w:p w14:paraId="0000000D">
      <w:pPr>
        <w:pBdr/>
        <w:spacing w:after="60" w:line="240" w:lineRule="auto"/>
        <w:ind w:firstLine="0"/>
        <w:jc w:val="both"/>
        <w:rPr/>
      </w:pPr>
      <w:r>
        <w:rPr>
          <w:rtl w:val="0"/>
        </w:rPr>
      </w:r>
      <w:r/>
    </w:p>
    <w:p w14:paraId="0000000E">
      <w:pPr>
        <w:pBdr/>
        <w:spacing/>
        <w:ind/>
        <w:jc w:val="both"/>
        <w:rPr/>
      </w:pPr>
      <w:r>
        <w:rPr>
          <w:rFonts w:ascii="Times New Roman" w:hAnsi="Times New Roman" w:eastAsia="Times New Roman" w:cs="Times New Roman"/>
          <w:b w:val="0"/>
          <w:bCs w:val="0"/>
          <w:i w:val="0"/>
          <w:iCs w:val="0"/>
          <w:sz w:val="24"/>
          <w:szCs w:val="24"/>
          <w:rtl w:val="0"/>
        </w:rPr>
        <w:t xml:space="preserve">Keywords: </w:t>
      </w:r>
      <w:r>
        <w:rPr>
          <w:rtl w:val="0"/>
        </w:rPr>
      </w:r>
      <w:r/>
    </w:p>
    <w:p w14:paraId="0000000F">
      <w:pPr>
        <w:pBdr/>
        <w:spacing/>
        <w:ind/>
        <w:jc w:val="both"/>
        <w:rPr/>
      </w:pPr>
      <w:r>
        <w:rPr>
          <w:rtl w:val="0"/>
        </w:rPr>
      </w:r>
      <w:r/>
    </w:p>
    <w:p w14:paraId="00000010">
      <w:pPr>
        <w:pBdr/>
        <w:spacing w:after="40" w:before="160" w:line="240" w:lineRule="auto"/>
        <w:ind w:firstLine="0"/>
        <w:jc w:val="left"/>
        <w:rPr/>
        <w:sectPr>
          <w:footerReference w:type="default" r:id="rId8"/>
          <w:footnotePr/>
          <w:endnotePr/>
          <w:type w:val="nextPage"/>
          <w:pgSz w:h="15874" w:orient="portrait" w:w="11906"/>
          <w:pgMar w:top="1417" w:right="1134" w:bottom="1417" w:left="1134" w:header="720" w:footer="720" w:gutter="0"/>
          <w:pgNumType w:start="1"/>
          <w:cols w:num="1" w:sep="0" w:space="1701" w:equalWidth="1"/>
          <w:titlePg/>
        </w:sectPr>
      </w:pPr>
      <w:r>
        <w:rPr>
          <w:rFonts w:ascii="Times New Roman" w:hAnsi="Times New Roman" w:eastAsia="Times New Roman" w:cs="Times New Roman"/>
          <w:b w:val="0"/>
          <w:bCs w:val="0"/>
          <w:i w:val="0"/>
          <w:iCs w:val="0"/>
          <w:sz w:val="18"/>
          <w:szCs w:val="18"/>
          <w:rtl w:val="0"/>
        </w:rPr>
        <w:t xml:space="preserve">¹ Escuela Profesional de Ingeniería de Sistemas, Universidad Nacional de Trujillo, Trujillo, Perú.</w:t>
      </w:r>
      <w:r>
        <w:rPr>
          <w:rtl w:val="0"/>
        </w:rPr>
      </w:r>
      <w:r/>
    </w:p>
    <w:p w14:paraId="00000011">
      <w:pPr>
        <w:keepNext w:val="true"/>
        <w:pBdr/>
        <w:spacing w:after="60" w:before="140"/>
        <w:ind/>
        <w:jc w:val="left"/>
        <w:rPr/>
      </w:pPr>
      <w:r>
        <w:rPr>
          <w:rFonts w:ascii="Times New Roman" w:hAnsi="Times New Roman" w:eastAsia="Times New Roman" w:cs="Times New Roman"/>
          <w:b/>
          <w:bCs/>
          <w:i w:val="0"/>
          <w:iCs w:val="0"/>
          <w:sz w:val="30"/>
          <w:szCs w:val="30"/>
          <w:rtl w:val="0"/>
        </w:rPr>
        <w:t xml:space="preserve">1. Introducción</w:t>
      </w:r>
      <w:r>
        <w:rPr>
          <w:rtl w:val="0"/>
        </w:rPr>
      </w:r>
      <w:r/>
    </w:p>
    <w:p w14:paraId="00000012">
      <w:pPr>
        <w:pBdr/>
        <w:spacing w:after="60" w:line="240" w:lineRule="auto"/>
        <w:ind w:firstLine="0"/>
        <w:jc w:val="both"/>
        <w:rPr/>
      </w:pPr>
      <w:r>
        <w:rPr>
          <w:rtl w:val="0"/>
        </w:rPr>
        <w:t xml:space="preserve">Las exposiciones orales</w:t>
      </w:r>
      <w:r>
        <w:rPr>
          <w:rtl w:val="0"/>
        </w:rPr>
        <w:t xml:space="preserve"> constituyen una actividad habitual en la formación universitaria y requieren oportunidades de práctica y retroalimentación para desarrollar habilidades comunicativas. Sin embargo, ofrecer orientación individualizada de manera continua puede resultar difíc</w:t>
      </w:r>
      <w:r>
        <w:rPr>
          <w:rtl w:val="0"/>
        </w:rPr>
        <w:t xml:space="preserve">il debido al tiempo disponible y a la atención que demanda evaluar cada intervención. Los entrenadores basados en inteligencia artificial (IA) ofrecen una alternativa para apoyar la práctica autónoma mediante observaciones sobre el ritmo, las expresiones u</w:t>
      </w:r>
      <w:r>
        <w:rPr>
          <w:rtl w:val="0"/>
        </w:rPr>
        <w:t xml:space="preserve">tilizadas y otros aspectos de la presentación. Su utilidad depende, entre otros factores, de que las recomendaciones sean comprensibles y consideren el contexto del discurso, limitaciones identificadas en experiencias educativas con estas herramientas [1].</w:t>
      </w:r>
      <w:r/>
    </w:p>
    <w:p w14:paraId="00000013">
      <w:pPr>
        <w:pBdr/>
        <w:spacing w:after="60" w:line="240" w:lineRule="auto"/>
        <w:ind w:firstLine="0"/>
        <w:jc w:val="both"/>
        <w:rPr/>
      </w:pPr>
      <w:r>
        <w:rPr>
          <w:rtl w:val="0"/>
        </w:rPr>
      </w:r>
      <w:r/>
    </w:p>
    <w:p w14:paraId="00000014">
      <w:pPr>
        <w:pBdr/>
        <w:spacing w:after="60" w:line="240" w:lineRule="auto"/>
        <w:ind w:firstLine="0"/>
        <w:jc w:val="both"/>
        <w:rPr/>
      </w:pPr>
      <w:r>
        <w:rPr>
          <w:rtl w:val="0"/>
        </w:rPr>
        <w:t xml:space="preserve">Entre los indicadores que pueden analizarse durante una exposición se encuentran la frecuencia de muletillas, las repeticiones, las </w:t>
      </w:r>
      <w:r>
        <w:rPr>
          <w:rtl w:val="0"/>
        </w:rPr>
        <w:t xml:space="preserve">pausas y la velocidad del habla. No obstante, su interpretación requiere evitar que toda disfluencia se considere automáticamente un defecto. Laske y DiGennaro Reed [2] encontraron que las tasas elevadas de sonidos de relleno perjudicaban la eficacia perci</w:t>
      </w:r>
      <w:r>
        <w:rPr>
          <w:rtl w:val="0"/>
        </w:rPr>
        <w:t xml:space="preserve">bida del orador, mientras que algunas frecuencias menores no producían ese efecto en las condiciones estudiadas. Este resultado permite justificar el seguimiento de dichos patrones, sin establecer su eliminación absoluta como criterio universal de calidad.</w:t>
      </w:r>
      <w:r/>
    </w:p>
    <w:p w14:paraId="00000015">
      <w:pPr>
        <w:pBdr/>
        <w:spacing w:after="60" w:line="240" w:lineRule="auto"/>
        <w:ind w:firstLine="0"/>
        <w:jc w:val="both"/>
        <w:rPr/>
      </w:pPr>
      <w:r>
        <w:rPr>
          <w:rtl w:val="0"/>
        </w:rPr>
      </w:r>
      <w:r/>
    </w:p>
    <w:p w14:paraId="00000016">
      <w:pPr>
        <w:pBdr/>
        <w:spacing w:after="60" w:line="240" w:lineRule="auto"/>
        <w:ind w:firstLine="0"/>
        <w:jc w:val="both"/>
        <w:rPr/>
      </w:pPr>
      <w:r>
        <w:rPr>
          <w:rtl w:val="0"/>
        </w:rPr>
        <w:t xml:space="preserve">La investigación reciente ha evaluado distintas formas de retroalimentación automatizada. Zheng et al. [3], en un estudio con 52 estudiant</w:t>
      </w:r>
      <w:r>
        <w:rPr>
          <w:rtl w:val="0"/>
        </w:rPr>
        <w:t xml:space="preserve">es, no encontraron diferencias significativas generales en competencia oral entre condiciones de evaluación automática y de pares, aunque esta última favoreció la participación social. Por su parte, Ayaz Yılmaz y Er [4] compararon retroalimentación de IA y</w:t>
      </w:r>
      <w:r>
        <w:rPr>
          <w:rtl w:val="0"/>
        </w:rPr>
        <w:t xml:space="preserve"> docente con 30 universitarios y observaron mejoras en ambos grupos, sin diferencias significativas entre sus puntuaciones finales de presentación. Asimismo, Sichterman et al. [5] no identificaron diferencias significativas entre retroalimentación exclusiv</w:t>
      </w:r>
      <w:r>
        <w:rPr>
          <w:rtl w:val="0"/>
        </w:rPr>
        <w:t xml:space="preserve">amente automática y acompañada por un docente en una experiencia con 60 participantes. Estos resultados muestran posibilidades de apoyo al aprendizaje, pero no demuestran una superioridad general de la IA ni equivalencia estadística entre las alternativas.</w:t>
      </w:r>
      <w:r/>
    </w:p>
    <w:p w14:paraId="00000017">
      <w:pPr>
        <w:pBdr/>
        <w:spacing w:after="60" w:line="240" w:lineRule="auto"/>
        <w:ind w:firstLine="0"/>
        <w:jc w:val="both"/>
        <w:rPr/>
      </w:pPr>
      <w:r>
        <w:rPr>
          <w:rtl w:val="0"/>
        </w:rPr>
      </w:r>
      <w:r/>
    </w:p>
    <w:p w14:paraId="00000018">
      <w:pPr>
        <w:pBdr/>
        <w:spacing w:after="60" w:line="240" w:lineRule="auto"/>
        <w:ind w:firstLine="0"/>
        <w:jc w:val="both"/>
        <w:rPr/>
      </w:pPr>
      <w:r>
        <w:rPr>
          <w:rtl w:val="0"/>
        </w:rPr>
        <w:t xml:space="preserve">El momento de entrega de las recomendaciones constituye otra decisión relevante. Chollet et al. [6] distinguieron los efectos de la retroalimentación inmediata de una audiencia virtual y los de un informe personalizado posterior</w:t>
      </w:r>
      <w:r>
        <w:rPr>
          <w:rtl w:val="0"/>
        </w:rPr>
        <w:t xml:space="preserve">: la primera favoreció la experiencia y la motivación, mientras que el segundo benefició dimensiones específicas del desempeño. Desde otro enfoque, Chiba et al. [7] desarrollaron un sistema de retorno auditivo con retraso adaptativo que permitió reducir la</w:t>
      </w:r>
      <w:r>
        <w:rPr>
          <w:rtl w:val="0"/>
        </w:rPr>
        <w:t xml:space="preserve"> velocidad cuando los usuarios hablaban rápidamente. Estas investigaciones evidencian que intervenir durante el discurso y orientar la reflexión posterior son estrategias diferentes, cuyos efectos deben examinarse según la modalidad de asistencia empleada.</w:t>
      </w:r>
      <w:r/>
    </w:p>
    <w:p w14:paraId="00000019">
      <w:pPr>
        <w:pBdr/>
        <w:spacing w:after="60" w:line="240" w:lineRule="auto"/>
        <w:ind w:firstLine="0"/>
        <w:jc w:val="both"/>
        <w:rPr/>
      </w:pPr>
      <w:r>
        <w:rPr>
          <w:rtl w:val="0"/>
        </w:rPr>
      </w:r>
      <w:r/>
    </w:p>
    <w:p w14:paraId="0000001A">
      <w:pPr>
        <w:pBdr/>
        <w:spacing w:after="60" w:line="240" w:lineRule="auto"/>
        <w:ind w:firstLine="0"/>
        <w:jc w:val="both"/>
        <w:rPr/>
      </w:pPr>
      <w:r>
        <w:rPr>
          <w:rtl w:val="0"/>
        </w:rPr>
        <w:t xml:space="preserve">Los modelos de lenguaje de gran tamaño (LLM) amplían las posibilidades de generar recomendaciones adaptadas al contenido y a las señales de la exposición. Cha</w:t>
      </w:r>
      <w:r>
        <w:rPr>
          <w:rtl w:val="0"/>
        </w:rPr>
        <w:t xml:space="preserve">ng et al. [8] evaluaron agentes de entrenamiento en realidad virtual con 120 participantes y observaron mayores reducciones de ansiedad autoinformada con orientación adaptativa. Sin embargo, sus recomendaciones se entregaron entre rondas y el estudio no in</w:t>
      </w:r>
      <w:r>
        <w:rPr>
          <w:rtl w:val="0"/>
        </w:rPr>
        <w:t xml:space="preserve">corporó calificaciones externas ciegas del desempeño oral. Por tanto, sus resultados sustentan el interés de la personalización mediante LLM, pero no permiten atribuirles directamente mejoras objetivas del habla ni eficacia durante una exposición en curso.</w:t>
      </w:r>
      <w:r/>
    </w:p>
    <w:p w14:paraId="0000001B">
      <w:pPr>
        <w:pBdr/>
        <w:spacing w:after="60" w:line="240" w:lineRule="auto"/>
        <w:ind w:firstLine="0"/>
        <w:jc w:val="both"/>
        <w:rPr/>
      </w:pPr>
      <w:r>
        <w:rPr>
          <w:rtl w:val="0"/>
        </w:rPr>
      </w:r>
      <w:r/>
    </w:p>
    <w:p w14:paraId="0000001C">
      <w:pPr>
        <w:pBdr/>
        <w:spacing w:after="60" w:line="240" w:lineRule="auto"/>
        <w:ind w:firstLine="0"/>
        <w:jc w:val="both"/>
        <w:rPr/>
      </w:pPr>
      <w:r>
        <w:rPr>
          <w:rtl w:val="0"/>
        </w:rPr>
        <w:t xml:space="preserve">Además de generar recomendaciones, un entrenador necesita medir adecuadamente los fenómenos que pret</w:t>
      </w:r>
      <w:r>
        <w:rPr>
          <w:rtl w:val="0"/>
        </w:rPr>
        <w:t xml:space="preserve">ende modificar. El reconocimiento automático del habla (ASR) puede producir transcripciones que conservan el mensaje, pero omiten disfluencias relevantes para evaluar la ejecución oral. Romana et al. [9] diferenciaron el reconocimiento del habla intenciona</w:t>
      </w:r>
      <w:r>
        <w:rPr>
          <w:rtl w:val="0"/>
        </w:rPr>
        <w:t xml:space="preserve">da de la detección de disfluencias y documentaron dificultades de generalización, especialmente para determinadas repeticiones. Asimismo, Wepner et al. [10] compararon transcripciones humanas y automáticas, pero excluyeron las partículas de relleno antes d</w:t>
      </w:r>
      <w:r>
        <w:rPr>
          <w:rtl w:val="0"/>
        </w:rPr>
        <w:t xml:space="preserve">e calcular la tasa de error de palabras. En consecuencia, una evaluación favorable de la transcripción no basta para acreditar la conservación de muletillas. Para este propósito se requiere contrastar las detecciones con el audio y con anotaciones humanas.</w:t>
      </w:r>
      <w:r/>
    </w:p>
    <w:p w14:paraId="0000001D">
      <w:pPr>
        <w:pBdr/>
        <w:spacing w:after="60" w:line="240" w:lineRule="auto"/>
        <w:ind w:firstLine="0"/>
        <w:jc w:val="both"/>
        <w:rPr/>
      </w:pPr>
      <w:r>
        <w:rPr>
          <w:rtl w:val="0"/>
        </w:rPr>
      </w:r>
      <w:r/>
    </w:p>
    <w:p w14:paraId="0000001E">
      <w:pPr>
        <w:pBdr/>
        <w:spacing w:after="60" w:line="240" w:lineRule="auto"/>
        <w:ind w:firstLine="0"/>
        <w:jc w:val="both"/>
        <w:rPr/>
      </w:pPr>
      <w:r>
        <w:rPr>
          <w:rtl w:val="0"/>
        </w:rPr>
        <w:t xml:space="preserve">En este contexto, se justifica estudiar una solución que articule retroalimentación durante la práctica, registro de evidencias y comparación del desempeño entre sesiones. La necesidad abordada consiste en evaluar esta integración en las</w:t>
      </w:r>
      <w:r>
        <w:rPr>
          <w:rtl w:val="0"/>
        </w:rPr>
        <w:t xml:space="preserve"> condiciones concretas de uso, considerando tanto el comportamiento técnico como la validez de los indicadores. La conservación del audio original y de los eventos de análisis permite revisar las observaciones automáticas y distinguir los cambios del usuar</w:t>
      </w:r>
      <w:r>
        <w:rPr>
          <w:rtl w:val="0"/>
        </w:rPr>
        <w:t xml:space="preserve">io de posibles omisiones del reconocedor. Desde esta perspectiva, la integración del Internet de las cosas (IoT) se plantea como parte de la implementación del sistema, cuya contribución debe examinarse junto con la utilidad de la asistencia proporcionada.</w:t>
      </w:r>
      <w:r/>
    </w:p>
    <w:p w14:paraId="0000001F">
      <w:pPr>
        <w:pBdr/>
        <w:spacing w:after="60" w:line="240" w:lineRule="auto"/>
        <w:ind w:firstLine="0"/>
        <w:jc w:val="both"/>
        <w:rPr/>
      </w:pPr>
      <w:r>
        <w:rPr>
          <w:rtl w:val="0"/>
        </w:rPr>
      </w:r>
      <w:r/>
    </w:p>
    <w:p w14:paraId="00000020">
      <w:pPr>
        <w:pBdr/>
        <w:spacing w:after="60" w:line="240" w:lineRule="auto"/>
        <w:ind w:firstLine="0"/>
        <w:jc w:val="both"/>
        <w:rPr/>
      </w:pPr>
      <w:r>
        <w:rPr>
          <w:rtl w:val="0"/>
        </w:rPr>
        <w:t xml:space="preserve">El objetivo de</w:t>
      </w:r>
      <w:r>
        <w:rPr>
          <w:rtl w:val="0"/>
        </w:rPr>
        <w:t xml:space="preserve"> este trabajo es diseñar y evaluar, con alcance exploratorio, un entrenador de oratoria basado en IoT e IA que proporcione retroalimentación durante la práctica y permita comparar indicadores entre sesiones Antes y Después. El prototipo integra captura de </w:t>
      </w:r>
      <w:r>
        <w:rPr>
          <w:rtl w:val="0"/>
        </w:rPr>
        <w:t xml:space="preserve">audio mediante un teléfono móvil, un servidor en una laptop, comunicación MQTT con un nodo ESP8266 y servicios de IA para transcripción y recomendaciones. El avance combina verificación técnica con lecturas repetidas de distintos guiones por un único parti</w:t>
      </w:r>
      <w:r>
        <w:rPr>
          <w:rtl w:val="0"/>
        </w:rPr>
        <w:t xml:space="preserve">cipante. La evaluación contempla muletillas por cada 100 palabras y por minuto, repeticiones, pausas y velocidad del habla. Las detecciones automáticas son candidatos sujetos a revisión humana; los ejercicios no se tratan como participantes independientes.</w:t>
      </w:r>
      <w:r/>
    </w:p>
    <w:p w14:paraId="00000021">
      <w:pPr>
        <w:pBdr/>
        <w:spacing w:after="60" w:line="240" w:lineRule="auto"/>
        <w:ind w:firstLine="0"/>
        <w:jc w:val="both"/>
        <w:rPr/>
      </w:pPr>
      <w:r>
        <w:rPr>
          <w:rtl w:val="0"/>
        </w:rPr>
      </w:r>
      <w:r/>
    </w:p>
    <w:p w14:paraId="00000022">
      <w:pPr>
        <w:keepNext w:val="true"/>
        <w:pBdr/>
        <w:spacing w:after="60" w:before="140"/>
        <w:ind/>
        <w:jc w:val="left"/>
        <w:rPr>
          <w:rFonts w:ascii="Times New Roman" w:hAnsi="Times New Roman" w:eastAsia="Times New Roman" w:cs="Times New Roman"/>
          <w:b/>
          <w:bCs/>
          <w:i w:val="0"/>
          <w:iCs w:val="0"/>
          <w:sz w:val="30"/>
          <w:szCs w:val="30"/>
        </w:rPr>
      </w:pPr>
      <w:r>
        <w:rPr>
          <w:rFonts w:ascii="Times New Roman" w:hAnsi="Times New Roman" w:eastAsia="Times New Roman" w:cs="Times New Roman"/>
          <w:b/>
          <w:bCs/>
          <w:i w:val="0"/>
          <w:iCs w:val="0"/>
          <w:sz w:val="30"/>
          <w:szCs w:val="30"/>
          <w:rtl w:val="0"/>
        </w:rPr>
        <w:t xml:space="preserve">2. Materiales y métodos</w:t>
      </w:r>
      <w:r>
        <w:rPr>
          <w:rFonts w:ascii="Times New Roman" w:hAnsi="Times New Roman" w:eastAsia="Times New Roman" w:cs="Times New Roman"/>
          <w:b/>
          <w:bCs/>
          <w:i w:val="0"/>
          <w:iCs w:val="0"/>
          <w:sz w:val="30"/>
          <w:szCs w:val="30"/>
        </w:rPr>
      </w:r>
    </w:p>
    <w:p>
      <w:pPr>
        <w:keepNext w:val="true"/>
        <w:widowControl w:val="true"/>
        <w:pBdr/>
        <w:spacing w:after="60" w:before="120"/>
        <w:ind/>
        <w:jc w:val="left"/>
        <w:rPr>
          <w:b/>
          <w:bCs/>
        </w:rPr>
      </w:pPr>
      <w:r>
        <w:rPr>
          <w:rFonts w:ascii="Times New Roman" w:hAnsi="Times New Roman" w:eastAsia="Times New Roman" w:cs="Times New Roman"/>
          <w:b/>
          <w:color w:val="000000"/>
          <w:sz w:val="24"/>
        </w:rPr>
        <w:t xml:space="preserve">2.1 Diseño y unidad de observación</w:t>
      </w:r>
      <w:r>
        <w:rPr>
          <w:b/>
          <w:bCs/>
        </w:rPr>
      </w:r>
    </w:p>
    <w:p>
      <w:pPr>
        <w:keepNext w:val="false"/>
        <w:widowControl w:val="true"/>
        <w:pBdr/>
        <w:spacing w:after="60" w:before="0" w:line="240" w:lineRule="auto"/>
        <w:ind w:firstLine="0"/>
        <w:jc w:val="both"/>
        <w:rPr/>
      </w:pPr>
      <w:r/>
      <w:commentRangeStart w:id="0"/>
      <w:r>
        <w:rPr>
          <w:rFonts w:ascii="Times New Roman" w:hAnsi="Times New Roman" w:eastAsia="Times New Roman" w:cs="Times New Roman"/>
          <w:b w:val="0"/>
          <w:color w:val="000000"/>
          <w:sz w:val="24"/>
        </w:rPr>
        <w:t xml:space="preserve">Se desarrolló un prototipo IoT de entrenamiento oral y se evaluó su funcionamiento con alcance exploratorio. Se distinguieron las pruebas controladas del software y de MQTT de la</w:t>
      </w:r>
      <w:r>
        <w:rPr>
          <w:rFonts w:ascii="Times New Roman" w:hAnsi="Times New Roman" w:eastAsia="Times New Roman" w:cs="Times New Roman"/>
          <w:b w:val="0"/>
          <w:color w:val="000000"/>
          <w:sz w:val="24"/>
        </w:rPr>
        <w:t xml:space="preserve">s grabaciones de voz humana. Estas últimas correspondieron a un solo participante, quien realizó lecturas repetidas de guiones identificados mediante D001–D010. El alcance es descriptivo e intraindividual; los códigos no representan sujetos independientes.</w:t>
      </w:r>
      <w:commentRangeEnd w:id="0"/>
      <w:r>
        <w:commentReference w:id="0"/>
      </w:r>
      <w:r/>
      <w:r/>
    </w:p>
    <w:p>
      <w:pPr>
        <w:keepNext w:val="true"/>
        <w:widowControl w:val="true"/>
        <w:pBdr/>
        <w:spacing w:after="60" w:before="120"/>
        <w:ind/>
        <w:jc w:val="left"/>
        <w:rPr>
          <w:b/>
          <w:bCs/>
        </w:rPr>
      </w:pPr>
      <w:r>
        <w:rPr>
          <w:rFonts w:ascii="Times New Roman" w:hAnsi="Times New Roman" w:eastAsia="Times New Roman" w:cs="Times New Roman"/>
          <w:b/>
          <w:color w:val="000000"/>
          <w:sz w:val="24"/>
        </w:rPr>
        <w:t xml:space="preserve">2.2 Materiales y arquitectura del sistema</w:t>
      </w:r>
      <w:r>
        <w:rPr>
          <w:b/>
          <w:bCs/>
        </w:rPr>
      </w:r>
    </w:p>
    <w:p>
      <w:pPr>
        <w:keepNext w:val="false"/>
        <w:widowControl w:val="true"/>
        <w:pBdr/>
        <w:spacing w:after="60" w:before="0" w:line="240" w:lineRule="auto"/>
        <w:ind w:firstLine="0"/>
        <w:jc w:val="both"/>
        <w:rPr/>
      </w:pPr>
      <w:r/>
      <w:commentRangeStart w:id="1"/>
      <w:r>
        <w:rPr>
          <w:rFonts w:ascii="Times New Roman" w:hAnsi="Times New Roman" w:eastAsia="Times New Roman" w:cs="Times New Roman"/>
          <w:b w:val="0"/>
          <w:color w:val="000000"/>
          <w:sz w:val="24"/>
        </w:rPr>
        <w:t xml:space="preserve">La arquitectura del prototipo integra un teléfono móvil como fuente de audio, una laptop como servidor y pasarela de IA, una red Wi-Fi y el ESP8266 d</w:t>
      </w:r>
      <w:r>
        <w:rPr>
          <w:rFonts w:ascii="Times New Roman" w:hAnsi="Times New Roman" w:eastAsia="Times New Roman" w:cs="Times New Roman"/>
          <w:b w:val="0"/>
          <w:color w:val="000000"/>
          <w:sz w:val="24"/>
        </w:rPr>
        <w:t xml:space="preserve">e una placa RobotDyn UNO+WiFi R3 con ATmega328P. El firmware se dirige al ESP8266; el ATmega328P no interviene en el procesamiento implementado. El micrófono INMP441 y un capturador ESP32 corresponden a una ampliación futura y no forman parte de esta fase.</w:t>
      </w:r>
      <w:commentRangeEnd w:id="1"/>
      <w:r>
        <w:commentReference w:id="1"/>
      </w:r>
      <w:r/>
      <w:r/>
    </w:p>
    <w:p>
      <w:pPr>
        <w:keepNext w:val="false"/>
        <w:widowControl w:val="true"/>
        <w:pBdr/>
        <w:spacing w:after="60" w:before="0" w:line="240" w:lineRule="auto"/>
        <w:ind w:firstLine="0"/>
        <w:jc w:val="both"/>
        <w:rPr/>
      </w:pPr>
      <w:r>
        <w:rPr>
          <w:rFonts w:ascii="Times New Roman" w:hAnsi="Times New Roman" w:eastAsia="Times New Roman" w:cs="Times New Roman"/>
          <w:b w:val="0"/>
          <w:color w:val="000000"/>
          <w:sz w:val="24"/>
        </w:rPr>
        <w:t xml:space="preserve">La aplicación utiliza Python, FastAPI y Uvicorn, una interfaz en HTML, CSS y JavaScript, Web Audio API y AudioWorklet. La mensajería emplea clientes Paho MQTT 2.1.0 y un broker EMQX</w:t>
      </w:r>
      <w:r>
        <w:rPr>
          <w:rFonts w:ascii="Times New Roman" w:hAnsi="Times New Roman" w:eastAsia="Times New Roman" w:cs="Times New Roman"/>
          <w:b w:val="0"/>
          <w:color w:val="000000"/>
          <w:sz w:val="24"/>
        </w:rPr>
        <w:t xml:space="preserve"> 6.3.2 ejecutado en Docker; AMQTT 0.11.3 se conserva como alternativa para pruebas. El firmware se implementó con ESP8266 Arduino Core 3.1.2, PubSubClient 2.8 y ArduinoJson 6.21.5. Las dependencias Python se fijaron en el archivo de versiones del proyecto.</w:t>
      </w:r>
      <w:r/>
    </w:p>
    <w:p>
      <w:pPr>
        <w:keepNext w:val="false"/>
        <w:widowControl w:val="true"/>
        <w:pBdr/>
        <w:spacing w:after="60" w:before="0" w:line="240" w:lineRule="auto"/>
        <w:ind w:firstLine="0"/>
        <w:jc w:val="both"/>
        <w:rPr/>
      </w:pPr>
      <w:r>
        <w:rPr>
          <w:rFonts w:ascii="Times New Roman" w:hAnsi="Times New Roman" w:eastAsia="Times New Roman" w:cs="Times New Roman"/>
          <w:b w:val="0"/>
          <w:color w:val="000000"/>
          <w:sz w:val="24"/>
        </w:rPr>
        <w:t xml:space="preserve">La laptop establece la conexión WebSocket cifrada con GPT-Live 1 y conserva la clave API. El ESP8266 retransmite audio y eventos por MQTT y p</w:t>
      </w:r>
      <w:r>
        <w:rPr>
          <w:rFonts w:ascii="Times New Roman" w:hAnsi="Times New Roman" w:eastAsia="Times New Roman" w:cs="Times New Roman"/>
          <w:b w:val="0"/>
          <w:color w:val="000000"/>
          <w:sz w:val="24"/>
        </w:rPr>
        <w:t xml:space="preserve">resenta consejos por puerto serie. La interfaz móvil muestra texto confirmado por el nodo y admite voz opcional. El acceso web usa HTTPS y token local; MQTT incorpora autenticación y permisos por tópicos en una red de laboratorio sin cifrado de transporte.</w:t>
      </w:r>
      <w:r/>
    </w:p>
    <w:p>
      <w:pPr>
        <w:keepNext w:val="true"/>
        <w:widowControl w:val="true"/>
        <w:pBdr/>
        <w:spacing w:after="60" w:before="120"/>
        <w:ind/>
        <w:jc w:val="left"/>
        <w:rPr>
          <w:b/>
          <w:bCs/>
        </w:rPr>
      </w:pPr>
      <w:r>
        <w:rPr>
          <w:rFonts w:ascii="Times New Roman" w:hAnsi="Times New Roman" w:eastAsia="Times New Roman" w:cs="Times New Roman"/>
          <w:b/>
          <w:color w:val="000000"/>
          <w:sz w:val="24"/>
        </w:rPr>
        <w:t xml:space="preserve">2.3 Captura y conservación de evidencias</w:t>
      </w:r>
      <w:r>
        <w:rPr>
          <w:b/>
          <w:bCs/>
        </w:rPr>
      </w:r>
    </w:p>
    <w:p>
      <w:pPr>
        <w:keepNext w:val="false"/>
        <w:widowControl w:val="true"/>
        <w:pBdr/>
        <w:spacing w:after="60" w:before="0" w:line="240" w:lineRule="auto"/>
        <w:ind w:firstLine="0"/>
        <w:jc w:val="both"/>
        <w:rPr/>
      </w:pPr>
      <w:r>
        <w:rPr>
          <w:rFonts w:ascii="Times New Roman" w:hAnsi="Times New Roman" w:eastAsia="Times New Roman" w:cs="Times New Roman"/>
          <w:b w:val="0"/>
          <w:color w:val="000000"/>
          <w:sz w:val="24"/>
        </w:rPr>
        <w:t xml:space="preserve">El navegador remuestrea la captura a PCM de 16 bits, mono y 16 kHz. El audio se divide en tramas de hasta 320 muestras, equivalentes a 20 ms, precedidas por una cabecera de 16</w:t>
      </w:r>
      <w:r>
        <w:rPr>
          <w:rFonts w:ascii="Times New Roman" w:hAnsi="Times New Roman" w:eastAsia="Times New Roman" w:cs="Times New Roman"/>
          <w:b w:val="0"/>
          <w:color w:val="000000"/>
          <w:sz w:val="24"/>
        </w:rPr>
        <w:t xml:space="preserve"> bytes con identificador de sesión, número de secuencia y desplazamiento acumulado de muestras. La laptop conserva la captura original, la publica al nodo y comprueba la secuencia y el contenido del audio retransmitido antes de enviarlo al proveedor de IA.</w:t>
      </w:r>
      <w:r/>
    </w:p>
    <w:p>
      <w:pPr>
        <w:keepNext w:val="false"/>
        <w:widowControl w:val="true"/>
        <w:pBdr/>
        <w:spacing w:after="60" w:before="0" w:line="240" w:lineRule="auto"/>
        <w:ind w:firstLine="0"/>
        <w:jc w:val="both"/>
        <w:rPr/>
      </w:pPr>
      <w:r>
        <w:rPr>
          <w:rFonts w:ascii="Times New Roman" w:hAnsi="Times New Roman" w:eastAsia="Times New Roman" w:cs="Times New Roman"/>
          <w:b w:val="0"/>
          <w:color w:val="000000"/>
          <w:sz w:val="24"/>
        </w:rPr>
        <w:t xml:space="preserve">Los canales de audio, control y eventos del relevo utilizan QoS 0. Los eventos textuales se persisten antes de publicarse y se reintentan hasta recibir su eco exacto desde el nodo; el identificador único evita duplicarlos. Las </w:t>
      </w:r>
      <w:r>
        <w:rPr>
          <w:rFonts w:ascii="Times New Roman" w:hAnsi="Times New Roman" w:eastAsia="Times New Roman" w:cs="Times New Roman"/>
          <w:b w:val="0"/>
          <w:color w:val="000000"/>
          <w:sz w:val="24"/>
        </w:rPr>
        <w:t xml:space="preserve">pérdidas de audio se registran como incidencias y los huecos internos detectados en el relevo se representan con silencio, conservando por separado el original. Esta estrategia distingue integridad del transporte, envío al proveedor y contenido reconocido.</w:t>
      </w:r>
      <w:r/>
    </w:p>
    <w:p>
      <w:pPr>
        <w:keepNext w:val="false"/>
        <w:widowControl w:val="true"/>
        <w:pBdr/>
        <w:spacing w:after="60" w:before="0" w:line="240" w:lineRule="auto"/>
        <w:ind w:firstLine="0"/>
        <w:jc w:val="both"/>
        <w:rPr/>
      </w:pPr>
      <w:r>
        <w:rPr>
          <w:rFonts w:ascii="Times New Roman" w:hAnsi="Times New Roman" w:eastAsia="Times New Roman" w:cs="Times New Roman"/>
          <w:b w:val="0"/>
          <w:color w:val="000000"/>
          <w:sz w:val="24"/>
        </w:rPr>
        <w:t xml:space="preserve">SQLite</w:t>
      </w:r>
      <w:r>
        <w:rPr>
          <w:rFonts w:ascii="Times New Roman" w:hAnsi="Times New Roman" w:eastAsia="Times New Roman" w:cs="Times New Roman"/>
          <w:b w:val="0"/>
          <w:color w:val="000000"/>
          <w:sz w:val="24"/>
        </w:rPr>
        <w:t xml:space="preserve"> vincula sesiones, eventos, anotaciones, evaluaciones y encuestas. Cada sesión conserva, cuando están disponibles, audio original y retransmitido en WAV, respuesta del proveedor, texto y eventos JSON/JSONL, indicadores y exportaciones CSV. Se registran ini</w:t>
      </w:r>
      <w:r>
        <w:rPr>
          <w:rFonts w:ascii="Times New Roman" w:hAnsi="Times New Roman" w:eastAsia="Times New Roman" w:cs="Times New Roman"/>
          <w:b w:val="0"/>
          <w:color w:val="000000"/>
          <w:sz w:val="24"/>
        </w:rPr>
        <w:t xml:space="preserve">cio y fin en UTC, etapa, condición de consejos, duración del audio, tiempo de sesión, pérdidas, duplicados, confirmaciones y estado de cierre. La duración del audio, no el tiempo de conexión, constituye el denominador temporal de los indicadores del habla.</w:t>
      </w:r>
      <w:r/>
    </w:p>
    <w:p>
      <w:pPr>
        <w:keepNext w:val="true"/>
        <w:widowControl w:val="true"/>
        <w:pBdr/>
        <w:spacing w:after="60" w:before="120"/>
        <w:ind/>
        <w:jc w:val="left"/>
        <w:rPr>
          <w:b/>
          <w:bCs/>
        </w:rPr>
      </w:pPr>
      <w:r>
        <w:rPr>
          <w:rFonts w:ascii="Times New Roman" w:hAnsi="Times New Roman" w:eastAsia="Times New Roman" w:cs="Times New Roman"/>
          <w:b/>
          <w:color w:val="000000"/>
          <w:sz w:val="24"/>
        </w:rPr>
        <w:t xml:space="preserve">2.4 Guiones de práctica</w:t>
      </w:r>
      <w:r>
        <w:rPr>
          <w:b/>
          <w:bCs/>
        </w:rPr>
      </w:r>
    </w:p>
    <w:p>
      <w:pPr>
        <w:keepNext w:val="false"/>
        <w:widowControl w:val="true"/>
        <w:pBdr/>
        <w:spacing w:after="60" w:before="0" w:line="240" w:lineRule="auto"/>
        <w:ind w:firstLine="0"/>
        <w:jc w:val="both"/>
        <w:rPr/>
      </w:pPr>
      <w:r>
        <w:rPr>
          <w:rFonts w:ascii="Times New Roman" w:hAnsi="Times New Roman" w:eastAsia="Times New Roman" w:cs="Times New Roman"/>
          <w:b w:val="0"/>
          <w:color w:val="000000"/>
          <w:sz w:val="24"/>
        </w:rPr>
        <w:t xml:space="preserve">El material de práctica consistió en diez guiones en español sobre cinco temas cotidianos</w:t>
      </w:r>
      <w:r>
        <w:rPr>
          <w:rFonts w:ascii="Times New Roman" w:hAnsi="Times New Roman" w:eastAsia="Times New Roman" w:cs="Times New Roman"/>
          <w:b w:val="0"/>
          <w:color w:val="000000"/>
          <w:sz w:val="24"/>
        </w:rPr>
        <w:t xml:space="preserve">, con dos versiones por tema. Su organización incluye presentación del asunto, idea central, ejemplo y conclusión. Las versiones se denominan A y B para distinguir su redacción; no se presupone equivalencia de dificultad. Los textos contienen entre 122 y 1</w:t>
      </w:r>
      <w:r>
        <w:rPr>
          <w:rFonts w:ascii="Times New Roman" w:hAnsi="Times New Roman" w:eastAsia="Times New Roman" w:cs="Times New Roman"/>
          <w:b w:val="0"/>
          <w:color w:val="000000"/>
          <w:sz w:val="24"/>
        </w:rPr>
        <w:t xml:space="preserve">40 palabras, contadas como grupos de letras Unicode, excluyendo títulos y etiquetas de conteo. La comparación textual con las transcripciones respalda la correspondencia de la Tabla 1 y el uso del mismo guion en las tomas Antes y Después de cada ejercicio.</w:t>
      </w:r>
      <w:r/>
    </w:p>
    <w:p>
      <w:pPr>
        <w:keepNext w:val="true"/>
        <w:widowControl w:val="true"/>
        <w:pBdr/>
        <w:spacing w:after="60" w:before="0" w:line="240" w:lineRule="auto"/>
        <w:ind w:firstLine="0"/>
        <w:jc w:val="both"/>
        <w:rPr/>
      </w:pPr>
      <w:r>
        <w:rPr>
          <w:rFonts w:ascii="Times New Roman" w:hAnsi="Times New Roman" w:eastAsia="Times New Roman" w:cs="Times New Roman"/>
          <w:b/>
          <w:color w:val="000000"/>
          <w:sz w:val="20"/>
        </w:rPr>
        <w:t xml:space="preserve">Tabla 1. Guiones y códigos de ejercicio</w:t>
      </w:r>
      <w:r/>
    </w:p>
    <w:tbl>
      <w:tblPr>
        <w:jc w:val="center"/>
        <w:tblW w:w="0" w:type="auto"/>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2131"/>
        <w:gridCol w:w="1238"/>
        <w:gridCol w:w="1238"/>
      </w:tblGrid>
      <w:tr>
        <w:trPr>
          <w:cantSplit/>
          <w:tblHeader/>
        </w:trPr>
        <w:tc>
          <w:tcPr>
            <w:shd w:val="clear" w:color="auto" w:fill="dce6f1"/>
            <w:tcBorders/>
            <w:tcMar>
              <w:left w:w="65" w:type="dxa"/>
              <w:top w:w="65" w:type="dxa"/>
              <w:right w:w="65" w:type="dxa"/>
              <w:bottom w:w="65" w:type="dxa"/>
            </w:tcMar>
            <w:tcW w:w="2131" w:type="dxa"/>
            <w:vAlign w:val="center"/>
          </w:tcPr>
          <w:p>
            <w:pPr>
              <w:pBdr/>
              <w:spacing w:after="20" w:before="20" w:line="240" w:lineRule="auto"/>
              <w:ind/>
              <w:jc w:val="left"/>
              <w:rPr/>
            </w:pPr>
            <w:r>
              <w:rPr>
                <w:rFonts w:ascii="Times New Roman" w:hAnsi="Times New Roman" w:eastAsia="Times New Roman" w:cs="Times New Roman"/>
                <w:b/>
                <w:color w:val="000000"/>
                <w:sz w:val="20"/>
              </w:rPr>
              <w:t xml:space="preserve">Tema</w:t>
            </w:r>
            <w:r/>
          </w:p>
        </w:tc>
        <w:tc>
          <w:tcPr>
            <w:shd w:val="clear" w:color="auto" w:fill="dce6f1"/>
            <w:tcBorders/>
            <w:tcMar>
              <w:left w:w="65" w:type="dxa"/>
              <w:top w:w="65" w:type="dxa"/>
              <w:right w:w="65" w:type="dxa"/>
              <w:bottom w:w="65" w:type="dxa"/>
            </w:tcMar>
            <w:tcW w:w="1238" w:type="dxa"/>
            <w:vAlign w:val="center"/>
          </w:tcPr>
          <w:p>
            <w:pPr>
              <w:pBdr/>
              <w:spacing w:after="20" w:before="20" w:line="240" w:lineRule="auto"/>
              <w:ind/>
              <w:jc w:val="center"/>
              <w:rPr/>
            </w:pPr>
            <w:r>
              <w:rPr>
                <w:rFonts w:ascii="Times New Roman" w:hAnsi="Times New Roman" w:eastAsia="Times New Roman" w:cs="Times New Roman"/>
                <w:b/>
                <w:color w:val="000000"/>
                <w:sz w:val="20"/>
              </w:rPr>
              <w:t xml:space="preserve">Versión A</w:t>
            </w:r>
            <w:r/>
          </w:p>
        </w:tc>
        <w:tc>
          <w:tcPr>
            <w:shd w:val="clear" w:color="auto" w:fill="dce6f1"/>
            <w:tcBorders/>
            <w:tcMar>
              <w:left w:w="65" w:type="dxa"/>
              <w:top w:w="65" w:type="dxa"/>
              <w:right w:w="65" w:type="dxa"/>
              <w:bottom w:w="65" w:type="dxa"/>
            </w:tcMar>
            <w:tcW w:w="1238" w:type="dxa"/>
            <w:vAlign w:val="center"/>
          </w:tcPr>
          <w:p>
            <w:pPr>
              <w:pBdr/>
              <w:spacing w:after="20" w:before="20" w:line="240" w:lineRule="auto"/>
              <w:ind/>
              <w:jc w:val="center"/>
              <w:rPr/>
            </w:pPr>
            <w:r>
              <w:rPr>
                <w:rFonts w:ascii="Times New Roman" w:hAnsi="Times New Roman" w:eastAsia="Times New Roman" w:cs="Times New Roman"/>
                <w:b/>
                <w:color w:val="000000"/>
                <w:sz w:val="20"/>
              </w:rPr>
              <w:t xml:space="preserve">Versión B</w:t>
            </w:r>
            <w:r/>
          </w:p>
        </w:tc>
      </w:tr>
      <w:tr>
        <w:trPr>
          <w:cantSplit/>
        </w:trPr>
        <w:tc>
          <w:tcPr>
            <w:tcBorders/>
            <w:tcMar>
              <w:left w:w="65" w:type="dxa"/>
              <w:top w:w="65" w:type="dxa"/>
              <w:right w:w="65" w:type="dxa"/>
              <w:bottom w:w="65" w:type="dxa"/>
            </w:tcMar>
            <w:tcW w:w="2131" w:type="dxa"/>
            <w:vAlign w:val="center"/>
          </w:tcPr>
          <w:p>
            <w:pPr>
              <w:pBdr/>
              <w:spacing w:after="20" w:before="20" w:line="240" w:lineRule="auto"/>
              <w:ind/>
              <w:jc w:val="left"/>
              <w:rPr/>
            </w:pPr>
            <w:r>
              <w:rPr>
                <w:rFonts w:ascii="Times New Roman" w:hAnsi="Times New Roman" w:eastAsia="Times New Roman" w:cs="Times New Roman"/>
                <w:b w:val="0"/>
                <w:color w:val="000000"/>
                <w:sz w:val="20"/>
              </w:rPr>
              <w:t xml:space="preserve">Organización del tiempo</w:t>
            </w:r>
            <w:r/>
          </w:p>
        </w:tc>
        <w:tc>
          <w:tcPr>
            <w:tcBorders/>
            <w:tcMar>
              <w:left w:w="65" w:type="dxa"/>
              <w:top w:w="65" w:type="dxa"/>
              <w:right w:w="65" w:type="dxa"/>
              <w:bottom w:w="65" w:type="dxa"/>
            </w:tcMar>
            <w:tcW w:w="1238" w:type="dxa"/>
            <w:vAlign w:val="center"/>
          </w:tcPr>
          <w:p>
            <w:pPr>
              <w:pBdr/>
              <w:spacing w:after="20" w:before="20" w:line="240" w:lineRule="auto"/>
              <w:ind/>
              <w:jc w:val="center"/>
              <w:rPr/>
            </w:pPr>
            <w:r>
              <w:rPr>
                <w:rFonts w:ascii="Times New Roman" w:hAnsi="Times New Roman" w:eastAsia="Times New Roman" w:cs="Times New Roman"/>
                <w:b w:val="0"/>
                <w:color w:val="000000"/>
                <w:sz w:val="20"/>
              </w:rPr>
              <w:t xml:space="preserve">D001 · 134</w:t>
            </w:r>
            <w:r/>
          </w:p>
        </w:tc>
        <w:tc>
          <w:tcPr>
            <w:tcBorders/>
            <w:tcMar>
              <w:left w:w="65" w:type="dxa"/>
              <w:top w:w="65" w:type="dxa"/>
              <w:right w:w="65" w:type="dxa"/>
              <w:bottom w:w="65" w:type="dxa"/>
            </w:tcMar>
            <w:tcW w:w="1238" w:type="dxa"/>
            <w:vAlign w:val="center"/>
          </w:tcPr>
          <w:p>
            <w:pPr>
              <w:pBdr/>
              <w:spacing w:after="20" w:before="20" w:line="240" w:lineRule="auto"/>
              <w:ind/>
              <w:jc w:val="center"/>
              <w:rPr/>
            </w:pPr>
            <w:r>
              <w:rPr>
                <w:rFonts w:ascii="Times New Roman" w:hAnsi="Times New Roman" w:eastAsia="Times New Roman" w:cs="Times New Roman"/>
                <w:b w:val="0"/>
                <w:color w:val="000000"/>
                <w:sz w:val="20"/>
              </w:rPr>
              <w:t xml:space="preserve">D006 · 131</w:t>
            </w:r>
            <w:r/>
          </w:p>
        </w:tc>
      </w:tr>
      <w:tr>
        <w:trPr>
          <w:cantSplit/>
        </w:trPr>
        <w:tc>
          <w:tcPr>
            <w:tcBorders/>
            <w:tcMar>
              <w:left w:w="65" w:type="dxa"/>
              <w:top w:w="65" w:type="dxa"/>
              <w:right w:w="65" w:type="dxa"/>
              <w:bottom w:w="65" w:type="dxa"/>
            </w:tcMar>
            <w:tcW w:w="2131" w:type="dxa"/>
            <w:vAlign w:val="center"/>
          </w:tcPr>
          <w:p>
            <w:pPr>
              <w:pBdr/>
              <w:spacing w:after="20" w:before="20" w:line="240" w:lineRule="auto"/>
              <w:ind/>
              <w:jc w:val="left"/>
              <w:rPr/>
            </w:pPr>
            <w:r>
              <w:rPr>
                <w:rFonts w:ascii="Times New Roman" w:hAnsi="Times New Roman" w:eastAsia="Times New Roman" w:cs="Times New Roman"/>
                <w:b w:val="0"/>
                <w:color w:val="000000"/>
                <w:sz w:val="20"/>
              </w:rPr>
              <w:t xml:space="preserve">Aprendizaje de los errores</w:t>
            </w:r>
            <w:r/>
          </w:p>
        </w:tc>
        <w:tc>
          <w:tcPr>
            <w:tcBorders/>
            <w:tcMar>
              <w:left w:w="65" w:type="dxa"/>
              <w:top w:w="65" w:type="dxa"/>
              <w:right w:w="65" w:type="dxa"/>
              <w:bottom w:w="65" w:type="dxa"/>
            </w:tcMar>
            <w:tcW w:w="1238" w:type="dxa"/>
            <w:vAlign w:val="center"/>
          </w:tcPr>
          <w:p>
            <w:pPr>
              <w:pBdr/>
              <w:spacing w:after="20" w:before="20" w:line="240" w:lineRule="auto"/>
              <w:ind/>
              <w:jc w:val="center"/>
              <w:rPr/>
            </w:pPr>
            <w:r>
              <w:rPr>
                <w:rFonts w:ascii="Times New Roman" w:hAnsi="Times New Roman" w:eastAsia="Times New Roman" w:cs="Times New Roman"/>
                <w:b w:val="0"/>
                <w:color w:val="000000"/>
                <w:sz w:val="20"/>
              </w:rPr>
              <w:t xml:space="preserve">D002 · 122</w:t>
            </w:r>
            <w:r/>
          </w:p>
        </w:tc>
        <w:tc>
          <w:tcPr>
            <w:tcBorders/>
            <w:tcMar>
              <w:left w:w="65" w:type="dxa"/>
              <w:top w:w="65" w:type="dxa"/>
              <w:right w:w="65" w:type="dxa"/>
              <w:bottom w:w="65" w:type="dxa"/>
            </w:tcMar>
            <w:tcW w:w="1238" w:type="dxa"/>
            <w:vAlign w:val="center"/>
          </w:tcPr>
          <w:p>
            <w:pPr>
              <w:pBdr/>
              <w:spacing w:after="20" w:before="20" w:line="240" w:lineRule="auto"/>
              <w:ind/>
              <w:jc w:val="center"/>
              <w:rPr/>
            </w:pPr>
            <w:r>
              <w:rPr>
                <w:rFonts w:ascii="Times New Roman" w:hAnsi="Times New Roman" w:eastAsia="Times New Roman" w:cs="Times New Roman"/>
                <w:b w:val="0"/>
                <w:color w:val="000000"/>
                <w:sz w:val="20"/>
              </w:rPr>
              <w:t xml:space="preserve">D007 · 134</w:t>
            </w:r>
            <w:r/>
          </w:p>
        </w:tc>
      </w:tr>
      <w:tr>
        <w:trPr>
          <w:cantSplit/>
        </w:trPr>
        <w:tc>
          <w:tcPr>
            <w:tcBorders/>
            <w:tcMar>
              <w:left w:w="65" w:type="dxa"/>
              <w:top w:w="65" w:type="dxa"/>
              <w:right w:w="65" w:type="dxa"/>
              <w:bottom w:w="65" w:type="dxa"/>
            </w:tcMar>
            <w:tcW w:w="2131" w:type="dxa"/>
            <w:vAlign w:val="center"/>
          </w:tcPr>
          <w:p>
            <w:pPr>
              <w:pBdr/>
              <w:spacing w:after="20" w:before="20" w:line="240" w:lineRule="auto"/>
              <w:ind/>
              <w:jc w:val="left"/>
              <w:rPr/>
            </w:pPr>
            <w:r>
              <w:rPr>
                <w:rFonts w:ascii="Times New Roman" w:hAnsi="Times New Roman" w:eastAsia="Times New Roman" w:cs="Times New Roman"/>
                <w:b w:val="0"/>
                <w:color w:val="000000"/>
                <w:sz w:val="20"/>
              </w:rPr>
              <w:t xml:space="preserve">Redes sociales</w:t>
            </w:r>
            <w:r/>
          </w:p>
        </w:tc>
        <w:tc>
          <w:tcPr>
            <w:tcBorders/>
            <w:tcMar>
              <w:left w:w="65" w:type="dxa"/>
              <w:top w:w="65" w:type="dxa"/>
              <w:right w:w="65" w:type="dxa"/>
              <w:bottom w:w="65" w:type="dxa"/>
            </w:tcMar>
            <w:tcW w:w="1238" w:type="dxa"/>
            <w:vAlign w:val="center"/>
          </w:tcPr>
          <w:p>
            <w:pPr>
              <w:pBdr/>
              <w:spacing w:after="20" w:before="20" w:line="240" w:lineRule="auto"/>
              <w:ind/>
              <w:jc w:val="center"/>
              <w:rPr/>
            </w:pPr>
            <w:r>
              <w:rPr>
                <w:rFonts w:ascii="Times New Roman" w:hAnsi="Times New Roman" w:eastAsia="Times New Roman" w:cs="Times New Roman"/>
                <w:b w:val="0"/>
                <w:color w:val="000000"/>
                <w:sz w:val="20"/>
              </w:rPr>
              <w:t xml:space="preserve">D003 · 136</w:t>
            </w:r>
            <w:r/>
          </w:p>
        </w:tc>
        <w:tc>
          <w:tcPr>
            <w:tcBorders/>
            <w:tcMar>
              <w:left w:w="65" w:type="dxa"/>
              <w:top w:w="65" w:type="dxa"/>
              <w:right w:w="65" w:type="dxa"/>
              <w:bottom w:w="65" w:type="dxa"/>
            </w:tcMar>
            <w:tcW w:w="1238" w:type="dxa"/>
            <w:vAlign w:val="center"/>
          </w:tcPr>
          <w:p>
            <w:pPr>
              <w:pBdr/>
              <w:spacing w:after="20" w:before="20" w:line="240" w:lineRule="auto"/>
              <w:ind/>
              <w:jc w:val="center"/>
              <w:rPr/>
            </w:pPr>
            <w:r>
              <w:rPr>
                <w:rFonts w:ascii="Times New Roman" w:hAnsi="Times New Roman" w:eastAsia="Times New Roman" w:cs="Times New Roman"/>
                <w:b w:val="0"/>
                <w:color w:val="000000"/>
                <w:sz w:val="20"/>
              </w:rPr>
              <w:t xml:space="preserve">D008 · 140</w:t>
            </w:r>
            <w:r/>
          </w:p>
        </w:tc>
      </w:tr>
      <w:tr>
        <w:trPr>
          <w:cantSplit/>
        </w:trPr>
        <w:tc>
          <w:tcPr>
            <w:tcBorders/>
            <w:tcMar>
              <w:left w:w="65" w:type="dxa"/>
              <w:top w:w="65" w:type="dxa"/>
              <w:right w:w="65" w:type="dxa"/>
              <w:bottom w:w="65" w:type="dxa"/>
            </w:tcMar>
            <w:tcW w:w="2131" w:type="dxa"/>
            <w:vAlign w:val="center"/>
          </w:tcPr>
          <w:p>
            <w:pPr>
              <w:pBdr/>
              <w:spacing w:after="20" w:before="20" w:line="240" w:lineRule="auto"/>
              <w:ind/>
              <w:jc w:val="left"/>
              <w:rPr/>
            </w:pPr>
            <w:r>
              <w:rPr>
                <w:rFonts w:ascii="Times New Roman" w:hAnsi="Times New Roman" w:eastAsia="Times New Roman" w:cs="Times New Roman"/>
                <w:b w:val="0"/>
                <w:color w:val="000000"/>
                <w:sz w:val="20"/>
              </w:rPr>
              <w:t xml:space="preserve">Trabajo en equipo</w:t>
            </w:r>
            <w:r/>
          </w:p>
        </w:tc>
        <w:tc>
          <w:tcPr>
            <w:tcBorders/>
            <w:tcMar>
              <w:left w:w="65" w:type="dxa"/>
              <w:top w:w="65" w:type="dxa"/>
              <w:right w:w="65" w:type="dxa"/>
              <w:bottom w:w="65" w:type="dxa"/>
            </w:tcMar>
            <w:tcW w:w="1238" w:type="dxa"/>
            <w:vAlign w:val="center"/>
          </w:tcPr>
          <w:p>
            <w:pPr>
              <w:pBdr/>
              <w:spacing w:after="20" w:before="20" w:line="240" w:lineRule="auto"/>
              <w:ind/>
              <w:jc w:val="center"/>
              <w:rPr/>
            </w:pPr>
            <w:r>
              <w:rPr>
                <w:rFonts w:ascii="Times New Roman" w:hAnsi="Times New Roman" w:eastAsia="Times New Roman" w:cs="Times New Roman"/>
                <w:b w:val="0"/>
                <w:color w:val="000000"/>
                <w:sz w:val="20"/>
              </w:rPr>
              <w:t xml:space="preserve">D004 · 135</w:t>
            </w:r>
            <w:r/>
          </w:p>
        </w:tc>
        <w:tc>
          <w:tcPr>
            <w:tcBorders/>
            <w:tcMar>
              <w:left w:w="65" w:type="dxa"/>
              <w:top w:w="65" w:type="dxa"/>
              <w:right w:w="65" w:type="dxa"/>
              <w:bottom w:w="65" w:type="dxa"/>
            </w:tcMar>
            <w:tcW w:w="1238" w:type="dxa"/>
            <w:vAlign w:val="center"/>
          </w:tcPr>
          <w:p>
            <w:pPr>
              <w:pBdr/>
              <w:spacing w:after="20" w:before="20" w:line="240" w:lineRule="auto"/>
              <w:ind/>
              <w:jc w:val="center"/>
              <w:rPr/>
            </w:pPr>
            <w:r>
              <w:rPr>
                <w:rFonts w:ascii="Times New Roman" w:hAnsi="Times New Roman" w:eastAsia="Times New Roman" w:cs="Times New Roman"/>
                <w:b w:val="0"/>
                <w:color w:val="000000"/>
                <w:sz w:val="20"/>
              </w:rPr>
              <w:t xml:space="preserve">D009 · 140</w:t>
            </w:r>
            <w:r/>
          </w:p>
        </w:tc>
      </w:tr>
      <w:tr>
        <w:trPr>
          <w:cantSplit/>
        </w:trPr>
        <w:tc>
          <w:tcPr>
            <w:tcBorders/>
            <w:tcMar>
              <w:left w:w="65" w:type="dxa"/>
              <w:top w:w="65" w:type="dxa"/>
              <w:right w:w="65" w:type="dxa"/>
              <w:bottom w:w="65" w:type="dxa"/>
            </w:tcMar>
            <w:tcW w:w="2131" w:type="dxa"/>
            <w:vAlign w:val="center"/>
          </w:tcPr>
          <w:p>
            <w:pPr>
              <w:pBdr/>
              <w:spacing w:after="20" w:before="20" w:line="240" w:lineRule="auto"/>
              <w:ind/>
              <w:jc w:val="left"/>
              <w:rPr/>
            </w:pPr>
            <w:r>
              <w:rPr>
                <w:rFonts w:ascii="Times New Roman" w:hAnsi="Times New Roman" w:eastAsia="Times New Roman" w:cs="Times New Roman"/>
                <w:b w:val="0"/>
                <w:color w:val="000000"/>
                <w:sz w:val="20"/>
              </w:rPr>
              <w:t xml:space="preserve">Pequeños hábitos</w:t>
            </w:r>
            <w:r/>
          </w:p>
        </w:tc>
        <w:tc>
          <w:tcPr>
            <w:tcBorders/>
            <w:tcMar>
              <w:left w:w="65" w:type="dxa"/>
              <w:top w:w="65" w:type="dxa"/>
              <w:right w:w="65" w:type="dxa"/>
              <w:bottom w:w="65" w:type="dxa"/>
            </w:tcMar>
            <w:tcW w:w="1238" w:type="dxa"/>
            <w:vAlign w:val="center"/>
          </w:tcPr>
          <w:p>
            <w:pPr>
              <w:pBdr/>
              <w:spacing w:after="20" w:before="20" w:line="240" w:lineRule="auto"/>
              <w:ind/>
              <w:jc w:val="center"/>
              <w:rPr/>
            </w:pPr>
            <w:r>
              <w:rPr>
                <w:rFonts w:ascii="Times New Roman" w:hAnsi="Times New Roman" w:eastAsia="Times New Roman" w:cs="Times New Roman"/>
                <w:b w:val="0"/>
                <w:color w:val="000000"/>
                <w:sz w:val="20"/>
              </w:rPr>
              <w:t xml:space="preserve">D005 · 137</w:t>
            </w:r>
            <w:r/>
          </w:p>
        </w:tc>
        <w:tc>
          <w:tcPr>
            <w:tcBorders/>
            <w:tcMar>
              <w:left w:w="65" w:type="dxa"/>
              <w:top w:w="65" w:type="dxa"/>
              <w:right w:w="65" w:type="dxa"/>
              <w:bottom w:w="65" w:type="dxa"/>
            </w:tcMar>
            <w:tcW w:w="1238" w:type="dxa"/>
            <w:vAlign w:val="center"/>
          </w:tcPr>
          <w:p>
            <w:pPr>
              <w:pBdr/>
              <w:spacing w:after="20" w:before="20" w:line="240" w:lineRule="auto"/>
              <w:ind/>
              <w:jc w:val="center"/>
              <w:rPr/>
            </w:pPr>
            <w:r>
              <w:rPr>
                <w:rFonts w:ascii="Times New Roman" w:hAnsi="Times New Roman" w:eastAsia="Times New Roman" w:cs="Times New Roman"/>
                <w:b w:val="0"/>
                <w:color w:val="000000"/>
                <w:sz w:val="20"/>
              </w:rPr>
              <w:t xml:space="preserve">D010 · 129</w:t>
            </w:r>
            <w:r/>
          </w:p>
        </w:tc>
      </w:tr>
    </w:tbl>
    <w:p>
      <w:pPr>
        <w:keepNext w:val="false"/>
        <w:widowControl w:val="true"/>
        <w:pBdr/>
        <w:spacing w:after="60" w:before="0" w:line="240" w:lineRule="auto"/>
        <w:ind w:firstLine="0"/>
        <w:jc w:val="both"/>
        <w:rPr/>
      </w:pPr>
      <w:r>
        <w:rPr>
          <w:rFonts w:ascii="Times New Roman" w:hAnsi="Times New Roman" w:eastAsia="Times New Roman" w:cs="Times New Roman"/>
          <w:b w:val="0"/>
          <w:color w:val="000000"/>
          <w:sz w:val="20"/>
        </w:rPr>
        <w:t xml:space="preserve">Nota. Cada celda de versión indica código y número de palabras del guion; este conteo no sustituye las palabras efectivamente pronunciadas.</w:t>
      </w:r>
      <w:r/>
    </w:p>
    <w:p>
      <w:pPr>
        <w:keepNext w:val="true"/>
        <w:widowControl w:val="true"/>
        <w:pBdr/>
        <w:spacing w:after="60" w:before="120"/>
        <w:ind/>
        <w:jc w:val="left"/>
        <w:rPr>
          <w:b/>
          <w:bCs/>
        </w:rPr>
      </w:pPr>
      <w:r>
        <w:rPr>
          <w:rFonts w:ascii="Times New Roman" w:hAnsi="Times New Roman" w:eastAsia="Times New Roman" w:cs="Times New Roman"/>
          <w:b/>
          <w:color w:val="000000"/>
          <w:sz w:val="24"/>
        </w:rPr>
        <w:t xml:space="preserve">2.5 Procedimiento de lectura</w:t>
      </w:r>
      <w:r>
        <w:rPr>
          <w:b/>
          <w:bCs/>
        </w:rPr>
      </w:r>
    </w:p>
    <w:p>
      <w:pPr>
        <w:keepNext w:val="false"/>
        <w:widowControl w:val="true"/>
        <w:pBdr/>
        <w:spacing w:after="60" w:before="0" w:line="240" w:lineRule="auto"/>
        <w:ind w:firstLine="0"/>
        <w:jc w:val="both"/>
        <w:rPr/>
      </w:pPr>
      <w:r/>
      <w:commentRangeStart w:id="2"/>
      <w:r>
        <w:rPr>
          <w:rFonts w:ascii="Times New Roman" w:hAnsi="Times New Roman" w:eastAsia="Times New Roman" w:cs="Times New Roman"/>
          <w:b w:val="0"/>
          <w:color w:val="000000"/>
          <w:sz w:val="24"/>
        </w:rPr>
        <w:t xml:space="preserve">La tarea consistió en leer los guiones en ambas etapas. En Antes, el participante realizó una lectura inicial con su ejecución habitual. Antes de iniciar Después, revisó recomendaciones generadas por IA y luego leyó nuevamente el mismo </w:t>
      </w:r>
      <w:r>
        <w:rPr>
          <w:rFonts w:ascii="Times New Roman" w:hAnsi="Times New Roman" w:eastAsia="Times New Roman" w:cs="Times New Roman"/>
          <w:b w:val="0"/>
          <w:color w:val="000000"/>
          <w:sz w:val="24"/>
        </w:rPr>
        <w:t xml:space="preserve">guion intentando aplicarlas. La intervención se describe como retroalimentación previa a la segunda lectura. D001–D010 identifican ejercicios del mismo participante; se conservaron los intentos adicionales y se separaron las sesiones de Práctica bajo P001.</w:t>
      </w:r>
      <w:commentRangeEnd w:id="2"/>
      <w:r>
        <w:commentReference w:id="2"/>
      </w:r>
      <w:r/>
      <w:r/>
    </w:p>
    <w:p>
      <w:pPr>
        <w:keepNext w:val="false"/>
        <w:widowControl w:val="true"/>
        <w:pBdr/>
        <w:spacing w:after="60" w:before="0" w:line="240" w:lineRule="auto"/>
        <w:ind w:firstLine="0"/>
        <w:jc w:val="both"/>
        <w:rPr/>
      </w:pPr>
      <w:r/>
      <w:commentRangeStart w:id="3"/>
      <w:r>
        <w:rPr>
          <w:rFonts w:ascii="Times New Roman" w:hAnsi="Times New Roman" w:eastAsia="Times New Roman" w:cs="Times New Roman"/>
          <w:b w:val="0"/>
          <w:color w:val="000000"/>
          <w:sz w:val="24"/>
        </w:rPr>
        <w:t xml:space="preserve">La condición de consejos se conserva por sesión. En las tomas Antes de D001–D010 está activada; en Después perma</w:t>
      </w:r>
      <w:r>
        <w:rPr>
          <w:rFonts w:ascii="Times New Roman" w:hAnsi="Times New Roman" w:eastAsia="Times New Roman" w:cs="Times New Roman"/>
          <w:b w:val="0"/>
          <w:color w:val="000000"/>
          <w:sz w:val="24"/>
        </w:rPr>
        <w:t xml:space="preserve">nece activada para D001–D004 y desactivada para D005–D010. Esta configuración debe distinguirse de la recepción efectiva de texto o voz por el participante. La comparación se interpreta considerando esas condiciones de asistencia y la repetición del guion.</w:t>
      </w:r>
      <w:commentRangeEnd w:id="3"/>
      <w:r>
        <w:commentReference w:id="3"/>
      </w:r>
      <w:r/>
      <w:r/>
    </w:p>
    <w:p>
      <w:pPr>
        <w:keepNext w:val="true"/>
        <w:widowControl w:val="true"/>
        <w:pBdr/>
        <w:spacing w:after="60" w:before="120"/>
        <w:ind/>
        <w:jc w:val="left"/>
        <w:rPr>
          <w:b/>
          <w:bCs/>
        </w:rPr>
      </w:pPr>
      <w:r>
        <w:rPr>
          <w:rFonts w:ascii="Times New Roman" w:hAnsi="Times New Roman" w:eastAsia="Times New Roman" w:cs="Times New Roman"/>
          <w:b/>
          <w:color w:val="000000"/>
          <w:sz w:val="24"/>
        </w:rPr>
        <w:t xml:space="preserve">2.6 Indicadores y revisión humana</w:t>
      </w:r>
      <w:r>
        <w:rPr>
          <w:b/>
          <w:bCs/>
        </w:rPr>
      </w:r>
    </w:p>
    <w:p>
      <w:pPr>
        <w:keepNext w:val="false"/>
        <w:widowControl w:val="true"/>
        <w:pBdr/>
        <w:spacing w:after="60" w:before="0" w:line="240" w:lineRule="auto"/>
        <w:ind w:firstLine="0"/>
        <w:jc w:val="both"/>
        <w:rPr/>
      </w:pPr>
      <w:r>
        <w:rPr>
          <w:rFonts w:ascii="Times New Roman" w:hAnsi="Times New Roman" w:eastAsia="Times New Roman" w:cs="Times New Roman"/>
          <w:b w:val="0"/>
          <w:color w:val="000000"/>
          <w:sz w:val="24"/>
        </w:rPr>
        <w:t xml:space="preserve">GPT-Live proporciona transcripción y consejos con</w:t>
      </w:r>
      <w:r>
        <w:rPr>
          <w:rFonts w:ascii="Times New Roman" w:hAnsi="Times New Roman" w:eastAsia="Times New Roman" w:cs="Times New Roman"/>
          <w:b w:val="0"/>
          <w:color w:val="000000"/>
          <w:sz w:val="24"/>
        </w:rPr>
        <w:t xml:space="preserve">textualizados; el conteo automático de candidatos se realiza mediante reglas sobre el texto recibido. Se buscan pausas rellenas, como «eh», «em» y «mmm», expresiones contextuales, como «este», «bueno» y «o sea», y palabras repetidas consecutivamente. La im</w:t>
      </w:r>
      <w:r>
        <w:rPr>
          <w:rFonts w:ascii="Times New Roman" w:hAnsi="Times New Roman" w:eastAsia="Times New Roman" w:cs="Times New Roman"/>
          <w:b w:val="0"/>
          <w:color w:val="000000"/>
          <w:sz w:val="24"/>
        </w:rPr>
        <w:t xml:space="preserve">plementación actual también busca secuencias textuales exactas de 2 a 40 palabras dentro de una ventana de 120 palabras previas. Estos eventos son candidatos: el énfasis intencional o una palabra con función gramatical normal pueden producir coincidencias.</w:t>
      </w:r>
      <w:r/>
    </w:p>
    <w:p>
      <w:pPr>
        <w:keepNext w:val="false"/>
        <w:widowControl w:val="true"/>
        <w:pBdr/>
        <w:spacing w:after="60" w:before="0" w:line="240" w:lineRule="auto"/>
        <w:ind w:firstLine="0"/>
        <w:jc w:val="both"/>
        <w:rPr/>
      </w:pPr>
      <w:r>
        <w:rPr>
          <w:rFonts w:ascii="Times New Roman" w:hAnsi="Times New Roman" w:eastAsia="Times New Roman" w:cs="Times New Roman"/>
          <w:b w:val="0"/>
          <w:color w:val="000000"/>
          <w:sz w:val="24"/>
        </w:rPr>
        <w:t xml:space="preserve">Se calculan palabras por minuto y tasas de muletillas y repeticiones por minuto de audio y por cada 100 palabras. Para un conteo M, una duración T en segundos y W palabras, las tasas son 60M/T y 100M/W. En los i</w:t>
      </w:r>
      <w:r>
        <w:rPr>
          <w:rFonts w:ascii="Times New Roman" w:hAnsi="Times New Roman" w:eastAsia="Times New Roman" w:cs="Times New Roman"/>
          <w:b w:val="0"/>
          <w:color w:val="000000"/>
          <w:sz w:val="24"/>
        </w:rPr>
        <w:t xml:space="preserve">ndicadores automáticos, W procede de la transcripción del proveedor; en la revisión humana, de la transcripción corregida. Si falta un denominador válido, el resultado queda sin dato. La longitud del guion no se usa como sustituto del discurso pronunciado.</w:t>
      </w:r>
      <w:r/>
    </w:p>
    <w:p>
      <w:pPr>
        <w:keepNext w:val="false"/>
        <w:widowControl w:val="true"/>
        <w:pBdr/>
        <w:spacing w:after="60" w:before="0" w:line="240" w:lineRule="auto"/>
        <w:ind w:firstLine="0"/>
        <w:jc w:val="both"/>
        <w:rPr/>
      </w:pPr>
      <w:r>
        <w:rPr>
          <w:rFonts w:ascii="Times New Roman" w:hAnsi="Times New Roman" w:eastAsia="Times New Roman" w:cs="Times New Roman"/>
          <w:b w:val="0"/>
          <w:color w:val="000000"/>
          <w:sz w:val="24"/>
        </w:rPr>
        <w:t xml:space="preserve">Los conteos históricos no se recalculan con cada actualización; la comparación requiere una versión y criterios constantes.</w:t>
      </w:r>
      <w:r/>
    </w:p>
    <w:p>
      <w:pPr>
        <w:keepNext w:val="false"/>
        <w:widowControl w:val="true"/>
        <w:pBdr/>
        <w:spacing w:after="60" w:before="0" w:line="240" w:lineRule="auto"/>
        <w:ind w:firstLine="0"/>
        <w:jc w:val="both"/>
        <w:rPr/>
      </w:pPr>
      <w:r>
        <w:rPr>
          <w:rFonts w:ascii="Times New Roman" w:hAnsi="Times New Roman" w:eastAsia="Times New Roman" w:cs="Times New Roman"/>
          <w:b w:val="0"/>
          <w:color w:val="000000"/>
          <w:sz w:val="24"/>
        </w:rPr>
        <w:t xml:space="preserve">Las pausas se estiman mediante segmentos con energía RMS normalizada inferior a 0,01 durante al menos 800 ms. </w:t>
      </w:r>
      <w:r>
        <w:rPr>
          <w:rFonts w:ascii="Times New Roman" w:hAnsi="Times New Roman" w:eastAsia="Times New Roman" w:cs="Times New Roman"/>
          <w:b w:val="0"/>
          <w:color w:val="000000"/>
          <w:sz w:val="24"/>
        </w:rPr>
        <w:t xml:space="preserve">Se registra además la proporción de muestras próximas a saturación. Son indicadores exploratorios sin calibración acústica ni alcance diagnóstico. Las marcas temporales del texto corresponden a fragmentos del proveedor y no a alineación exacta por palabra.</w:t>
      </w:r>
      <w:r/>
    </w:p>
    <w:p>
      <w:pPr>
        <w:keepNext w:val="false"/>
        <w:widowControl w:val="true"/>
        <w:pBdr/>
        <w:spacing w:after="60" w:before="0" w:line="240" w:lineRule="auto"/>
        <w:ind w:firstLine="0"/>
        <w:jc w:val="both"/>
        <w:rPr/>
      </w:pPr>
      <w:r/>
      <w:commentRangeStart w:id="4"/>
      <w:r>
        <w:rPr>
          <w:rFonts w:ascii="Times New Roman" w:hAnsi="Times New Roman" w:eastAsia="Times New Roman" w:cs="Times New Roman"/>
          <w:b w:val="0"/>
          <w:color w:val="000000"/>
          <w:sz w:val="24"/>
        </w:rPr>
        <w:t xml:space="preserve">El módulo de revisión permite escuchar el audio original, corregir la transcripción, resolver candidatos y añadir omisiones. Una revisión completa exige resolver todos los candidatos, texto corregido y declaración de escu</w:t>
      </w:r>
      <w:r>
        <w:rPr>
          <w:rFonts w:ascii="Times New Roman" w:hAnsi="Times New Roman" w:eastAsia="Times New Roman" w:cs="Times New Roman"/>
          <w:b w:val="0"/>
          <w:color w:val="000000"/>
          <w:sz w:val="24"/>
        </w:rPr>
        <w:t xml:space="preserve">cha completa y búsqueda de omisiones. Dispone de una rúbrica exploratoria de 1 a 5 para claridad, introducción, orden, desarrollo y conclusión, y una encuesta de utilidad y distracción. Estas funciones no implican su aplicación a los registros conservados.</w:t>
      </w:r>
      <w:commentRangeEnd w:id="4"/>
      <w:r>
        <w:commentReference w:id="4"/>
      </w:r>
      <w:r/>
      <w:r/>
    </w:p>
    <w:p>
      <w:pPr>
        <w:keepNext w:val="true"/>
        <w:widowControl w:val="true"/>
        <w:pBdr/>
        <w:spacing w:after="60" w:before="120"/>
        <w:ind/>
        <w:jc w:val="left"/>
        <w:rPr>
          <w:b/>
          <w:bCs/>
        </w:rPr>
      </w:pPr>
      <w:r>
        <w:rPr>
          <w:rFonts w:ascii="Times New Roman" w:hAnsi="Times New Roman" w:eastAsia="Times New Roman" w:cs="Times New Roman"/>
          <w:b/>
          <w:color w:val="000000"/>
          <w:sz w:val="24"/>
        </w:rPr>
        <w:t xml:space="preserve">2.7 Verificación técnica y análisis descriptivo</w:t>
      </w:r>
      <w:r>
        <w:rPr>
          <w:b/>
          <w:bCs/>
        </w:rPr>
      </w:r>
    </w:p>
    <w:p>
      <w:pPr>
        <w:keepNext w:val="false"/>
        <w:widowControl w:val="true"/>
        <w:pBdr/>
        <w:spacing w:after="60" w:before="0" w:line="240" w:lineRule="auto"/>
        <w:ind w:firstLine="0"/>
        <w:jc w:val="both"/>
        <w:rPr/>
      </w:pPr>
      <w:r>
        <w:rPr>
          <w:rFonts w:ascii="Times New Roman" w:hAnsi="Times New Roman" w:eastAsia="Times New Roman" w:cs="Times New Roman"/>
          <w:b w:val="0"/>
          <w:color w:val="000000"/>
          <w:sz w:val="24"/>
        </w:rPr>
        <w:t xml:space="preserve">La verificación funcional contempla pruebas de tram</w:t>
      </w:r>
      <w:r>
        <w:rPr>
          <w:rFonts w:ascii="Times New Roman" w:hAnsi="Times New Roman" w:eastAsia="Times New Roman" w:cs="Times New Roman"/>
          <w:b w:val="0"/>
          <w:color w:val="000000"/>
          <w:sz w:val="24"/>
        </w:rPr>
        <w:t xml:space="preserve">as PCM, texto fragmentado, persistencia, confirmaciones, pérdidas controladas y cierre del proveedor. El laboratorio EMQX incorpora envío y recepción de mensajes numerados, aislamiento entre tópicos, rechazo de accesos u operaciones no autorizadas y recupe</w:t>
      </w:r>
      <w:r>
        <w:rPr>
          <w:rFonts w:ascii="Times New Roman" w:hAnsi="Times New Roman" w:eastAsia="Times New Roman" w:cs="Times New Roman"/>
          <w:b w:val="0"/>
          <w:color w:val="000000"/>
          <w:sz w:val="24"/>
        </w:rPr>
        <w:t xml:space="preserve">ración tras reiniciar el broker. Las pruebas de integración emplean clientes y conexiones MQTT TCP reales, con nodo y proveedor simulados para controlar los fallos sin consumo de API. Estos ensayos se analizan por separado de las grabaciones de voz humana.</w:t>
      </w:r>
      <w:r/>
    </w:p>
    <w:p>
      <w:pPr>
        <w:keepNext w:val="false"/>
        <w:widowControl w:val="true"/>
        <w:pBdr/>
        <w:spacing w:after="60" w:before="0" w:line="240" w:lineRule="auto"/>
        <w:ind w:firstLine="0"/>
        <w:jc w:val="both"/>
        <w:rPr/>
      </w:pPr>
      <w:r/>
      <w:commentRangeStart w:id="5"/>
      <w:r>
        <w:rPr>
          <w:rFonts w:ascii="Times New Roman" w:hAnsi="Times New Roman" w:eastAsia="Times New Roman" w:cs="Times New Roman"/>
          <w:b w:val="0"/>
          <w:color w:val="000000"/>
          <w:sz w:val="24"/>
        </w:rPr>
        <w:t xml:space="preserve">El panel exige integridad del relevo y del envío al proveedor, cierre confirmado, audio y transcripción útiles y ausencia de eventos pendientes para habilitar cambios entre una toma Antes y otra Después. La elección de toma</w:t>
      </w:r>
      <w:r>
        <w:rPr>
          <w:rFonts w:ascii="Times New Roman" w:hAnsi="Times New Roman" w:eastAsia="Times New Roman" w:cs="Times New Roman"/>
          <w:b w:val="0"/>
          <w:color w:val="000000"/>
          <w:sz w:val="24"/>
        </w:rPr>
        <w:t xml:space="preserve">s repetidas se realiza explícitamente y debe justificarse. Se calcula la diferencia Después menos Antes; el porcentaje de cambio solo se define cuando el valor inicial es distinto de cero. Los indicadores humanos requieren revisión completa de ambas tomas.</w:t>
      </w:r>
      <w:commentRangeEnd w:id="5"/>
      <w:r>
        <w:commentReference w:id="5"/>
      </w:r>
      <w:r/>
      <w:r/>
    </w:p>
    <w:p>
      <w:pPr>
        <w:keepNext w:val="false"/>
        <w:widowControl w:val="true"/>
        <w:pBdr/>
        <w:spacing w:after="60" w:before="0" w:line="240" w:lineRule="auto"/>
        <w:ind w:firstLine="0"/>
        <w:jc w:val="both"/>
        <w:rPr/>
      </w:pPr>
      <w:r>
        <w:rPr>
          <w:rFonts w:ascii="Times New Roman" w:hAnsi="Times New Roman" w:eastAsia="Times New Roman" w:cs="Times New Roman"/>
          <w:b w:val="0"/>
          <w:color w:val="000000"/>
          <w:sz w:val="24"/>
        </w:rPr>
        <w:t xml:space="preserve">Los ejercicios son observaciones dependientes del mismo participante. Su variación puede relacionarse con</w:t>
      </w:r>
      <w:r>
        <w:rPr>
          <w:rFonts w:ascii="Times New Roman" w:hAnsi="Times New Roman" w:eastAsia="Times New Roman" w:cs="Times New Roman"/>
          <w:b w:val="0"/>
          <w:color w:val="000000"/>
          <w:sz w:val="24"/>
        </w:rPr>
        <w:t xml:space="preserve"> el guion, el orden, la asistencia o incidencias técnicas. El análisis es descriptivo: precisión y cobertura requieren referencia humana; los cambios entre sesiones no acreditan por sí solos eficacia del entrenamiento ni generalización a otros estudiantes.</w:t>
      </w:r>
      <w:r/>
    </w:p>
    <w:p w14:paraId="0000002A">
      <w:pPr>
        <w:keepNext w:val="true"/>
        <w:pBdr/>
        <w:spacing w:after="60" w:before="140"/>
        <w:ind/>
        <w:jc w:val="left"/>
        <w:rPr/>
      </w:pPr>
      <w:r>
        <w:rPr>
          <w:rFonts w:ascii="Times New Roman" w:hAnsi="Times New Roman" w:eastAsia="Times New Roman" w:cs="Times New Roman"/>
          <w:b/>
          <w:bCs/>
          <w:i w:val="0"/>
          <w:iCs w:val="0"/>
          <w:sz w:val="30"/>
          <w:szCs w:val="30"/>
          <w:rtl w:val="0"/>
        </w:rPr>
        <w:t xml:space="preserve">3. Análisis y resultados</w:t>
      </w:r>
      <w:r>
        <w:rPr>
          <w:rtl w:val="0"/>
        </w:rPr>
      </w:r>
      <w:r/>
    </w:p>
    <w:p w14:paraId="0000002B">
      <w:pPr>
        <w:pBdr/>
        <w:spacing/>
        <w:ind/>
        <w:jc w:val="both"/>
        <w:rPr/>
      </w:pPr>
      <w:r>
        <w:rPr>
          <w:rtl w:val="0"/>
        </w:rPr>
        <w:t xml:space="preserve">Los resultados preliminares de ENSAIA muestran el funcionamiento del transporte de audio y eventos, la conservación de evidencias y las herramientas de revisión. Se distinguen los ensayos controlados con señales y componentes simulados </w:t>
      </w:r>
      <w:r>
        <w:rPr>
          <w:rtl w:val="0"/>
        </w:rPr>
        <w:t xml:space="preserve">del inventario de sesiones registradas como no demostrativas. El corte documental corresponde al 18 de octubre de 2026; estos resultados permiten describir el avance técnico, pero todavía no establecer la eficacia del entrenamiento sobre la expresión oral.</w:t>
      </w:r>
      <w:r/>
    </w:p>
    <w:p w14:paraId="0000002C">
      <w:pPr>
        <w:pBdr/>
        <w:spacing/>
        <w:ind/>
        <w:jc w:val="both"/>
        <w:rPr>
          <w:b/>
          <w:bCs/>
        </w:rPr>
      </w:pPr>
      <w:r>
        <w:rPr>
          <w:b/>
          <w:bCs/>
          <w:rtl w:val="0"/>
        </w:rPr>
        <w:t xml:space="preserve">3.1 Verificación del software y de la interfaz</w:t>
      </w:r>
      <w:r>
        <w:rPr>
          <w:b/>
          <w:bCs/>
        </w:rPr>
      </w:r>
    </w:p>
    <w:p w14:paraId="0000002D">
      <w:pPr>
        <w:pBdr/>
        <w:spacing/>
        <w:ind/>
        <w:jc w:val="both"/>
        <w:rPr/>
      </w:pPr>
      <w:r>
        <w:rPr>
          <w:rtl w:val="0"/>
        </w:rPr>
        <w:t xml:space="preserve">La salida de pruebas conservada del 17 de octubre registra 17 pruebas aprobadas en 8,27 segundos. Estas comprobaron el protocolo PCM16, la conservación de texto fragmentado, la persistencia, las confirmaciones MQTT y el tr</w:t>
      </w:r>
      <w:r>
        <w:rPr>
          <w:rtl w:val="0"/>
        </w:rPr>
        <w:t xml:space="preserve">atamiento de pérdidas y fallos de cierre. En un ensayo de integración, 100 tramas produjeron dos segundos de audio y archivos WAV de 32 000 muestras a 16 kHz. El nodo y el proveedor de IA fueron simulados; el intercambio MQTT utilizó conexiones TCP reales.</w:t>
      </w:r>
      <w:r/>
    </w:p>
    <w:p w14:paraId="0000002E">
      <w:pPr>
        <w:pBdr/>
        <w:spacing/>
        <w:ind/>
        <w:jc w:val="both"/>
        <w:rPr/>
      </w:pPr>
      <w:r>
        <w:rPr>
          <w:rtl w:val="0"/>
        </w:rPr>
        <w:t xml:space="preserve">La captura de resultados de la demostración mue</w:t>
      </w:r>
      <w:r>
        <w:rPr>
          <w:rtl w:val="0"/>
        </w:rPr>
        <w:t xml:space="preserve">stra 300 de 300 tramas recibidas del relevo y cero ausentes, con la transcripción confirmada vía MQTT. La interfaz presenta 18 palabras, cuatro candidatos a muletilla, una repetición candidata y 180 palabras por minuto. Estos valores proceden de una señal </w:t>
      </w:r>
      <w:r>
        <w:rPr>
          <w:rtl w:val="0"/>
        </w:rPr>
        <w:t xml:space="preserve">y un texto sintéticos y acreditan la presentación de indicadores, sin medir el desempeño de un estudiante. El consejo visible se identifica como simulado. El registro de verificación también documenta el guardado, una anotación y la descarga de evidencias.</w:t>
      </w:r>
      <w:r/>
    </w:p>
    <w:p w14:paraId="0000002F">
      <w:pPr>
        <w:pBdr/>
        <w:spacing/>
        <w:ind/>
        <w:jc w:val="both"/>
        <w:rPr/>
      </w:pPr>
      <w:r>
        <w:rPr>
          <w:rtl w:val="0"/>
        </w:rPr>
        <w:t xml:space="preserve">La captura del módulo Antes/Después muestra que la interfaz puede presentar tasas, cambios, rúbrica y encuesta. Los valores de esa pantalla son evidencia del módulo de comparación y no se incorporan como resultados del p</w:t>
      </w:r>
      <w:r>
        <w:rPr>
          <w:rtl w:val="0"/>
        </w:rPr>
        <w:t xml:space="preserve">iloto. Asimismo, el informe técnico documenta la compilación del firmware, con 41 % de RAM global y estática y 91 % de RAM de instrucciones incluida la caché; estas cifras de compilación no equivalen a memoria libre ni a estabilidad durante una exposición.</w:t>
      </w:r>
      <w:r/>
    </w:p>
    <w:p w14:paraId="00000030">
      <w:pPr>
        <w:pBdr/>
        <w:spacing/>
        <w:ind/>
        <w:jc w:val="both"/>
        <w:rPr>
          <w:b/>
          <w:bCs/>
        </w:rPr>
      </w:pPr>
      <w:r>
        <w:rPr>
          <w:b/>
          <w:bCs/>
          <w:rtl w:val="0"/>
        </w:rPr>
        <w:t xml:space="preserve">3.2 Comunicación mediante EMQX</w:t>
      </w:r>
      <w:r>
        <w:rPr>
          <w:b/>
          <w:bCs/>
        </w:rPr>
      </w:r>
    </w:p>
    <w:p w14:paraId="00000031">
      <w:pPr>
        <w:pBdr/>
        <w:spacing/>
        <w:ind/>
        <w:jc w:val="both"/>
        <w:rPr/>
      </w:pPr>
      <w:r>
        <w:rPr>
          <w:rtl w:val="0"/>
        </w:rPr>
        <w:t xml:space="preserve">El acta de verificación de EMQX del 18 de octubre reporta 51 pruebas aprobadas, sin fallos ni omisiones. Es una ejecución posterior a la de 17 pruebas y sus totale</w:t>
      </w:r>
      <w:r>
        <w:rPr>
          <w:rtl w:val="0"/>
        </w:rPr>
        <w:t xml:space="preserve">s no se suman. Según esta acta, diez mensajes numerados llegaron sin faltantes, duplicados ni alteraciones; se comprobó el aislamiento entre tópicos y el rechazo de contraseñas incorrectas, conexiones anónimas y operaciones fuera de los permisos asignados.</w:t>
      </w:r>
      <w:r/>
    </w:p>
    <w:p w14:paraId="00000032">
      <w:pPr>
        <w:pBdr/>
        <w:spacing/>
        <w:ind/>
        <w:jc w:val="both"/>
        <w:rPr/>
      </w:pPr>
      <w:r>
        <w:rPr>
          <w:rtl w:val="0"/>
        </w:rPr>
        <w:t xml:space="preserve">El mismo registro informa que un reinicio del contenedor produjo un corte seguido de reconexión, </w:t>
      </w:r>
      <w:r>
        <w:rPr>
          <w:rtl w:val="0"/>
        </w:rPr>
        <w:t xml:space="preserve">resuscripción y recepción de un mensaje nuevo. También documenta dos sesiones a través de EMQX, con 100 tramas PCM por sesión, archivos WAV accesibles y cero eventos pendientes. En ambas se simularon el nodo y el proveedor. Estos resultados respaldan la op</w:t>
      </w:r>
      <w:r>
        <w:rPr>
          <w:rtl w:val="0"/>
        </w:rPr>
        <w:t xml:space="preserve">eración del laboratorio MQTT en las condiciones ensayadas; no acreditan todavía el recorrido completo desde un teléfono y una placa físicos hasta el servicio de IA real. Los contadores globales del broker no equivalen a participantes ni a calidad de audio.</w:t>
      </w:r>
      <w:r/>
    </w:p>
    <w:p w14:paraId="00000033">
      <w:pPr>
        <w:pBdr/>
        <w:spacing/>
        <w:ind/>
        <w:jc w:val="both"/>
        <w:rPr>
          <w:b/>
          <w:bCs/>
        </w:rPr>
      </w:pPr>
      <w:r>
        <w:rPr>
          <w:b/>
          <w:bCs/>
          <w:rtl w:val="0"/>
        </w:rPr>
        <w:t xml:space="preserve">3.3 Inventario de ejercicios del mismo participante</w:t>
      </w:r>
      <w:r>
        <w:rPr>
          <w:b/>
          <w:bCs/>
        </w:rPr>
      </w:r>
    </w:p>
    <w:p w14:paraId="00000034">
      <w:pPr>
        <w:pBdr/>
        <w:spacing/>
        <w:ind/>
        <w:jc w:val="both"/>
        <w:rPr/>
      </w:pPr>
      <w:r>
        <w:rPr>
          <w:rtl w:val="0"/>
        </w:rPr>
        <w:t xml:space="preserve">El inventario conserva 23 sesiones registradas como no demostrativas: 12 Antes y 11 Después, organizadas bajo D001–D010. Los diez códigos corresponden a ejercicios de lectura realizados por una sola persona con diez guiones; no r</w:t>
      </w:r>
      <w:r>
        <w:rPr>
          <w:rtl w:val="0"/>
        </w:rPr>
        <w:t xml:space="preserve">epresentan una muestra de diez participantes. Las tomas repetidas explican que el total supere las 20 de una pareja por ejercicio. Las sesiones de práctica bajo P001, incluidas las demostrativas, se mantienen fuera del conjunto de ejercicios Antes/Después.</w:t>
      </w:r>
      <w:r/>
    </w:p>
    <w:p w14:paraId="00000035">
      <w:pPr>
        <w:pBdr/>
        <w:spacing/>
        <w:ind/>
        <w:jc w:val="both"/>
        <w:rPr/>
      </w:pPr>
      <w:r>
        <w:rPr>
          <w:rtl w:val="0"/>
        </w:rPr>
        <w:t xml:space="preserve">Según el inventario, ocho ejercicios tienen una</w:t>
      </w:r>
      <w:r>
        <w:rPr>
          <w:rtl w:val="0"/>
        </w:rPr>
        <w:t xml:space="preserve"> pareja candidata con relevo y envío al proveedor completos: D001, D002, D004 y D006 a D010. En D001 debe revisarse la toma Antes vacía y en D002 distinguirse la toma sustantiva de otra muy breve, dejando constancia del criterio de selección. D003 y D005 p</w:t>
      </w:r>
      <w:r>
        <w:rPr>
          <w:rtl w:val="0"/>
        </w:rPr>
        <w:t xml:space="preserve">resentan tomas Después incompletas y requieren revisión del audio o repetición de la medición. Estas ocho parejas corresponden al mismo participante; su integridad técnica no garantiza por sí sola comparabilidad del procedimiento ni validez de los conteos.</w:t>
      </w:r>
      <w:r/>
    </w:p>
    <w:p w14:paraId="00000036">
      <w:pPr>
        <w:pBdr/>
        <w:spacing/>
        <w:ind/>
        <w:jc w:val="both"/>
        <w:rPr/>
      </w:pPr>
      <w:r>
        <w:rPr>
          <w:rtl w:val="0"/>
        </w:rPr>
        <w:t xml:space="preserve">La base revisada no contiene evaluaciones humanas, encuestas ni anotaciones de revisión para D001–D010. Los conteos automáticos continúan siendo exploratorios y no se pr</w:t>
      </w:r>
      <w:r>
        <w:rPr>
          <w:rtl w:val="0"/>
        </w:rPr>
        <w:t xml:space="preserve">esentan como tasas humanas confirmadas, porcentajes de mejora o pruebas de significación. Su interpretación exige escuchar las grabaciones, corregir las transcripciones y documentar el procedimiento de práctica y las condiciones de asistencia de cada toma.</w:t>
      </w:r>
      <w:r/>
    </w:p>
    <w:p w14:paraId="00000037">
      <w:pPr>
        <w:pBdr/>
        <w:spacing/>
        <w:ind/>
        <w:jc w:val="both"/>
        <w:rPr>
          <w:b/>
          <w:bCs/>
        </w:rPr>
      </w:pPr>
      <w:r>
        <w:rPr>
          <w:b/>
          <w:bCs/>
          <w:rtl w:val="0"/>
        </w:rPr>
        <w:t xml:space="preserve">3.4 Limitaciones y validación pendiente</w:t>
      </w:r>
      <w:r>
        <w:rPr>
          <w:b/>
          <w:bCs/>
        </w:rPr>
      </w:r>
    </w:p>
    <w:p w14:paraId="00000038">
      <w:pPr>
        <w:pBdr/>
        <w:spacing/>
        <w:ind/>
        <w:jc w:val="both"/>
        <w:rPr/>
      </w:pPr>
      <w:r>
        <w:rPr>
          <w:rtl w:val="0"/>
        </w:rPr>
        <w:t xml:space="preserve">La validación técnica documentada utilizó principalmente señales sintéticas, un</w:t>
      </w:r>
      <w:r>
        <w:rPr>
          <w:rtl w:val="0"/>
        </w:rPr>
        <w:t xml:space="preserve"> nodo virtual y un proveedor simulado. Falta documentar una sesión completa con micrófono de celular, placa ESP8266 física, servicio de IA real y cierre confirmado, así como la recuperación de la placa ante fallos de Wi-Fi. La compilación del firmware y la</w:t>
      </w:r>
      <w:r>
        <w:rPr>
          <w:rtl w:val="0"/>
        </w:rPr>
        <w:t xml:space="preserve"> recuperación del contenedor EMQX no sustituyen esas pruebas. Tampoco se dispone de resultados validados de latencia desde el habla hasta la recomendación; el tiempo entre emisión de un evento y su confirmación MQTT mide únicamente una parte del recorrido.</w:t>
      </w:r>
      <w:r/>
    </w:p>
    <w:p w14:paraId="00000039">
      <w:pPr>
        <w:pBdr/>
        <w:spacing/>
        <w:ind/>
        <w:jc w:val="both"/>
        <w:rPr/>
      </w:pPr>
      <w:r>
        <w:rPr>
          <w:rtl w:val="0"/>
        </w:rPr>
        <w:t xml:space="preserve">Los candidatos textuales pueden</w:t>
      </w:r>
      <w:r>
        <w:rPr>
          <w:rtl w:val="0"/>
        </w:rPr>
        <w:t xml:space="preserve"> confundir palabras con función normal y muletillas, y las transcripciones pueden omitir disfluencias. Las repeticiones detectadas requieren distinguirse del énfasis intencional; las pausas estimadas mediante umbrales de energía son heurísticas. Permanecen</w:t>
      </w:r>
      <w:r>
        <w:rPr>
          <w:rtl w:val="0"/>
        </w:rPr>
        <w:t xml:space="preserve"> pendientes la escucha completa de los audios originales, la corrección de transcripciones, la búsqueda de omisiones y la resolución de discrepancias entre revisores. Sin esa referencia humana no corresponde informar precisión ni cobertura de la detección.</w:t>
      </w:r>
      <w:r/>
    </w:p>
    <w:p w14:paraId="0000003A">
      <w:pPr>
        <w:pBdr/>
        <w:spacing/>
        <w:ind/>
        <w:jc w:val="both"/>
        <w:rPr/>
      </w:pPr>
      <w:r>
        <w:rPr>
          <w:rtl w:val="0"/>
        </w:rPr>
        <w:t xml:space="preserve">El análisis posterior requiere justificar la selección de tomas y sus condiciones de as</w:t>
      </w:r>
      <w:r>
        <w:rPr>
          <w:rtl w:val="0"/>
        </w:rPr>
        <w:t xml:space="preserve">istencia, con tasas calculadas mediante criterios constantes y duración del audio. Los diez ejercicios y las ocho parejas técnicas candidatas pertenecen a una sola persona. Los cambios entre lecturas pueden responder a familiaridad, orden o asistencia. Est</w:t>
      </w:r>
      <w:r>
        <w:rPr>
          <w:rtl w:val="0"/>
        </w:rPr>
        <w:t xml:space="preserve">a tarea con recomendaciones previas no evalúa la eficacia del feedback durante el habla ni el desempeño espontáneo. El avance acredita funciones técnicas y permite una descripción intraindividual; la evaluación del entrenamiento requiere validación humana.</w:t>
      </w:r>
      <w:r/>
    </w:p>
    <w:p w14:paraId="0000003B">
      <w:pPr>
        <w:pBdr/>
        <w:spacing w:after="60" w:line="240" w:lineRule="auto"/>
        <w:ind w:firstLine="0"/>
        <w:jc w:val="both"/>
        <w:rPr/>
      </w:pPr>
      <w:r>
        <w:rPr>
          <w:rtl w:val="0"/>
        </w:rPr>
      </w:r>
      <w:r/>
    </w:p>
    <w:p w14:paraId="0000003C">
      <w:pPr>
        <w:keepNext w:val="true"/>
        <w:pBdr/>
        <w:spacing w:after="60" w:before="140"/>
        <w:ind/>
        <w:jc w:val="left"/>
        <w:rPr/>
      </w:pPr>
      <w:r>
        <w:rPr>
          <w:rFonts w:ascii="Times New Roman" w:hAnsi="Times New Roman" w:eastAsia="Times New Roman" w:cs="Times New Roman"/>
          <w:b/>
          <w:bCs/>
          <w:i w:val="0"/>
          <w:iCs w:val="0"/>
          <w:sz w:val="30"/>
          <w:szCs w:val="30"/>
          <w:rtl w:val="0"/>
        </w:rPr>
        <w:t xml:space="preserve">4. Discusión y conclusiones</w:t>
      </w:r>
      <w:r>
        <w:rPr>
          <w:rtl w:val="0"/>
        </w:rPr>
      </w:r>
      <w:r/>
    </w:p>
    <w:p w14:paraId="0000003D">
      <w:pPr>
        <w:pBdr/>
        <w:spacing w:after="60" w:line="240" w:lineRule="auto"/>
        <w:ind w:firstLine="0"/>
        <w:jc w:val="both"/>
        <w:rPr/>
      </w:pPr>
      <w:r>
        <w:rPr>
          <w:rtl w:val="0"/>
        </w:rPr>
      </w:r>
      <w:r/>
    </w:p>
    <w:p w14:paraId="0000003E">
      <w:pPr>
        <w:pBdr/>
        <w:spacing w:after="60" w:line="240" w:lineRule="auto"/>
        <w:ind w:firstLine="0"/>
        <w:jc w:val="both"/>
        <w:rPr/>
      </w:pPr>
      <w:r>
        <w:rPr>
          <w:rtl w:val="0"/>
        </w:rPr>
      </w:r>
      <w:r/>
    </w:p>
    <w:p w14:paraId="0000003F">
      <w:pPr>
        <w:keepNext w:val="true"/>
        <w:pBdr/>
        <w:spacing w:after="60" w:before="140"/>
        <w:ind/>
        <w:jc w:val="left"/>
        <w:rPr/>
      </w:pPr>
      <w:r>
        <w:rPr>
          <w:rFonts w:ascii="Times New Roman" w:hAnsi="Times New Roman" w:eastAsia="Times New Roman" w:cs="Times New Roman"/>
          <w:b/>
          <w:bCs/>
          <w:i w:val="0"/>
          <w:iCs w:val="0"/>
          <w:sz w:val="30"/>
          <w:szCs w:val="30"/>
          <w:rtl w:val="0"/>
        </w:rPr>
        <w:t xml:space="preserve">Referencias</w:t>
      </w:r>
      <w:r>
        <w:rPr>
          <w:rtl w:val="0"/>
        </w:rPr>
      </w:r>
      <w:r/>
    </w:p>
    <w:p w14:paraId="00000040">
      <w:pPr>
        <w:pBdr/>
        <w:spacing w:after="240" w:before="240"/>
        <w:ind/>
        <w:jc w:val="both"/>
        <w:rPr/>
      </w:pPr>
      <w:r>
        <w:rPr>
          <w:rtl w:val="0"/>
        </w:rPr>
        <w:t xml:space="preserve">[1] P. Isotalus, M. Eklund, and K. Karppinen, “Artificial intelligence as a feedback provider in practicing public speaking,” </w:t>
      </w:r>
      <w:r>
        <w:rPr>
          <w:i/>
          <w:iCs/>
          <w:rtl w:val="0"/>
        </w:rPr>
        <w:t xml:space="preserve">Communication Teacher</w:t>
      </w:r>
      <w:r>
        <w:rPr>
          <w:rtl w:val="0"/>
        </w:rPr>
        <w:t xml:space="preserve">, vol. 39, no. 1, pp. 78–85, 2025, doi:</w:t>
      </w:r>
      <w:hyperlink r:id="rId11" w:tooltip="https://doi.org/10.1080/17404622.2024.2407910" w:history="1">
        <w:r>
          <w:rPr>
            <w:rtl w:val="0"/>
          </w:rPr>
          <w:t xml:space="preserve"> </w:t>
        </w:r>
      </w:hyperlink>
      <w:r/>
      <w:hyperlink r:id="rId12" w:tooltip="https://doi.org/10.1080/17404622.2024.2407910" w:history="1">
        <w:r>
          <w:rPr>
            <w:color w:val="1155cc"/>
            <w:u w:val="single"/>
            <w:rtl w:val="0"/>
          </w:rPr>
          <w:t xml:space="preserve">10.1080/17404622.2024.2407910</w:t>
        </w:r>
      </w:hyperlink>
      <w:r>
        <w:rPr>
          <w:rtl w:val="0"/>
        </w:rPr>
        <w:t xml:space="preserve">.</w:t>
      </w:r>
      <w:r/>
    </w:p>
    <w:p w14:paraId="00000041">
      <w:pPr>
        <w:pBdr/>
        <w:spacing w:after="240" w:before="240"/>
        <w:ind/>
        <w:jc w:val="both"/>
        <w:rPr/>
      </w:pPr>
      <w:r>
        <w:rPr>
          <w:rtl w:val="0"/>
        </w:rPr>
        <w:t xml:space="preserve">[2] M. M. Laske and F. D. DiGennaro Reed, “Um, so, like, do speech disfluencies matter? A parametric evaluation of filler sounds and words,” </w:t>
      </w:r>
      <w:r>
        <w:rPr>
          <w:i/>
          <w:iCs/>
          <w:rtl w:val="0"/>
        </w:rPr>
        <w:t xml:space="preserve">Journal of Applied Behavior Analysis</w:t>
      </w:r>
      <w:r>
        <w:rPr>
          <w:rtl w:val="0"/>
        </w:rPr>
        <w:t xml:space="preserve">, vol. 57, no. 3, pp. 574–583, 2024, doi:</w:t>
      </w:r>
      <w:hyperlink r:id="rId13" w:tooltip="https://doi.org/10.1002/jaba.1093" w:history="1">
        <w:r>
          <w:rPr>
            <w:rtl w:val="0"/>
          </w:rPr>
          <w:t xml:space="preserve"> </w:t>
        </w:r>
      </w:hyperlink>
      <w:r/>
      <w:hyperlink r:id="rId14" w:tooltip="https://doi.org/10.1002/jaba.1093" w:history="1">
        <w:r>
          <w:rPr>
            <w:color w:val="1155cc"/>
            <w:u w:val="single"/>
            <w:rtl w:val="0"/>
          </w:rPr>
          <w:t xml:space="preserve">10.1002/jaba.1093</w:t>
        </w:r>
      </w:hyperlink>
      <w:r>
        <w:rPr>
          <w:rtl w:val="0"/>
        </w:rPr>
        <w:t xml:space="preserve">.</w:t>
      </w:r>
      <w:r/>
    </w:p>
    <w:p w14:paraId="00000042">
      <w:pPr>
        <w:pBdr/>
        <w:spacing w:after="240" w:before="240"/>
        <w:ind/>
        <w:jc w:val="both"/>
        <w:rPr/>
      </w:pPr>
      <w:r>
        <w:rPr>
          <w:rtl w:val="0"/>
        </w:rPr>
        <w:t xml:space="preserve">[3] C. Zheng, X. Chen, H. Zhang, and C. S. Chai, “Automated versus peer assessment: Effects on learners’ English public speaking,” </w:t>
      </w:r>
      <w:r>
        <w:rPr>
          <w:i/>
          <w:iCs/>
          <w:rtl w:val="0"/>
        </w:rPr>
        <w:t xml:space="preserve">Language Learning &amp; Technology</w:t>
      </w:r>
      <w:r>
        <w:rPr>
          <w:rtl w:val="0"/>
        </w:rPr>
        <w:t xml:space="preserve">, vol. 28, no. 2, pp. 210–228, 2024, doi:</w:t>
      </w:r>
      <w:hyperlink r:id="rId15" w:tooltip="https://doi.org/10.64152/10125/73578" w:history="1">
        <w:r>
          <w:rPr>
            <w:rtl w:val="0"/>
          </w:rPr>
          <w:t xml:space="preserve"> </w:t>
        </w:r>
      </w:hyperlink>
      <w:r/>
      <w:hyperlink r:id="rId16" w:tooltip="https://doi.org/10.64152/10125/73578" w:history="1">
        <w:r>
          <w:rPr>
            <w:color w:val="1155cc"/>
            <w:u w:val="single"/>
            <w:rtl w:val="0"/>
          </w:rPr>
          <w:t xml:space="preserve">10.64152/10125/73578</w:t>
        </w:r>
      </w:hyperlink>
      <w:r>
        <w:rPr>
          <w:rtl w:val="0"/>
        </w:rPr>
        <w:t xml:space="preserve">.</w:t>
      </w:r>
      <w:r/>
    </w:p>
    <w:p w14:paraId="00000043">
      <w:pPr>
        <w:pBdr/>
        <w:spacing w:after="240" w:before="240"/>
        <w:ind/>
        <w:jc w:val="both"/>
        <w:rPr/>
      </w:pPr>
      <w:r>
        <w:rPr>
          <w:rtl w:val="0"/>
        </w:rPr>
        <w:t xml:space="preserve">[4] H. Ayaz Yılmaz and G. Er, “AI-generated versus teacher feedback: A comparative study on EFL learners’ public speaking anxiety and oral presentation performance,” </w:t>
      </w:r>
      <w:r>
        <w:rPr>
          <w:i/>
          <w:iCs/>
          <w:rtl w:val="0"/>
        </w:rPr>
        <w:t xml:space="preserve">Language Learning &amp; Technology</w:t>
      </w:r>
      <w:r>
        <w:rPr>
          <w:rtl w:val="0"/>
        </w:rPr>
        <w:t xml:space="preserve">, vol. 30, no. 1, pp. 1–20, 2026, doi:</w:t>
      </w:r>
      <w:hyperlink r:id="rId17" w:tooltip="https://doi.org/10.64152/10125/73698" w:history="1">
        <w:r>
          <w:rPr>
            <w:rtl w:val="0"/>
          </w:rPr>
          <w:t xml:space="preserve"> </w:t>
        </w:r>
      </w:hyperlink>
      <w:r/>
      <w:hyperlink r:id="rId18" w:tooltip="https://doi.org/10.64152/10125/73698" w:history="1">
        <w:r>
          <w:rPr>
            <w:color w:val="1155cc"/>
            <w:u w:val="single"/>
            <w:rtl w:val="0"/>
          </w:rPr>
          <w:t xml:space="preserve">10.64152/10125/73698</w:t>
        </w:r>
      </w:hyperlink>
      <w:r>
        <w:rPr>
          <w:rtl w:val="0"/>
        </w:rPr>
        <w:t xml:space="preserve">.</w:t>
      </w:r>
      <w:r/>
    </w:p>
    <w:p w14:paraId="00000044">
      <w:pPr>
        <w:pBdr/>
        <w:spacing w:after="240" w:before="240"/>
        <w:ind/>
        <w:jc w:val="both"/>
        <w:rPr/>
      </w:pPr>
      <w:r>
        <w:rPr>
          <w:rtl w:val="0"/>
        </w:rPr>
        <w:t xml:space="preserve">[5] B. Sichterman et al., “Can AI feedback stand alone for fostering students’ presentation performance? A comparison of AI-only versus teacher-supported AI feedback,” </w:t>
      </w:r>
      <w:r>
        <w:rPr>
          <w:i/>
          <w:iCs/>
          <w:rtl w:val="0"/>
        </w:rPr>
        <w:t xml:space="preserve">Interactive Learning Environments</w:t>
      </w:r>
      <w:r>
        <w:rPr>
          <w:rtl w:val="0"/>
        </w:rPr>
        <w:t xml:space="preserve">, vol. 34, no. 3, pp. 1280–1297, 2026, doi:</w:t>
      </w:r>
      <w:hyperlink r:id="rId19" w:tooltip="https://doi.org/10.1080/10494820.2025.2521338" w:history="1">
        <w:r>
          <w:rPr>
            <w:rtl w:val="0"/>
          </w:rPr>
          <w:t xml:space="preserve"> </w:t>
        </w:r>
      </w:hyperlink>
      <w:r/>
      <w:hyperlink r:id="rId20" w:tooltip="https://doi.org/10.1080/10494820.2025.2521338" w:history="1">
        <w:r>
          <w:rPr>
            <w:color w:val="1155cc"/>
            <w:u w:val="single"/>
            <w:rtl w:val="0"/>
          </w:rPr>
          <w:t xml:space="preserve">10.1080/10494820.2025.2521338</w:t>
        </w:r>
      </w:hyperlink>
      <w:r>
        <w:rPr>
          <w:rtl w:val="0"/>
        </w:rPr>
        <w:t xml:space="preserve">.</w:t>
      </w:r>
      <w:r/>
    </w:p>
    <w:p w14:paraId="00000045">
      <w:pPr>
        <w:pBdr/>
        <w:spacing w:after="240" w:before="240"/>
        <w:ind/>
        <w:jc w:val="both"/>
        <w:rPr/>
      </w:pPr>
      <w:r>
        <w:rPr>
          <w:rtl w:val="0"/>
        </w:rPr>
        <w:t xml:space="preserve">[6] M. Chollet, S. Marsella, and S. Scherer, “Training public speaking with virtual social interactions: Effectiveness of real-time feedback and delayed feedback,” </w:t>
      </w:r>
      <w:r>
        <w:rPr>
          <w:i/>
          <w:iCs/>
          <w:rtl w:val="0"/>
        </w:rPr>
        <w:t xml:space="preserve">Journal on Multimodal User Interfaces</w:t>
      </w:r>
      <w:r>
        <w:rPr>
          <w:rtl w:val="0"/>
        </w:rPr>
        <w:t xml:space="preserve">, vol. 16, no. 1, pp. 17–29, 2022, doi:</w:t>
      </w:r>
      <w:hyperlink r:id="rId21" w:tooltip="https://doi.org/10.1007/s12193-021-00371-1" w:history="1">
        <w:r>
          <w:rPr>
            <w:rtl w:val="0"/>
          </w:rPr>
          <w:t xml:space="preserve"> </w:t>
        </w:r>
      </w:hyperlink>
      <w:r/>
      <w:hyperlink r:id="rId22" w:tooltip="https://doi.org/10.1007/s12193-021-00371-1" w:history="1">
        <w:r>
          <w:rPr>
            <w:color w:val="1155cc"/>
            <w:u w:val="single"/>
            <w:rtl w:val="0"/>
          </w:rPr>
          <w:t xml:space="preserve">10.1007/s12193-021-00371-1</w:t>
        </w:r>
      </w:hyperlink>
      <w:r>
        <w:rPr>
          <w:rtl w:val="0"/>
        </w:rPr>
        <w:t xml:space="preserve">.</w:t>
      </w:r>
      <w:r/>
    </w:p>
    <w:p w14:paraId="00000046">
      <w:pPr>
        <w:pBdr/>
        <w:spacing w:after="240" w:before="240"/>
        <w:ind/>
        <w:jc w:val="both"/>
        <w:rPr/>
      </w:pPr>
      <w:r>
        <w:rPr>
          <w:rtl w:val="0"/>
        </w:rPr>
        <w:t xml:space="preserve">[7] M. Chiba, W. Yamada, and K. Ochiai, “Shadowed Speech: An approach for slowing speech rate using adaptive delayed auditory feedback,” </w:t>
      </w:r>
      <w:r>
        <w:rPr>
          <w:i/>
          <w:iCs/>
          <w:rtl w:val="0"/>
        </w:rPr>
        <w:t xml:space="preserve">Journal of Information Processing</w:t>
      </w:r>
      <w:r>
        <w:rPr>
          <w:rtl w:val="0"/>
        </w:rPr>
        <w:t xml:space="preserve">, vol. 32, pp. 938–947, 2024, doi:</w:t>
      </w:r>
      <w:hyperlink r:id="rId23" w:tooltip="https://doi.org/10.2197/ipsjjip.32.938" w:history="1">
        <w:r>
          <w:rPr>
            <w:rtl w:val="0"/>
          </w:rPr>
          <w:t xml:space="preserve"> </w:t>
        </w:r>
      </w:hyperlink>
      <w:r/>
      <w:hyperlink r:id="rId24" w:tooltip="https://doi.org/10.2197/ipsjjip.32.938" w:history="1">
        <w:r>
          <w:rPr>
            <w:color w:val="1155cc"/>
            <w:u w:val="single"/>
            <w:rtl w:val="0"/>
          </w:rPr>
          <w:t xml:space="preserve">10.2197/ipsjjip.32.938</w:t>
        </w:r>
      </w:hyperlink>
      <w:r>
        <w:rPr>
          <w:rtl w:val="0"/>
        </w:rPr>
        <w:t xml:space="preserve">.</w:t>
      </w:r>
      <w:r/>
    </w:p>
    <w:p w14:paraId="00000047">
      <w:pPr>
        <w:pBdr/>
        <w:spacing w:after="240" w:before="240"/>
        <w:ind/>
        <w:jc w:val="both"/>
        <w:rPr/>
      </w:pPr>
      <w:r>
        <w:rPr>
          <w:rtl w:val="0"/>
        </w:rPr>
        <w:t xml:space="preserve">[8] E. Chang, X. Che, and J. Zhang, “Designing and evaluating LLM-driven coaching agents for VR public speaking practice,” </w:t>
      </w:r>
      <w:r>
        <w:rPr>
          <w:i/>
          <w:iCs/>
          <w:rtl w:val="0"/>
        </w:rPr>
        <w:t xml:space="preserve">Frontiers in Psychology</w:t>
      </w:r>
      <w:r>
        <w:rPr>
          <w:rtl w:val="0"/>
        </w:rPr>
        <w:t xml:space="preserve">, vol. 17, Art. no. 1886780, 2026, doi:</w:t>
      </w:r>
      <w:hyperlink r:id="rId25" w:tooltip="https://doi.org/10.3389/fpsyg.2026.1886780" w:history="1">
        <w:r>
          <w:rPr>
            <w:rtl w:val="0"/>
          </w:rPr>
          <w:t xml:space="preserve"> </w:t>
        </w:r>
      </w:hyperlink>
      <w:r/>
      <w:hyperlink r:id="rId26" w:tooltip="https://doi.org/10.3389/fpsyg.2026.1886780" w:history="1">
        <w:r>
          <w:rPr>
            <w:color w:val="1155cc"/>
            <w:u w:val="single"/>
            <w:rtl w:val="0"/>
          </w:rPr>
          <w:t xml:space="preserve">10.3389/fpsyg.2026.1886780</w:t>
        </w:r>
      </w:hyperlink>
      <w:r>
        <w:rPr>
          <w:rtl w:val="0"/>
        </w:rPr>
        <w:t xml:space="preserve">.</w:t>
      </w:r>
      <w:r/>
    </w:p>
    <w:p w14:paraId="00000048">
      <w:pPr>
        <w:pBdr/>
        <w:spacing w:after="240" w:before="240"/>
        <w:ind/>
        <w:jc w:val="both"/>
        <w:rPr/>
      </w:pPr>
      <w:r>
        <w:rPr>
          <w:rtl w:val="0"/>
        </w:rPr>
        <w:t xml:space="preserve">[9] A. Romana, M. Niu, M. Perez, and E. Mower Provost, “FluencyBank Timestamped: An updated data set for disfluency detection and automatic intended speech recognition,” </w:t>
      </w:r>
      <w:r>
        <w:rPr>
          <w:i/>
          <w:iCs/>
          <w:rtl w:val="0"/>
        </w:rPr>
        <w:t xml:space="preserve">Journal of Speech, Language, and Hearing Research</w:t>
      </w:r>
      <w:r>
        <w:rPr>
          <w:rtl w:val="0"/>
        </w:rPr>
        <w:t xml:space="preserve">, vol. 67, no. 11, pp. 4203–4215, 2024, doi:</w:t>
      </w:r>
      <w:hyperlink r:id="rId27" w:tooltip="https://doi.org/10.1044/2024_JSLHR-24-00070" w:history="1">
        <w:r>
          <w:rPr>
            <w:rtl w:val="0"/>
          </w:rPr>
          <w:t xml:space="preserve"> </w:t>
        </w:r>
      </w:hyperlink>
      <w:r/>
      <w:hyperlink r:id="rId28" w:tooltip="https://doi.org/10.1044/2024_JSLHR-24-00070" w:history="1">
        <w:r>
          <w:rPr>
            <w:color w:val="1155cc"/>
            <w:u w:val="single"/>
            <w:rtl w:val="0"/>
          </w:rPr>
          <w:t xml:space="preserve">10.1044/2024_JSLHR-24-00070</w:t>
        </w:r>
      </w:hyperlink>
      <w:r>
        <w:rPr>
          <w:rtl w:val="0"/>
        </w:rPr>
        <w:t xml:space="preserve">.</w:t>
      </w:r>
      <w:r/>
    </w:p>
    <w:p w14:paraId="00000049">
      <w:pPr>
        <w:pBdr/>
        <w:spacing w:after="240" w:before="240"/>
        <w:ind/>
        <w:jc w:val="both"/>
        <w:rPr/>
      </w:pPr>
      <w:r>
        <w:rPr>
          <w:rtl w:val="0"/>
        </w:rPr>
        <w:t xml:space="preserve">[10] S. Wepner, L. Eckert, G. Kubin, and B. Schuppler, “What the filler? Both ASR systems and humans struggle more with other kinds of disfluencies than with filler particles,” in </w:t>
      </w:r>
      <w:r>
        <w:rPr>
          <w:i/>
          <w:iCs/>
          <w:rtl w:val="0"/>
        </w:rPr>
        <w:t xml:space="preserve">Proc. Interspeech 2025</w:t>
      </w:r>
      <w:r>
        <w:rPr>
          <w:rtl w:val="0"/>
        </w:rPr>
        <w:t xml:space="preserve">, 2025, pp. 2325–2329, doi:</w:t>
      </w:r>
      <w:hyperlink r:id="rId29" w:tooltip="https://doi.org/10.21437/Interspeech.2025-757" w:history="1">
        <w:r>
          <w:rPr>
            <w:rtl w:val="0"/>
          </w:rPr>
          <w:t xml:space="preserve"> </w:t>
        </w:r>
      </w:hyperlink>
      <w:r/>
      <w:hyperlink r:id="rId30" w:tooltip="https://doi.org/10.21437/Interspeech.2025-757" w:history="1">
        <w:r>
          <w:rPr>
            <w:color w:val="1155cc"/>
            <w:u w:val="single"/>
            <w:rtl w:val="0"/>
          </w:rPr>
          <w:t xml:space="preserve">10.21437/Interspeech.2025-757</w:t>
        </w:r>
      </w:hyperlink>
      <w:r>
        <w:rPr>
          <w:rtl w:val="0"/>
        </w:rPr>
        <w:t xml:space="preserve">.</w:t>
      </w:r>
      <w:r/>
    </w:p>
    <w:sectPr>
      <w:footerReference w:type="default" r:id="rId9"/>
      <w:footnotePr/>
      <w:endnotePr/>
      <w:type w:val="continuous"/>
      <w:pgSz w:h="15874" w:orient="portrait" w:w="11906"/>
      <w:pgMar w:top="1417" w:right="1134" w:bottom="1417" w:left="1134" w:header="720" w:footer="720" w:gutter="0"/>
      <w:cols w:num="2" w:sep="0" w:space="1701" w:equalWidth="0">
        <w:col w:w="4677" w:space="283"/>
        <w:col w:w="4677" w:space="0"/>
      </w:cols>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 w:author="Revisión metodológica" w:date="2026-10-19T17:06:26Z" w:initials="Rm">
    <w:p w14:paraId="00000001" w14:textId="00000001">
      <w:pPr>
        <w:spacing w:line="240" w:after="0" w:lineRule="auto" w:before="0"/>
        <w:ind w:firstLine="0" w:left="0" w:right="0"/>
        <w:jc w:val="left"/>
      </w:pPr>
      <w:r>
        <w:rPr>
          <w:rFonts w:eastAsia="Arial" w:ascii="Arial" w:hAnsi="Arial" w:cs="Arial"/>
          <w:sz w:val="22"/>
        </w:rPr>
        <w:t xml:space="preserve">Confirmar la selección definitiva de tomas. La regla de elegibilidad está implementada; la selección aún requiere justificación y escucha. Documentar si el criterio se definió antes o después de las grabaciones. No seleccionar la toma con el mejor resultado de muletillas ni borrar intentos fallidos.</w:t>
      </w:r>
    </w:p>
  </w:comment>
  <w:comment w:id="4" w:author="Revisión metodológica" w:date="2026-10-19T17:06:26Z" w:initials="Rm">
    <w:p w14:paraId="00000002" w14:textId="00000002">
      <w:pPr>
        <w:spacing w:line="240" w:after="0" w:lineRule="auto" w:before="0"/>
        <w:ind w:firstLine="0" w:left="0" w:right="0"/>
        <w:jc w:val="left"/>
      </w:pPr>
      <w:r>
        <w:rPr>
          <w:rFonts w:eastAsia="Arial" w:ascii="Arial" w:hAnsi="Arial" w:cs="Arial"/>
          <w:sz w:val="22"/>
        </w:rPr>
        <w:t xml:space="preserve">El RAR contiene cero evaluaciones, encuestas y anotaciones para D001–D010. Si se aplican después, actualizar métodos y resultados con quién revisó, criterio para muletillas y énfasis, búsqueda de omisiones y tratamiento de discrepancias. No describir como ejecutada la revisión de dos evaluadores propuesta en el protocolo inicial.</w:t>
      </w:r>
    </w:p>
  </w:comment>
  <w:comment w:id="3" w:author="Revisión metodológica" w:date="2026-10-19T17:06:26Z" w:initials="Rm">
    <w:p w14:paraId="00000003" w14:textId="00000003">
      <w:pPr>
        <w:spacing w:line="240" w:after="0" w:lineRule="auto" w:before="0"/>
        <w:ind w:firstLine="0" w:left="0" w:right="0"/>
        <w:jc w:val="left"/>
      </w:pPr>
      <w:r>
        <w:rPr>
          <w:rFonts w:eastAsia="Arial" w:ascii="Arial" w:hAnsi="Arial" w:cs="Arial"/>
          <w:sz w:val="22"/>
        </w:rPr>
        <w:t xml:space="preserve">La intervención declarada consiste en recomendaciones revisadas antes de la segunda lectura. Aun así, el sistema registra activación de consejos en todas las tomas Antes y en Después de D001–D004. La configuración por sí sola no prueba presentación, atención o recepción efectiva. Si existió asistencia adicional durante las tomas, describirla; no asumir ausencia total de consejos por la aclaración sobre preparación previa.</w:t>
      </w:r>
    </w:p>
  </w:comment>
  <w:comment w:id="2" w:author="Revisión metodológica" w:date="2026-10-19T17:06:26Z" w:initials="Rm">
    <w:p w14:paraId="00000004" w14:textId="00000004">
      <w:pPr>
        <w:spacing w:line="240" w:after="0" w:lineRule="auto" w:before="0"/>
        <w:ind w:firstLine="0" w:left="0" w:right="0"/>
        <w:jc w:val="left"/>
      </w:pPr>
      <w:r>
        <w:rPr>
          <w:rFonts w:eastAsia="Arial" w:ascii="Arial" w:hAnsi="Arial" w:cs="Arial"/>
          <w:sz w:val="22"/>
        </w:rPr>
        <w:t xml:space="preserve">Confirmado por el participante: leyó los guiones en ambas etapas y revisó recomendaciones generadas por IA antes de iniciar la segunda lectura. El momento de la intervención ya está incorporado. Para reproducirla, conviene conservar las recomendaciones concretas y precisar duración de su revisión, tiempo objetivo y condiciones de lectura. La plataforma de generación no ha sido especificada y no se atribuye la intervención exclusivamente a ENSAIA. No describir como medida una intervención durante el habla.</w:t>
      </w:r>
    </w:p>
  </w:comment>
  <w:comment w:id="1" w:author="Revisión metodológica" w:date="2026-10-19T17:06:26Z" w:initials="Rm">
    <w:p w14:paraId="00000005" w14:textId="00000005">
      <w:pPr>
        <w:spacing w:line="240" w:after="0" w:lineRule="auto" w:before="0"/>
        <w:ind w:firstLine="0" w:left="0" w:right="0"/>
        <w:jc w:val="left"/>
      </w:pPr>
      <w:r>
        <w:rPr>
          <w:rFonts w:eastAsia="Arial" w:ascii="Arial" w:hAnsi="Arial" w:cs="Arial"/>
          <w:sz w:val="22"/>
        </w:rPr>
        <w:t xml:space="preserve">Confirmar qué equipos se usaron efectivamente en D001–D010: micrófono de celular, placa ESP8266 física y laptop. El acta de EMQX deja pendiente la prueba física, mientras los resúmenes de esas sesiones marcan dispositivo no simulado. Añadir modelos y sistema operativo si están disponibles; no confundir compilación con verificación de hardware.</w:t>
      </w:r>
    </w:p>
  </w:comment>
  <w:comment w:id="0" w:author="Revisión metodológica" w:date="2026-10-19T17:06:26Z" w:initials="Rm">
    <w:p w14:paraId="00000006" w14:textId="00000006">
      <w:pPr>
        <w:spacing w:line="240" w:after="0" w:lineRule="auto" w:before="0"/>
        <w:ind w:firstLine="0" w:left="0" w:right="0"/>
        <w:jc w:val="left"/>
      </w:pPr>
      <w:r>
        <w:rPr>
          <w:rFonts w:eastAsia="Arial" w:ascii="Arial" w:hAnsi="Arial" w:cs="Arial"/>
          <w:sz w:val="22"/>
        </w:rPr>
        <w:t xml:space="preserve">Confirmado por el equipo: todas las grabaciones D001–D010 las realizó David. Completar únicamente datos pertinentes del participante y del contexto: vínculo con el equipo, ámbito de la prueba, lugar y procedimiento de aceptación de grabación y procesamiento por IA. No se han supuesto edad, carrera, ciclo ni muestreo.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1"/>
  <w15:commentEx w15:paraId="00000002" w15:done="1"/>
  <w15:commentEx w15:paraId="00000003" w15:done="1"/>
  <w15:commentEx w15:paraId="00000004" w15:done="1"/>
  <w15:commentEx w15:paraId="00000005" w15:done="1"/>
  <w15:commentEx w15:paraId="0000000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09DA31B8" w16cex:dateUtc="2026-10-19T22:06:26Z"/>
  <w16cex:commentExtensible w16cex:durableId="78A55FE2" w16cex:dateUtc="2026-10-19T22:06:26Z"/>
  <w16cex:commentExtensible w16cex:durableId="0447B102" w16cex:dateUtc="2026-10-19T22:06:26Z"/>
  <w16cex:commentExtensible w16cex:durableId="681D5751" w16cex:dateUtc="2026-10-19T22:06:26Z"/>
  <w16cex:commentExtensible w16cex:durableId="40EB6F9E" w16cex:dateUtc="2026-10-19T22:06:26Z"/>
  <w16cex:commentExtensible w16cex:durableId="5C669A3A" w16cex:dateUtc="2026-10-19T22:06:26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09DA31B8"/>
  <w16cid:commentId w16cid:paraId="00000002" w16cid:durableId="78A55FE2"/>
  <w16cid:commentId w16cid:paraId="00000003" w16cid:durableId="0447B102"/>
  <w16cid:commentId w16cid:paraId="00000004" w16cid:durableId="681D5751"/>
  <w16cid:commentId w16cid:paraId="00000005" w16cid:durableId="40EB6F9E"/>
  <w16cid:commentId w16cid:paraId="00000006" w16cid:durableId="5C669A3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ourier">
    <w:panose1 w:val="020703090202050204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4B">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680"/>
        <w:tab w:val="right" w:leader="none" w:pos="9360"/>
      </w:tabs>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787878"/>
        <w:sz w:val="16"/>
        <w:szCs w:val="16"/>
        <w:u w:val="none"/>
        <w:shd w:val="clear" w:color="auto" w:fill="auto"/>
        <w:vertAlign w:val="baseline"/>
        <w:rtl w:val="0"/>
      </w:rPr>
      <w:t xml:space="preserve">INGENIUS — plantilla de trabajo para avance del proyecto</w:t>
    </w: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4C">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680"/>
        <w:tab w:val="right" w:leader="none" w:pos="9360"/>
      </w:tabs>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787878"/>
        <w:sz w:val="16"/>
        <w:szCs w:val="16"/>
        <w:u w:val="none"/>
        <w:shd w:val="clear" w:color="auto" w:fill="auto"/>
        <w:vertAlign w:val="baseline"/>
        <w:rtl w:val="0"/>
      </w:rPr>
      <w:t xml:space="preserve">INGENIUS — plantilla de trabajo para avance del proyecto</w:t>
    </w: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n" w:eastAsia="zh-CN" w:bidi="ar-SA"/>
      </w:rPr>
    </w:rPrDefault>
    <w:pPrDefault>
      <w:pPr>
        <w:pBdr/>
        <w:spacing w:after="6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2"/>
    <w:link w:val="182"/>
    <w:uiPriority w:val="99"/>
    <w:semiHidden/>
    <w:unhideWhenUsed/>
    <w:pPr>
      <w:pBdr/>
      <w:spacing w:after="0" w:line="240" w:lineRule="auto"/>
      <w:ind/>
    </w:pPr>
    <w:rPr>
      <w:sz w:val="20"/>
      <w:szCs w:val="20"/>
    </w:rPr>
  </w:style>
  <w:style w:type="character" w:styleId="182">
    <w:name w:val="Footnote Text Char"/>
    <w:basedOn w:val="710"/>
    <w:link w:val="181"/>
    <w:uiPriority w:val="99"/>
    <w:semiHidden/>
    <w:pPr>
      <w:pBdr/>
      <w:spacing/>
      <w:ind/>
    </w:pPr>
    <w:rPr>
      <w:sz w:val="20"/>
      <w:szCs w:val="20"/>
    </w:rPr>
  </w:style>
  <w:style w:type="character" w:styleId="183">
    <w:name w:val="footnote reference"/>
    <w:basedOn w:val="710"/>
    <w:uiPriority w:val="99"/>
    <w:semiHidden/>
    <w:unhideWhenUsed/>
    <w:pPr>
      <w:pBdr/>
      <w:spacing/>
      <w:ind/>
    </w:pPr>
    <w:rPr>
      <w:vertAlign w:val="superscript"/>
    </w:rPr>
  </w:style>
  <w:style w:type="paragraph" w:styleId="184">
    <w:name w:val="endnote text"/>
    <w:basedOn w:val="702"/>
    <w:link w:val="185"/>
    <w:uiPriority w:val="99"/>
    <w:semiHidden/>
    <w:unhideWhenUsed/>
    <w:pPr>
      <w:pBdr/>
      <w:spacing w:after="0" w:line="240" w:lineRule="auto"/>
      <w:ind/>
    </w:pPr>
    <w:rPr>
      <w:sz w:val="20"/>
      <w:szCs w:val="20"/>
    </w:rPr>
  </w:style>
  <w:style w:type="character" w:styleId="185">
    <w:name w:val="Endnote Text Char"/>
    <w:basedOn w:val="710"/>
    <w:link w:val="184"/>
    <w:uiPriority w:val="99"/>
    <w:semiHidden/>
    <w:pPr>
      <w:pBdr/>
      <w:spacing/>
      <w:ind/>
    </w:pPr>
    <w:rPr>
      <w:sz w:val="20"/>
      <w:szCs w:val="20"/>
    </w:rPr>
  </w:style>
  <w:style w:type="character" w:styleId="186">
    <w:name w:val="endnote reference"/>
    <w:basedOn w:val="710"/>
    <w:uiPriority w:val="99"/>
    <w:semiHidden/>
    <w:unhideWhenUsed/>
    <w:pPr>
      <w:pBdr/>
      <w:spacing/>
      <w:ind/>
    </w:pPr>
    <w:rPr>
      <w:vertAlign w:val="superscript"/>
    </w:rPr>
  </w:style>
  <w:style w:type="character" w:styleId="187">
    <w:name w:val="Hyperlink"/>
    <w:basedOn w:val="710"/>
    <w:uiPriority w:val="99"/>
    <w:unhideWhenUsed/>
    <w:pPr>
      <w:pBdr/>
      <w:spacing/>
      <w:ind/>
    </w:pPr>
    <w:rPr>
      <w:color w:val="0563c1" w:themeColor="hyperlink"/>
      <w:u w:val="single"/>
    </w:rPr>
  </w:style>
  <w:style w:type="character" w:styleId="188">
    <w:name w:val="FollowedHyperlink"/>
    <w:basedOn w:val="710"/>
    <w:uiPriority w:val="99"/>
    <w:semiHidden/>
    <w:unhideWhenUsed/>
    <w:pPr>
      <w:pBdr/>
      <w:spacing/>
      <w:ind/>
    </w:pPr>
    <w:rPr>
      <w:color w:val="954f72" w:themeColor="followedHyperlink"/>
      <w:u w:val="single"/>
    </w:rPr>
  </w:style>
  <w:style w:type="paragraph" w:styleId="189">
    <w:name w:val="toc 1"/>
    <w:basedOn w:val="702"/>
    <w:next w:val="702"/>
    <w:uiPriority w:val="39"/>
    <w:unhideWhenUsed/>
    <w:pPr>
      <w:pBdr/>
      <w:spacing w:after="100"/>
      <w:ind/>
    </w:pPr>
  </w:style>
  <w:style w:type="paragraph" w:styleId="190">
    <w:name w:val="toc 2"/>
    <w:basedOn w:val="702"/>
    <w:next w:val="702"/>
    <w:uiPriority w:val="39"/>
    <w:unhideWhenUsed/>
    <w:pPr>
      <w:pBdr/>
      <w:spacing w:after="100"/>
      <w:ind w:left="220"/>
    </w:pPr>
  </w:style>
  <w:style w:type="paragraph" w:styleId="191">
    <w:name w:val="toc 3"/>
    <w:basedOn w:val="702"/>
    <w:next w:val="702"/>
    <w:uiPriority w:val="39"/>
    <w:unhideWhenUsed/>
    <w:pPr>
      <w:pBdr/>
      <w:spacing w:after="100"/>
      <w:ind w:left="440"/>
    </w:pPr>
  </w:style>
  <w:style w:type="paragraph" w:styleId="192">
    <w:name w:val="toc 4"/>
    <w:basedOn w:val="702"/>
    <w:next w:val="702"/>
    <w:uiPriority w:val="39"/>
    <w:unhideWhenUsed/>
    <w:pPr>
      <w:pBdr/>
      <w:spacing w:after="100"/>
      <w:ind w:left="660"/>
    </w:pPr>
  </w:style>
  <w:style w:type="paragraph" w:styleId="193">
    <w:name w:val="toc 5"/>
    <w:basedOn w:val="702"/>
    <w:next w:val="702"/>
    <w:uiPriority w:val="39"/>
    <w:unhideWhenUsed/>
    <w:pPr>
      <w:pBdr/>
      <w:spacing w:after="100"/>
      <w:ind w:left="880"/>
    </w:pPr>
  </w:style>
  <w:style w:type="paragraph" w:styleId="194">
    <w:name w:val="toc 6"/>
    <w:basedOn w:val="702"/>
    <w:next w:val="702"/>
    <w:uiPriority w:val="39"/>
    <w:unhideWhenUsed/>
    <w:pPr>
      <w:pBdr/>
      <w:spacing w:after="100"/>
      <w:ind w:left="1100"/>
    </w:pPr>
  </w:style>
  <w:style w:type="paragraph" w:styleId="195">
    <w:name w:val="toc 7"/>
    <w:basedOn w:val="702"/>
    <w:next w:val="702"/>
    <w:uiPriority w:val="39"/>
    <w:unhideWhenUsed/>
    <w:pPr>
      <w:pBdr/>
      <w:spacing w:after="100"/>
      <w:ind w:left="1320"/>
    </w:pPr>
  </w:style>
  <w:style w:type="paragraph" w:styleId="196">
    <w:name w:val="toc 8"/>
    <w:basedOn w:val="702"/>
    <w:next w:val="702"/>
    <w:uiPriority w:val="39"/>
    <w:unhideWhenUsed/>
    <w:pPr>
      <w:pBdr/>
      <w:spacing w:after="100"/>
      <w:ind w:left="1540"/>
    </w:pPr>
  </w:style>
  <w:style w:type="paragraph" w:styleId="197">
    <w:name w:val="toc 9"/>
    <w:basedOn w:val="702"/>
    <w:next w:val="702"/>
    <w:uiPriority w:val="39"/>
    <w:unhideWhenUsed/>
    <w:pPr>
      <w:pBdr/>
      <w:spacing w:after="100"/>
      <w:ind w:left="1760"/>
    </w:pPr>
  </w:style>
  <w:style w:type="character" w:styleId="198">
    <w:name w:val="Placeholder Text"/>
    <w:basedOn w:val="710"/>
    <w:uiPriority w:val="99"/>
    <w:semiHidden/>
    <w:pPr>
      <w:pBdr/>
      <w:spacing/>
      <w:ind/>
    </w:pPr>
    <w:rPr>
      <w:color w:val="666666"/>
    </w:rPr>
  </w:style>
  <w:style w:type="paragraph" w:styleId="209">
    <w:name w:val="table of figures"/>
    <w:basedOn w:val="702"/>
    <w:next w:val="702"/>
    <w:uiPriority w:val="99"/>
    <w:unhideWhenUsed/>
    <w:pPr>
      <w:pBdr/>
      <w:spacing w:after="0" w:afterAutospacing="0"/>
      <w:ind/>
    </w:pPr>
  </w:style>
  <w:style w:type="paragraph" w:styleId="694">
    <w:name w:val="Heading 1"/>
    <w:basedOn w:val="702"/>
    <w:next w:val="702"/>
    <w:pPr>
      <w:keepNext w:val="true"/>
      <w:keepLines w:val="true"/>
      <w:pBdr/>
      <w:spacing w:after="0" w:before="480"/>
      <w:ind/>
    </w:pPr>
    <w:rPr>
      <w:rFonts w:ascii="Calibri" w:hAnsi="Calibri" w:eastAsia="Calibri" w:cs="Calibri"/>
      <w:b/>
      <w:bCs/>
      <w:color w:val="366091"/>
      <w:sz w:val="28"/>
      <w:szCs w:val="28"/>
    </w:rPr>
  </w:style>
  <w:style w:type="paragraph" w:styleId="695">
    <w:name w:val="Heading 2"/>
    <w:basedOn w:val="702"/>
    <w:next w:val="702"/>
    <w:pPr>
      <w:keepNext w:val="true"/>
      <w:keepLines w:val="true"/>
      <w:pBdr/>
      <w:spacing w:after="0" w:before="200"/>
      <w:ind/>
    </w:pPr>
    <w:rPr>
      <w:rFonts w:ascii="Calibri" w:hAnsi="Calibri" w:eastAsia="Calibri" w:cs="Calibri"/>
      <w:b/>
      <w:bCs/>
      <w:color w:val="4f81bd"/>
      <w:sz w:val="26"/>
      <w:szCs w:val="26"/>
    </w:rPr>
  </w:style>
  <w:style w:type="paragraph" w:styleId="696">
    <w:name w:val="Heading 3"/>
    <w:basedOn w:val="702"/>
    <w:next w:val="702"/>
    <w:pPr>
      <w:keepNext w:val="true"/>
      <w:keepLines w:val="true"/>
      <w:pBdr/>
      <w:spacing w:after="0" w:before="200"/>
      <w:ind/>
    </w:pPr>
    <w:rPr>
      <w:rFonts w:ascii="Calibri" w:hAnsi="Calibri" w:eastAsia="Calibri" w:cs="Calibri"/>
      <w:b/>
      <w:bCs/>
      <w:color w:val="4f81bd"/>
    </w:rPr>
  </w:style>
  <w:style w:type="paragraph" w:styleId="697">
    <w:name w:val="Heading 4"/>
    <w:basedOn w:val="702"/>
    <w:next w:val="702"/>
    <w:pPr>
      <w:keepNext w:val="true"/>
      <w:keepLines w:val="true"/>
      <w:pBdr/>
      <w:spacing w:after="0" w:before="200"/>
      <w:ind/>
    </w:pPr>
    <w:rPr>
      <w:rFonts w:ascii="Calibri" w:hAnsi="Calibri" w:eastAsia="Calibri" w:cs="Calibri"/>
      <w:b/>
      <w:bCs/>
      <w:i/>
      <w:iCs/>
      <w:color w:val="4f81bd"/>
    </w:rPr>
  </w:style>
  <w:style w:type="paragraph" w:styleId="698">
    <w:name w:val="Heading 5"/>
    <w:basedOn w:val="702"/>
    <w:next w:val="702"/>
    <w:pPr>
      <w:keepNext w:val="true"/>
      <w:keepLines w:val="true"/>
      <w:pBdr/>
      <w:spacing w:after="0" w:before="200"/>
      <w:ind/>
    </w:pPr>
    <w:rPr>
      <w:rFonts w:ascii="Calibri" w:hAnsi="Calibri" w:eastAsia="Calibri" w:cs="Calibri"/>
      <w:color w:val="243f61"/>
    </w:rPr>
  </w:style>
  <w:style w:type="paragraph" w:styleId="699">
    <w:name w:val="Heading 6"/>
    <w:basedOn w:val="702"/>
    <w:next w:val="702"/>
    <w:pPr>
      <w:keepNext w:val="true"/>
      <w:keepLines w:val="true"/>
      <w:pBdr/>
      <w:spacing w:after="0" w:before="200"/>
      <w:ind/>
    </w:pPr>
    <w:rPr>
      <w:rFonts w:ascii="Calibri" w:hAnsi="Calibri" w:eastAsia="Calibri" w:cs="Calibri"/>
      <w:i/>
      <w:iCs/>
      <w:color w:val="243f61"/>
    </w:rPr>
  </w:style>
  <w:style w:type="paragraph" w:styleId="700">
    <w:name w:val="Title"/>
    <w:basedOn w:val="702"/>
    <w:next w:val="702"/>
    <w:pPr>
      <w:pBdr>
        <w:bottom w:val="single" w:color="4f81bd" w:sz="8" w:space="4"/>
      </w:pBdr>
      <w:spacing w:after="300" w:line="240" w:lineRule="auto"/>
      <w:ind/>
    </w:pPr>
    <w:rPr>
      <w:rFonts w:ascii="Calibri" w:hAnsi="Calibri" w:eastAsia="Calibri" w:cs="Calibri"/>
      <w:color w:val="17365d"/>
      <w:sz w:val="52"/>
      <w:szCs w:val="52"/>
    </w:rPr>
  </w:style>
  <w:style w:type="paragraph" w:styleId="702" w:default="1">
    <w:name w:val="Normal"/>
    <w:pPr>
      <w:pBdr/>
      <w:spacing/>
      <w:ind/>
    </w:pPr>
  </w:style>
  <w:style w:type="paragraph" w:styleId="703">
    <w:name w:val="Header"/>
    <w:basedOn w:val="702"/>
    <w:link w:val="704"/>
    <w:uiPriority w:val="99"/>
    <w:unhideWhenUsed/>
    <w:pPr>
      <w:pBdr/>
      <w:tabs>
        <w:tab w:val="center" w:leader="none" w:pos="4680"/>
        <w:tab w:val="right" w:leader="none" w:pos="9360"/>
      </w:tabs>
      <w:spacing w:after="0" w:line="240" w:lineRule="auto"/>
      <w:ind/>
    </w:pPr>
  </w:style>
  <w:style w:type="character" w:styleId="704" w:customStyle="1">
    <w:name w:val="Header Char"/>
    <w:basedOn w:val="710"/>
    <w:link w:val="703"/>
    <w:uiPriority w:val="99"/>
    <w:pPr>
      <w:pBdr/>
      <w:spacing/>
      <w:ind/>
    </w:pPr>
  </w:style>
  <w:style w:type="paragraph" w:styleId="705">
    <w:name w:val="Footer"/>
    <w:basedOn w:val="702"/>
    <w:link w:val="706"/>
    <w:uiPriority w:val="99"/>
    <w:unhideWhenUsed/>
    <w:pPr>
      <w:pBdr/>
      <w:tabs>
        <w:tab w:val="center" w:leader="none" w:pos="4680"/>
        <w:tab w:val="right" w:leader="none" w:pos="9360"/>
      </w:tabs>
      <w:spacing w:after="0" w:line="240" w:lineRule="auto"/>
      <w:ind/>
    </w:pPr>
  </w:style>
  <w:style w:type="character" w:styleId="706" w:customStyle="1">
    <w:name w:val="Footer Char"/>
    <w:basedOn w:val="710"/>
    <w:link w:val="705"/>
    <w:uiPriority w:val="99"/>
    <w:pPr>
      <w:pBdr/>
      <w:spacing/>
      <w:ind/>
    </w:pPr>
  </w:style>
  <w:style w:type="paragraph" w:styleId="707">
    <w:name w:val="Heading 7"/>
    <w:basedOn w:val="702"/>
    <w:next w:val="702"/>
    <w:link w:val="745"/>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00"/>
    </w:rPr>
  </w:style>
  <w:style w:type="paragraph" w:styleId="708">
    <w:name w:val="Heading 8"/>
    <w:basedOn w:val="702"/>
    <w:next w:val="702"/>
    <w:link w:val="746"/>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9">
    <w:name w:val="Heading 9"/>
    <w:basedOn w:val="702"/>
    <w:next w:val="702"/>
    <w:link w:val="747"/>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00"/>
      <w:sz w:val="20"/>
      <w:szCs w:val="20"/>
    </w:rPr>
  </w:style>
  <w:style w:type="character" w:styleId="710" w:default="1">
    <w:name w:val="Default Paragraph Font"/>
    <w:uiPriority w:val="1"/>
    <w:semiHidden/>
    <w:unhideWhenUsed/>
    <w:pPr>
      <w:pBdr/>
      <w:spacing/>
      <w:ind/>
    </w:pPr>
  </w:style>
  <w:style w:type="table" w:styleId="7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2" w:default="1">
    <w:name w:val="No List"/>
    <w:uiPriority w:val="99"/>
    <w:semiHidden/>
    <w:unhideWhenUsed/>
    <w:pPr>
      <w:pBdr/>
      <w:spacing/>
      <w:ind/>
    </w:pPr>
  </w:style>
  <w:style w:type="paragraph" w:styleId="713">
    <w:name w:val="No Spacing"/>
    <w:uiPriority w:val="1"/>
    <w:qFormat/>
    <w:pPr>
      <w:pBdr/>
      <w:spacing w:after="0" w:line="240" w:lineRule="auto"/>
      <w:ind/>
    </w:pPr>
  </w:style>
  <w:style w:type="character" w:styleId="714" w:customStyle="1">
    <w:name w:val="Heading 1 Char"/>
    <w:basedOn w:val="710"/>
    <w:link w:val="694"/>
    <w:uiPriority w:val="9"/>
    <w:pPr>
      <w:pBdr/>
      <w:spacing/>
      <w:ind/>
    </w:pPr>
    <w:rPr>
      <w:rFonts w:asciiTheme="majorHAnsi" w:hAnsiTheme="majorHAnsi" w:eastAsiaTheme="majorEastAsia" w:cstheme="majorBidi"/>
      <w:b/>
      <w:bCs/>
      <w:color w:val="365f91" w:themeColor="accent1" w:themeShade="00"/>
      <w:sz w:val="28"/>
      <w:szCs w:val="28"/>
    </w:rPr>
  </w:style>
  <w:style w:type="character" w:styleId="715" w:customStyle="1">
    <w:name w:val="Heading 2 Char"/>
    <w:basedOn w:val="710"/>
    <w:link w:val="695"/>
    <w:uiPriority w:val="9"/>
    <w:pPr>
      <w:pBdr/>
      <w:spacing/>
      <w:ind/>
    </w:pPr>
    <w:rPr>
      <w:rFonts w:asciiTheme="majorHAnsi" w:hAnsiTheme="majorHAnsi" w:eastAsiaTheme="majorEastAsia" w:cstheme="majorBidi"/>
      <w:b/>
      <w:bCs/>
      <w:color w:val="4f81bd" w:themeColor="accent1"/>
      <w:sz w:val="26"/>
      <w:szCs w:val="26"/>
    </w:rPr>
  </w:style>
  <w:style w:type="character" w:styleId="716" w:customStyle="1">
    <w:name w:val="Heading 3 Char"/>
    <w:basedOn w:val="710"/>
    <w:link w:val="696"/>
    <w:uiPriority w:val="9"/>
    <w:pPr>
      <w:pBdr/>
      <w:spacing/>
      <w:ind/>
    </w:pPr>
    <w:rPr>
      <w:rFonts w:asciiTheme="majorHAnsi" w:hAnsiTheme="majorHAnsi" w:eastAsiaTheme="majorEastAsia" w:cstheme="majorBidi"/>
      <w:b/>
      <w:bCs/>
      <w:color w:val="4f81bd" w:themeColor="accent1"/>
    </w:rPr>
  </w:style>
  <w:style w:type="character" w:styleId="717" w:customStyle="1">
    <w:name w:val="Title Char"/>
    <w:basedOn w:val="710"/>
    <w:link w:val="700"/>
    <w:uiPriority w:val="10"/>
    <w:pPr>
      <w:pBdr/>
      <w:spacing/>
      <w:ind/>
    </w:pPr>
    <w:rPr>
      <w:rFonts w:asciiTheme="majorHAnsi" w:hAnsiTheme="majorHAnsi" w:eastAsiaTheme="majorEastAsia" w:cstheme="majorBidi"/>
      <w:color w:val="17365d" w:themeColor="text2" w:themeShade="00"/>
      <w:spacing w:val="5"/>
      <w:sz w:val="52"/>
      <w:szCs w:val="52"/>
    </w:rPr>
  </w:style>
  <w:style w:type="character" w:styleId="718" w:customStyle="1">
    <w:name w:val="Subtitle Char"/>
    <w:basedOn w:val="710"/>
    <w:link w:val="858"/>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9">
    <w:name w:val="List Paragraph"/>
    <w:basedOn w:val="702"/>
    <w:uiPriority w:val="34"/>
    <w:qFormat/>
    <w:pPr>
      <w:pBdr/>
      <w:spacing/>
      <w:ind w:left="720"/>
      <w:contextualSpacing w:val="true"/>
    </w:pPr>
  </w:style>
  <w:style w:type="paragraph" w:styleId="720">
    <w:name w:val="Body Text"/>
    <w:basedOn w:val="702"/>
    <w:link w:val="721"/>
    <w:uiPriority w:val="99"/>
    <w:unhideWhenUsed/>
    <w:pPr>
      <w:pBdr/>
      <w:spacing w:after="120"/>
      <w:ind/>
    </w:pPr>
  </w:style>
  <w:style w:type="character" w:styleId="721" w:customStyle="1">
    <w:name w:val="Body Text Char"/>
    <w:basedOn w:val="710"/>
    <w:link w:val="720"/>
    <w:uiPriority w:val="99"/>
    <w:pPr>
      <w:pBdr/>
      <w:spacing/>
      <w:ind/>
    </w:pPr>
  </w:style>
  <w:style w:type="paragraph" w:styleId="722">
    <w:name w:val="Body Text 2"/>
    <w:basedOn w:val="702"/>
    <w:link w:val="723"/>
    <w:uiPriority w:val="99"/>
    <w:unhideWhenUsed/>
    <w:pPr>
      <w:pBdr/>
      <w:spacing w:after="120" w:line="480" w:lineRule="auto"/>
      <w:ind/>
    </w:pPr>
  </w:style>
  <w:style w:type="character" w:styleId="723" w:customStyle="1">
    <w:name w:val="Body Text 2 Char"/>
    <w:basedOn w:val="710"/>
    <w:link w:val="722"/>
    <w:uiPriority w:val="99"/>
    <w:pPr>
      <w:pBdr/>
      <w:spacing/>
      <w:ind/>
    </w:pPr>
  </w:style>
  <w:style w:type="paragraph" w:styleId="724">
    <w:name w:val="Body Text 3"/>
    <w:basedOn w:val="702"/>
    <w:link w:val="725"/>
    <w:uiPriority w:val="99"/>
    <w:unhideWhenUsed/>
    <w:pPr>
      <w:pBdr/>
      <w:spacing w:after="120"/>
      <w:ind/>
    </w:pPr>
    <w:rPr>
      <w:sz w:val="16"/>
      <w:szCs w:val="16"/>
    </w:rPr>
  </w:style>
  <w:style w:type="character" w:styleId="725" w:customStyle="1">
    <w:name w:val="Body Text 3 Char"/>
    <w:basedOn w:val="710"/>
    <w:link w:val="724"/>
    <w:uiPriority w:val="99"/>
    <w:pPr>
      <w:pBdr/>
      <w:spacing/>
      <w:ind/>
    </w:pPr>
    <w:rPr>
      <w:sz w:val="16"/>
      <w:szCs w:val="16"/>
    </w:rPr>
  </w:style>
  <w:style w:type="paragraph" w:styleId="726">
    <w:name w:val="List"/>
    <w:basedOn w:val="702"/>
    <w:uiPriority w:val="99"/>
    <w:unhideWhenUsed/>
    <w:pPr>
      <w:pBdr/>
      <w:spacing/>
      <w:ind w:hanging="360" w:left="360"/>
      <w:contextualSpacing w:val="true"/>
    </w:pPr>
  </w:style>
  <w:style w:type="paragraph" w:styleId="727">
    <w:name w:val="List 2"/>
    <w:basedOn w:val="702"/>
    <w:uiPriority w:val="99"/>
    <w:unhideWhenUsed/>
    <w:pPr>
      <w:pBdr/>
      <w:spacing/>
      <w:ind w:hanging="360" w:left="720"/>
      <w:contextualSpacing w:val="true"/>
    </w:pPr>
  </w:style>
  <w:style w:type="paragraph" w:styleId="728">
    <w:name w:val="List 3"/>
    <w:basedOn w:val="702"/>
    <w:uiPriority w:val="99"/>
    <w:unhideWhenUsed/>
    <w:pPr>
      <w:pBdr/>
      <w:spacing/>
      <w:ind w:hanging="360" w:left="1080"/>
      <w:contextualSpacing w:val="true"/>
    </w:pPr>
  </w:style>
  <w:style w:type="paragraph" w:styleId="729">
    <w:name w:val="List Bullet"/>
    <w:basedOn w:val="702"/>
    <w:uiPriority w:val="99"/>
    <w:unhideWhenUsed/>
    <w:pPr>
      <w:numPr>
        <w:numId w:val="0"/>
      </w:numPr>
      <w:pBdr/>
      <w:spacing/>
      <w:ind/>
      <w:contextualSpacing w:val="true"/>
    </w:pPr>
  </w:style>
  <w:style w:type="paragraph" w:styleId="730">
    <w:name w:val="List Bullet 2"/>
    <w:basedOn w:val="702"/>
    <w:uiPriority w:val="99"/>
    <w:unhideWhenUsed/>
    <w:pPr>
      <w:numPr>
        <w:numId w:val="0"/>
      </w:numPr>
      <w:pBdr/>
      <w:spacing/>
      <w:ind/>
      <w:contextualSpacing w:val="true"/>
    </w:pPr>
  </w:style>
  <w:style w:type="paragraph" w:styleId="731">
    <w:name w:val="List Bullet 3"/>
    <w:basedOn w:val="702"/>
    <w:uiPriority w:val="99"/>
    <w:unhideWhenUsed/>
    <w:pPr>
      <w:numPr>
        <w:numId w:val="0"/>
      </w:numPr>
      <w:pBdr/>
      <w:spacing/>
      <w:ind/>
      <w:contextualSpacing w:val="true"/>
    </w:pPr>
  </w:style>
  <w:style w:type="paragraph" w:styleId="732">
    <w:name w:val="List Number"/>
    <w:basedOn w:val="702"/>
    <w:uiPriority w:val="99"/>
    <w:unhideWhenUsed/>
    <w:pPr>
      <w:numPr>
        <w:numId w:val="0"/>
      </w:numPr>
      <w:pBdr/>
      <w:spacing/>
      <w:ind/>
      <w:contextualSpacing w:val="true"/>
    </w:pPr>
  </w:style>
  <w:style w:type="paragraph" w:styleId="733">
    <w:name w:val="List Number 2"/>
    <w:basedOn w:val="702"/>
    <w:uiPriority w:val="99"/>
    <w:unhideWhenUsed/>
    <w:pPr>
      <w:numPr>
        <w:numId w:val="0"/>
      </w:numPr>
      <w:pBdr/>
      <w:spacing/>
      <w:ind/>
      <w:contextualSpacing w:val="true"/>
    </w:pPr>
  </w:style>
  <w:style w:type="paragraph" w:styleId="734">
    <w:name w:val="List Number 3"/>
    <w:basedOn w:val="702"/>
    <w:uiPriority w:val="99"/>
    <w:unhideWhenUsed/>
    <w:pPr>
      <w:numPr>
        <w:numId w:val="0"/>
      </w:numPr>
      <w:pBdr/>
      <w:spacing/>
      <w:ind/>
      <w:contextualSpacing w:val="true"/>
    </w:pPr>
  </w:style>
  <w:style w:type="paragraph" w:styleId="735">
    <w:name w:val="List Continue"/>
    <w:basedOn w:val="702"/>
    <w:uiPriority w:val="99"/>
    <w:unhideWhenUsed/>
    <w:pPr>
      <w:pBdr/>
      <w:spacing w:after="120"/>
      <w:ind w:left="360"/>
      <w:contextualSpacing w:val="true"/>
    </w:pPr>
  </w:style>
  <w:style w:type="paragraph" w:styleId="736">
    <w:name w:val="List Continue 2"/>
    <w:basedOn w:val="702"/>
    <w:uiPriority w:val="99"/>
    <w:unhideWhenUsed/>
    <w:pPr>
      <w:pBdr/>
      <w:spacing w:after="120"/>
      <w:ind w:left="720"/>
      <w:contextualSpacing w:val="true"/>
    </w:pPr>
  </w:style>
  <w:style w:type="paragraph" w:styleId="737">
    <w:name w:val="List Continue 3"/>
    <w:basedOn w:val="702"/>
    <w:uiPriority w:val="99"/>
    <w:unhideWhenUsed/>
    <w:pPr>
      <w:pBdr/>
      <w:spacing w:after="120"/>
      <w:ind w:left="1080"/>
      <w:contextualSpacing w:val="true"/>
    </w:pPr>
  </w:style>
  <w:style w:type="paragraph" w:styleId="738">
    <w:name w:val="macro"/>
    <w:link w:val="739"/>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9" w:customStyle="1">
    <w:name w:val="Macro Text Char"/>
    <w:basedOn w:val="710"/>
    <w:link w:val="738"/>
    <w:uiPriority w:val="99"/>
    <w:pPr>
      <w:pBdr/>
      <w:spacing/>
      <w:ind/>
    </w:pPr>
    <w:rPr>
      <w:rFonts w:ascii="Courier" w:hAnsi="Courier"/>
      <w:sz w:val="20"/>
      <w:szCs w:val="20"/>
    </w:rPr>
  </w:style>
  <w:style w:type="paragraph" w:styleId="740">
    <w:name w:val="Quote"/>
    <w:basedOn w:val="702"/>
    <w:next w:val="702"/>
    <w:link w:val="741"/>
    <w:uiPriority w:val="29"/>
    <w:qFormat/>
    <w:pPr>
      <w:pBdr/>
      <w:spacing/>
      <w:ind/>
    </w:pPr>
    <w:rPr>
      <w:i/>
      <w:iCs/>
      <w:color w:val="000000" w:themeColor="text1"/>
    </w:rPr>
  </w:style>
  <w:style w:type="character" w:styleId="741" w:customStyle="1">
    <w:name w:val="Quote Char"/>
    <w:basedOn w:val="710"/>
    <w:link w:val="740"/>
    <w:uiPriority w:val="29"/>
    <w:pPr>
      <w:pBdr/>
      <w:spacing/>
      <w:ind/>
    </w:pPr>
    <w:rPr>
      <w:i/>
      <w:iCs/>
      <w:color w:val="000000" w:themeColor="text1"/>
    </w:rPr>
  </w:style>
  <w:style w:type="character" w:styleId="742" w:customStyle="1">
    <w:name w:val="Heading 4 Char"/>
    <w:basedOn w:val="710"/>
    <w:link w:val="697"/>
    <w:uiPriority w:val="9"/>
    <w:semiHidden/>
    <w:pPr>
      <w:pBdr/>
      <w:spacing/>
      <w:ind/>
    </w:pPr>
    <w:rPr>
      <w:rFonts w:asciiTheme="majorHAnsi" w:hAnsiTheme="majorHAnsi" w:eastAsiaTheme="majorEastAsia" w:cstheme="majorBidi"/>
      <w:b/>
      <w:bCs/>
      <w:i/>
      <w:iCs/>
      <w:color w:val="4f81bd" w:themeColor="accent1"/>
    </w:rPr>
  </w:style>
  <w:style w:type="character" w:styleId="743" w:customStyle="1">
    <w:name w:val="Heading 5 Char"/>
    <w:basedOn w:val="710"/>
    <w:link w:val="698"/>
    <w:uiPriority w:val="9"/>
    <w:semiHidden/>
    <w:pPr>
      <w:pBdr/>
      <w:spacing/>
      <w:ind/>
    </w:pPr>
    <w:rPr>
      <w:rFonts w:asciiTheme="majorHAnsi" w:hAnsiTheme="majorHAnsi" w:eastAsiaTheme="majorEastAsia" w:cstheme="majorBidi"/>
      <w:color w:val="243f60" w:themeColor="accent1" w:themeShade="00"/>
    </w:rPr>
  </w:style>
  <w:style w:type="character" w:styleId="744" w:customStyle="1">
    <w:name w:val="Heading 6 Char"/>
    <w:basedOn w:val="710"/>
    <w:link w:val="699"/>
    <w:uiPriority w:val="9"/>
    <w:semiHidden/>
    <w:pPr>
      <w:pBdr/>
      <w:spacing/>
      <w:ind/>
    </w:pPr>
    <w:rPr>
      <w:rFonts w:asciiTheme="majorHAnsi" w:hAnsiTheme="majorHAnsi" w:eastAsiaTheme="majorEastAsia" w:cstheme="majorBidi"/>
      <w:i/>
      <w:iCs/>
      <w:color w:val="243f60" w:themeColor="accent1" w:themeShade="00"/>
    </w:rPr>
  </w:style>
  <w:style w:type="character" w:styleId="745" w:customStyle="1">
    <w:name w:val="Heading 7 Char"/>
    <w:basedOn w:val="710"/>
    <w:link w:val="707"/>
    <w:uiPriority w:val="9"/>
    <w:semiHidden/>
    <w:pPr>
      <w:pBdr/>
      <w:spacing/>
      <w:ind/>
    </w:pPr>
    <w:rPr>
      <w:rFonts w:asciiTheme="majorHAnsi" w:hAnsiTheme="majorHAnsi" w:eastAsiaTheme="majorEastAsia" w:cstheme="majorBidi"/>
      <w:i/>
      <w:iCs/>
      <w:color w:val="404040" w:themeColor="text1" w:themeTint="00"/>
    </w:rPr>
  </w:style>
  <w:style w:type="character" w:styleId="746" w:customStyle="1">
    <w:name w:val="Heading 8 Char"/>
    <w:basedOn w:val="710"/>
    <w:link w:val="708"/>
    <w:uiPriority w:val="9"/>
    <w:semiHidden/>
    <w:pPr>
      <w:pBdr/>
      <w:spacing/>
      <w:ind/>
    </w:pPr>
    <w:rPr>
      <w:rFonts w:asciiTheme="majorHAnsi" w:hAnsiTheme="majorHAnsi" w:eastAsiaTheme="majorEastAsia" w:cstheme="majorBidi"/>
      <w:color w:val="4f81bd" w:themeColor="accent1"/>
      <w:sz w:val="20"/>
      <w:szCs w:val="20"/>
    </w:rPr>
  </w:style>
  <w:style w:type="character" w:styleId="747" w:customStyle="1">
    <w:name w:val="Heading 9 Char"/>
    <w:basedOn w:val="710"/>
    <w:link w:val="709"/>
    <w:uiPriority w:val="9"/>
    <w:semiHidden/>
    <w:pPr>
      <w:pBdr/>
      <w:spacing/>
      <w:ind/>
    </w:pPr>
    <w:rPr>
      <w:rFonts w:asciiTheme="majorHAnsi" w:hAnsiTheme="majorHAnsi" w:eastAsiaTheme="majorEastAsia" w:cstheme="majorBidi"/>
      <w:i/>
      <w:iCs/>
      <w:color w:val="404040" w:themeColor="text1" w:themeTint="00"/>
      <w:sz w:val="20"/>
      <w:szCs w:val="20"/>
    </w:rPr>
  </w:style>
  <w:style w:type="paragraph" w:styleId="748">
    <w:name w:val="Caption"/>
    <w:basedOn w:val="702"/>
    <w:next w:val="702"/>
    <w:uiPriority w:val="35"/>
    <w:semiHidden/>
    <w:unhideWhenUsed/>
    <w:qFormat/>
    <w:pPr>
      <w:pBdr/>
      <w:spacing w:line="240" w:lineRule="auto"/>
      <w:ind/>
    </w:pPr>
    <w:rPr>
      <w:b/>
      <w:bCs/>
      <w:color w:val="4f81bd" w:themeColor="accent1"/>
      <w:sz w:val="18"/>
      <w:szCs w:val="18"/>
    </w:rPr>
  </w:style>
  <w:style w:type="character" w:styleId="749">
    <w:name w:val="Strong"/>
    <w:basedOn w:val="710"/>
    <w:uiPriority w:val="22"/>
    <w:qFormat/>
    <w:pPr>
      <w:pBdr/>
      <w:spacing/>
      <w:ind/>
    </w:pPr>
    <w:rPr>
      <w:b/>
      <w:bCs/>
    </w:rPr>
  </w:style>
  <w:style w:type="character" w:styleId="750">
    <w:name w:val="Emphasis"/>
    <w:basedOn w:val="710"/>
    <w:uiPriority w:val="20"/>
    <w:qFormat/>
    <w:pPr>
      <w:pBdr/>
      <w:spacing/>
      <w:ind/>
    </w:pPr>
    <w:rPr>
      <w:i/>
      <w:iCs/>
    </w:rPr>
  </w:style>
  <w:style w:type="paragraph" w:styleId="751">
    <w:name w:val="Intense Quote"/>
    <w:basedOn w:val="702"/>
    <w:next w:val="702"/>
    <w:link w:val="752"/>
    <w:uiPriority w:val="30"/>
    <w:qFormat/>
    <w:pPr>
      <w:pBdr>
        <w:bottom w:val="single" w:color="4f81bd" w:themeColor="accent1" w:sz="4" w:space="4"/>
      </w:pBdr>
      <w:spacing w:after="280" w:before="200"/>
      <w:ind w:right="936" w:left="936"/>
    </w:pPr>
    <w:rPr>
      <w:b/>
      <w:bCs/>
      <w:i/>
      <w:iCs/>
      <w:color w:val="4f81bd" w:themeColor="accent1"/>
    </w:rPr>
  </w:style>
  <w:style w:type="character" w:styleId="752" w:customStyle="1">
    <w:name w:val="Intense Quote Char"/>
    <w:basedOn w:val="710"/>
    <w:link w:val="751"/>
    <w:uiPriority w:val="30"/>
    <w:pPr>
      <w:pBdr/>
      <w:spacing/>
      <w:ind/>
    </w:pPr>
    <w:rPr>
      <w:b/>
      <w:bCs/>
      <w:i/>
      <w:iCs/>
      <w:color w:val="4f81bd" w:themeColor="accent1"/>
    </w:rPr>
  </w:style>
  <w:style w:type="character" w:styleId="753">
    <w:name w:val="Subtle Emphasis"/>
    <w:basedOn w:val="710"/>
    <w:uiPriority w:val="19"/>
    <w:qFormat/>
    <w:pPr>
      <w:pBdr/>
      <w:spacing/>
      <w:ind/>
    </w:pPr>
    <w:rPr>
      <w:i/>
      <w:iCs/>
      <w:color w:val="808080" w:themeColor="text1" w:themeTint="00"/>
    </w:rPr>
  </w:style>
  <w:style w:type="character" w:styleId="754">
    <w:name w:val="Intense Emphasis"/>
    <w:basedOn w:val="710"/>
    <w:uiPriority w:val="21"/>
    <w:qFormat/>
    <w:pPr>
      <w:pBdr/>
      <w:spacing/>
      <w:ind/>
    </w:pPr>
    <w:rPr>
      <w:b/>
      <w:bCs/>
      <w:i/>
      <w:iCs/>
      <w:color w:val="4f81bd" w:themeColor="accent1"/>
    </w:rPr>
  </w:style>
  <w:style w:type="character" w:styleId="755">
    <w:name w:val="Subtle Reference"/>
    <w:basedOn w:val="710"/>
    <w:uiPriority w:val="31"/>
    <w:qFormat/>
    <w:pPr>
      <w:pBdr/>
      <w:spacing/>
      <w:ind/>
    </w:pPr>
    <w:rPr>
      <w:smallCaps/>
      <w:color w:val="c0504d" w:themeColor="accent2"/>
      <w:u w:val="single"/>
    </w:rPr>
  </w:style>
  <w:style w:type="character" w:styleId="756">
    <w:name w:val="Intense Reference"/>
    <w:basedOn w:val="710"/>
    <w:uiPriority w:val="32"/>
    <w:qFormat/>
    <w:pPr>
      <w:pBdr/>
      <w:spacing/>
      <w:ind/>
    </w:pPr>
    <w:rPr>
      <w:b/>
      <w:bCs/>
      <w:smallCaps/>
      <w:color w:val="c0504d" w:themeColor="accent2"/>
      <w:spacing w:val="5"/>
      <w:u w:val="single"/>
    </w:rPr>
  </w:style>
  <w:style w:type="character" w:styleId="757">
    <w:name w:val="Book Title"/>
    <w:basedOn w:val="710"/>
    <w:uiPriority w:val="33"/>
    <w:qFormat/>
    <w:pPr>
      <w:pBdr/>
      <w:spacing/>
      <w:ind/>
    </w:pPr>
    <w:rPr>
      <w:b/>
      <w:bCs/>
      <w:smallCaps/>
      <w:spacing w:val="5"/>
    </w:rPr>
  </w:style>
  <w:style w:type="paragraph" w:styleId="758">
    <w:name w:val="TOC Heading"/>
    <w:basedOn w:val="694"/>
    <w:next w:val="702"/>
    <w:uiPriority w:val="39"/>
    <w:semiHidden/>
    <w:unhideWhenUsed/>
    <w:qFormat/>
    <w:pPr>
      <w:pBdr/>
      <w:spacing/>
      <w:ind/>
      <w:outlineLvl w:val="9"/>
    </w:pPr>
  </w:style>
  <w:style w:type="table" w:styleId="759">
    <w:name w:val="Table Grid"/>
    <w:basedOn w:val="7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w:basedOn w:val="711"/>
    <w:uiPriority w:val="60"/>
    <w:pPr>
      <w:pBdr/>
      <w:spacing w:after="0" w:line="240" w:lineRule="auto"/>
      <w:ind/>
    </w:pPr>
    <w:rPr>
      <w:color w:val="000000" w:themeColor="text1" w:themeShade="00"/>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00"/>
        <w:tcBorders>
          <w:left w:val="none" w:color="000000" w:sz="0" w:space="0"/>
          <w:right w:val="none" w:color="000000" w:sz="0" w:space="0"/>
        </w:tcBorders>
      </w:tcPr>
    </w:tblStylePr>
    <w:tblStylePr w:type="band1Vert">
      <w:pPr>
        <w:pBdr/>
        <w:spacing/>
        <w:ind/>
      </w:pPr>
      <w:tblPr>
        <w:tblBorders/>
      </w:tblPr>
      <w:tcPr>
        <w:shd w:val="clear" w:color="auto" w:fill="c0c0c0" w:themeFill="text1"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0" w:space="0"/>
          <w:bottom w:val="single" w:color="000000" w:themeColor="text1" w:sz="8" w:space="0"/>
          <w:right w:val="none" w:color="000000" w:sz="0"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0" w:space="0"/>
          <w:bottom w:val="single" w:color="000000" w:themeColor="text1" w:sz="8"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Shading Accent 1"/>
    <w:basedOn w:val="711"/>
    <w:uiPriority w:val="60"/>
    <w:pPr>
      <w:pBdr/>
      <w:spacing w:after="0" w:line="240" w:lineRule="auto"/>
      <w:ind/>
    </w:pPr>
    <w:rPr>
      <w:color w:val="365f91" w:themeColor="accent1" w:themeShade="00"/>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00"/>
        <w:tcBorders>
          <w:left w:val="none" w:color="000000" w:sz="0" w:space="0"/>
          <w:right w:val="none" w:color="000000" w:sz="0" w:space="0"/>
        </w:tcBorders>
      </w:tcPr>
    </w:tblStylePr>
    <w:tblStylePr w:type="band1Vert">
      <w:pPr>
        <w:pBdr/>
        <w:spacing/>
        <w:ind/>
      </w:pPr>
      <w:tblPr>
        <w:tblBorders/>
      </w:tblPr>
      <w:tcPr>
        <w:shd w:val="clear" w:color="auto" w:fill="d3dfee" w:themeFill="accent1"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0" w:space="0"/>
          <w:bottom w:val="single" w:color="4f81bd" w:themeColor="accent1" w:sz="8" w:space="0"/>
          <w:right w:val="none" w:color="000000" w:sz="0"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0" w:space="0"/>
          <w:bottom w:val="single" w:color="4f81bd" w:themeColor="accent1" w:sz="8"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Shading Accent 2"/>
    <w:basedOn w:val="711"/>
    <w:uiPriority w:val="60"/>
    <w:pPr>
      <w:pBdr/>
      <w:spacing w:after="0" w:line="240" w:lineRule="auto"/>
      <w:ind/>
    </w:pPr>
    <w:rPr>
      <w:color w:val="943634" w:themeColor="accent2" w:themeShade="00"/>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00"/>
        <w:tcBorders>
          <w:left w:val="none" w:color="000000" w:sz="0" w:space="0"/>
          <w:right w:val="none" w:color="000000" w:sz="0" w:space="0"/>
        </w:tcBorders>
      </w:tcPr>
    </w:tblStylePr>
    <w:tblStylePr w:type="band1Vert">
      <w:pPr>
        <w:pBdr/>
        <w:spacing/>
        <w:ind/>
      </w:pPr>
      <w:tblPr>
        <w:tblBorders/>
      </w:tblPr>
      <w:tcPr>
        <w:shd w:val="clear" w:color="auto" w:fill="efd3d2" w:themeFill="accent2"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0" w:space="0"/>
          <w:bottom w:val="single" w:color="c0504d" w:themeColor="accent2" w:sz="8" w:space="0"/>
          <w:right w:val="none" w:color="000000" w:sz="0"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0" w:space="0"/>
          <w:bottom w:val="single" w:color="c0504d" w:themeColor="accent2" w:sz="8"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Shading Accent 3"/>
    <w:basedOn w:val="711"/>
    <w:uiPriority w:val="60"/>
    <w:pPr>
      <w:pBdr/>
      <w:spacing w:after="0" w:line="240" w:lineRule="auto"/>
      <w:ind/>
    </w:pPr>
    <w:rPr>
      <w:color w:val="76923c" w:themeColor="accent3" w:themeShade="00"/>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00"/>
        <w:tcBorders>
          <w:left w:val="none" w:color="000000" w:sz="0" w:space="0"/>
          <w:right w:val="none" w:color="000000" w:sz="0" w:space="0"/>
        </w:tcBorders>
      </w:tcPr>
    </w:tblStylePr>
    <w:tblStylePr w:type="band1Vert">
      <w:pPr>
        <w:pBdr/>
        <w:spacing/>
        <w:ind/>
      </w:pPr>
      <w:tblPr>
        <w:tblBorders/>
      </w:tblPr>
      <w:tcPr>
        <w:shd w:val="clear" w:color="auto" w:fill="e6eed5" w:themeFill="accent3"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0" w:space="0"/>
          <w:bottom w:val="single" w:color="9bbb59" w:themeColor="accent3" w:sz="8" w:space="0"/>
          <w:right w:val="none" w:color="000000" w:sz="0"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0" w:space="0"/>
          <w:bottom w:val="single" w:color="9bbb59" w:themeColor="accent3" w:sz="8"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Shading Accent 4"/>
    <w:basedOn w:val="711"/>
    <w:uiPriority w:val="60"/>
    <w:pPr>
      <w:pBdr/>
      <w:spacing w:after="0" w:line="240" w:lineRule="auto"/>
      <w:ind/>
    </w:pPr>
    <w:rPr>
      <w:color w:val="5f497a" w:themeColor="accent4" w:themeShade="00"/>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00"/>
        <w:tcBorders>
          <w:left w:val="none" w:color="000000" w:sz="0" w:space="0"/>
          <w:right w:val="none" w:color="000000" w:sz="0" w:space="0"/>
        </w:tcBorders>
      </w:tcPr>
    </w:tblStylePr>
    <w:tblStylePr w:type="band1Vert">
      <w:pPr>
        <w:pBdr/>
        <w:spacing/>
        <w:ind/>
      </w:pPr>
      <w:tblPr>
        <w:tblBorders/>
      </w:tblPr>
      <w:tcPr>
        <w:shd w:val="clear" w:color="auto" w:fill="dfd8e8" w:themeFill="accent4"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0" w:space="0"/>
          <w:bottom w:val="single" w:color="8064a2" w:themeColor="accent4" w:sz="8" w:space="0"/>
          <w:right w:val="none" w:color="000000" w:sz="0"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0" w:space="0"/>
          <w:bottom w:val="single" w:color="8064a2" w:themeColor="accent4" w:sz="8"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Shading Accent 5"/>
    <w:basedOn w:val="711"/>
    <w:uiPriority w:val="60"/>
    <w:pPr>
      <w:pBdr/>
      <w:spacing w:after="0" w:line="240" w:lineRule="auto"/>
      <w:ind/>
    </w:pPr>
    <w:rPr>
      <w:color w:val="31849b" w:themeColor="accent5" w:themeShade="00"/>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00"/>
        <w:tcBorders>
          <w:left w:val="none" w:color="000000" w:sz="0" w:space="0"/>
          <w:right w:val="none" w:color="000000" w:sz="0" w:space="0"/>
        </w:tcBorders>
      </w:tcPr>
    </w:tblStylePr>
    <w:tblStylePr w:type="band1Vert">
      <w:pPr>
        <w:pBdr/>
        <w:spacing/>
        <w:ind/>
      </w:pPr>
      <w:tblPr>
        <w:tblBorders/>
      </w:tblPr>
      <w:tcPr>
        <w:shd w:val="clear" w:color="auto" w:fill="d2eaf1" w:themeFill="accent5"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0" w:space="0"/>
          <w:bottom w:val="single" w:color="4bacc6" w:themeColor="accent5" w:sz="8" w:space="0"/>
          <w:right w:val="none" w:color="000000" w:sz="0"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0" w:space="0"/>
          <w:bottom w:val="single" w:color="4bacc6" w:themeColor="accent5" w:sz="8"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Shading Accent 6"/>
    <w:basedOn w:val="711"/>
    <w:uiPriority w:val="60"/>
    <w:pPr>
      <w:pBdr/>
      <w:spacing w:after="0" w:line="240" w:lineRule="auto"/>
      <w:ind/>
    </w:pPr>
    <w:rPr>
      <w:color w:val="e36c0a" w:themeColor="accent6" w:themeShade="00"/>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00"/>
        <w:tcBorders>
          <w:left w:val="none" w:color="000000" w:sz="0" w:space="0"/>
          <w:right w:val="none" w:color="000000" w:sz="0" w:space="0"/>
        </w:tcBorders>
      </w:tcPr>
    </w:tblStylePr>
    <w:tblStylePr w:type="band1Vert">
      <w:pPr>
        <w:pBdr/>
        <w:spacing/>
        <w:ind/>
      </w:pPr>
      <w:tblPr>
        <w:tblBorders/>
      </w:tblPr>
      <w:tcPr>
        <w:shd w:val="clear" w:color="auto" w:fill="fde4d0" w:themeFill="accent6"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0" w:space="0"/>
          <w:bottom w:val="single" w:color="f79646" w:themeColor="accent6" w:sz="8" w:space="0"/>
          <w:right w:val="none" w:color="000000" w:sz="0"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0" w:space="0"/>
          <w:bottom w:val="single" w:color="f79646" w:themeColor="accent6" w:sz="8"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w:basedOn w:val="711"/>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List Accent 1"/>
    <w:basedOn w:val="711"/>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List Accent 2"/>
    <w:basedOn w:val="711"/>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List Accent 3"/>
    <w:basedOn w:val="711"/>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List Accent 4"/>
    <w:basedOn w:val="711"/>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List Accent 5"/>
    <w:basedOn w:val="711"/>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List Accent 6"/>
    <w:basedOn w:val="711"/>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w:basedOn w:val="711"/>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00"/>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00"/>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Grid Accent 1"/>
    <w:basedOn w:val="711"/>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00"/>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00"/>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Grid Accent 2"/>
    <w:basedOn w:val="711"/>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00"/>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00"/>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Grid Accent 3"/>
    <w:basedOn w:val="711"/>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00"/>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00"/>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Grid Accent 4"/>
    <w:basedOn w:val="711"/>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00"/>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00"/>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Grid Accent 5"/>
    <w:basedOn w:val="711"/>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00"/>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00"/>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Grid Accent 6"/>
    <w:basedOn w:val="711"/>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00"/>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00"/>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w:basedOn w:val="711"/>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00" w:sz="8" w:space="0"/>
        <w:left w:val="single" w:color="404040" w:themeColor="text1" w:themeTint="00" w:sz="8" w:space="0"/>
        <w:bottom w:val="single" w:color="404040" w:themeColor="text1" w:themeTint="00" w:sz="8" w:space="0"/>
        <w:right w:val="single" w:color="404040" w:themeColor="text1" w:themeTint="00" w:sz="8" w:space="0"/>
        <w:insideH w:val="single" w:color="404040" w:themeColor="text1" w:themeTint="00" w:sz="8" w:space="0"/>
      </w:tblBorders>
    </w:tblPr>
    <w:tcPr>
      <w:tcBorders/>
    </w:tcPr>
    <w:tblStylePr w:type="band1Horz">
      <w:pPr>
        <w:pBdr/>
        <w:spacing/>
        <w:ind/>
      </w:pPr>
      <w:tblPr>
        <w:tblBorders/>
      </w:tblPr>
      <w:tcPr>
        <w:shd w:val="clear" w:color="auto" w:fill="c0c0c0" w:themeFill="text1" w:themeFillTint="00"/>
        <w:tcBorders/>
      </w:tcPr>
    </w:tblStylePr>
    <w:tblStylePr w:type="band1Vert">
      <w:pPr>
        <w:pBdr/>
        <w:spacing/>
        <w:ind/>
      </w:pPr>
      <w:tblPr>
        <w:tblBorders/>
      </w:tblPr>
      <w:tcPr>
        <w:shd w:val="clear" w:color="auto" w:fill="c0c0c0"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00" w:sz="8" w:space="0"/>
          <w:left w:val="single" w:color="404040" w:themeColor="text1" w:themeTint="00" w:sz="8" w:space="0"/>
          <w:bottom w:val="single" w:color="404040" w:themeColor="text1" w:themeTint="00" w:sz="8" w:space="0"/>
          <w:right w:val="single" w:color="404040" w:themeColor="text1" w:themeTint="00"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00" w:sz="6" w:space="0"/>
          <w:left w:val="single" w:color="404040" w:themeColor="text1" w:themeTint="00" w:sz="8" w:space="0"/>
          <w:bottom w:val="single" w:color="404040" w:themeColor="text1" w:themeTint="00" w:sz="8" w:space="0"/>
          <w:right w:val="single" w:color="404040" w:themeColor="text1" w:themeTint="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1 Accent 1"/>
    <w:basedOn w:val="711"/>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00" w:sz="8" w:space="0"/>
        <w:left w:val="single" w:color="7ba0cd" w:themeColor="accent1" w:themeTint="00" w:sz="8" w:space="0"/>
        <w:bottom w:val="single" w:color="7ba0cd" w:themeColor="accent1" w:themeTint="00" w:sz="8" w:space="0"/>
        <w:right w:val="single" w:color="7ba0cd" w:themeColor="accent1" w:themeTint="00" w:sz="8" w:space="0"/>
        <w:insideH w:val="single" w:color="7ba0cd" w:themeColor="accent1" w:themeTint="00" w:sz="8" w:space="0"/>
      </w:tblBorders>
    </w:tblPr>
    <w:tcPr>
      <w:tcBorders/>
    </w:tcPr>
    <w:tblStylePr w:type="band1Horz">
      <w:pPr>
        <w:pBdr/>
        <w:spacing/>
        <w:ind/>
      </w:pPr>
      <w:tblPr>
        <w:tblBorders/>
      </w:tblPr>
      <w:tcPr>
        <w:shd w:val="clear" w:color="auto" w:fill="d3dfee" w:themeFill="accent1" w:themeFillTint="00"/>
        <w:tcBorders/>
      </w:tcPr>
    </w:tblStylePr>
    <w:tblStylePr w:type="band1Vert">
      <w:pPr>
        <w:pBdr/>
        <w:spacing/>
        <w:ind/>
      </w:pPr>
      <w:tblPr>
        <w:tblBorders/>
      </w:tblPr>
      <w:tcPr>
        <w:shd w:val="clear" w:color="auto" w:fill="d3dfee"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00" w:sz="8" w:space="0"/>
          <w:left w:val="single" w:color="7ba0cd" w:themeColor="accent1" w:themeTint="00" w:sz="8" w:space="0"/>
          <w:bottom w:val="single" w:color="7ba0cd" w:themeColor="accent1" w:themeTint="00" w:sz="8" w:space="0"/>
          <w:right w:val="single" w:color="7ba0cd" w:themeColor="accent1" w:themeTint="00"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00" w:sz="6" w:space="0"/>
          <w:left w:val="single" w:color="7ba0cd" w:themeColor="accent1" w:themeTint="00" w:sz="8" w:space="0"/>
          <w:bottom w:val="single" w:color="7ba0cd" w:themeColor="accent1" w:themeTint="00" w:sz="8" w:space="0"/>
          <w:right w:val="single" w:color="7ba0cd" w:themeColor="accent1" w:themeTint="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1 Accent 2"/>
    <w:basedOn w:val="711"/>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00" w:sz="8" w:space="0"/>
        <w:left w:val="single" w:color="cf7b79" w:themeColor="accent2" w:themeTint="00" w:sz="8" w:space="0"/>
        <w:bottom w:val="single" w:color="cf7b79" w:themeColor="accent2" w:themeTint="00" w:sz="8" w:space="0"/>
        <w:right w:val="single" w:color="cf7b79" w:themeColor="accent2" w:themeTint="00" w:sz="8" w:space="0"/>
        <w:insideH w:val="single" w:color="cf7b79" w:themeColor="accent2" w:themeTint="00" w:sz="8" w:space="0"/>
      </w:tblBorders>
    </w:tblPr>
    <w:tcPr>
      <w:tcBorders/>
    </w:tcPr>
    <w:tblStylePr w:type="band1Horz">
      <w:pPr>
        <w:pBdr/>
        <w:spacing/>
        <w:ind/>
      </w:pPr>
      <w:tblPr>
        <w:tblBorders/>
      </w:tblPr>
      <w:tcPr>
        <w:shd w:val="clear" w:color="auto" w:fill="efd3d2" w:themeFill="accent2" w:themeFillTint="00"/>
        <w:tcBorders/>
      </w:tcPr>
    </w:tblStylePr>
    <w:tblStylePr w:type="band1Vert">
      <w:pPr>
        <w:pBdr/>
        <w:spacing/>
        <w:ind/>
      </w:pPr>
      <w:tblPr>
        <w:tblBorders/>
      </w:tblPr>
      <w:tcPr>
        <w:shd w:val="clear" w:color="auto" w:fill="efd3d2"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00" w:sz="8" w:space="0"/>
          <w:left w:val="single" w:color="cf7b79" w:themeColor="accent2" w:themeTint="00" w:sz="8" w:space="0"/>
          <w:bottom w:val="single" w:color="cf7b79" w:themeColor="accent2" w:themeTint="00" w:sz="8" w:space="0"/>
          <w:right w:val="single" w:color="cf7b79" w:themeColor="accent2" w:themeTint="00"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00" w:sz="6" w:space="0"/>
          <w:left w:val="single" w:color="cf7b79" w:themeColor="accent2" w:themeTint="00" w:sz="8" w:space="0"/>
          <w:bottom w:val="single" w:color="cf7b79" w:themeColor="accent2" w:themeTint="00" w:sz="8" w:space="0"/>
          <w:right w:val="single" w:color="cf7b79" w:themeColor="accent2" w:themeTint="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1 Accent 3"/>
    <w:basedOn w:val="711"/>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00" w:sz="8" w:space="0"/>
        <w:left w:val="single" w:color="b3cc82" w:themeColor="accent3" w:themeTint="00" w:sz="8" w:space="0"/>
        <w:bottom w:val="single" w:color="b3cc82" w:themeColor="accent3" w:themeTint="00" w:sz="8" w:space="0"/>
        <w:right w:val="single" w:color="b3cc82" w:themeColor="accent3" w:themeTint="00" w:sz="8" w:space="0"/>
        <w:insideH w:val="single" w:color="b3cc82" w:themeColor="accent3" w:themeTint="00" w:sz="8" w:space="0"/>
      </w:tblBorders>
    </w:tblPr>
    <w:tcPr>
      <w:tcBorders/>
    </w:tcPr>
    <w:tblStylePr w:type="band1Horz">
      <w:pPr>
        <w:pBdr/>
        <w:spacing/>
        <w:ind/>
      </w:pPr>
      <w:tblPr>
        <w:tblBorders/>
      </w:tblPr>
      <w:tcPr>
        <w:shd w:val="clear" w:color="auto" w:fill="e6eed5" w:themeFill="accent3" w:themeFillTint="00"/>
        <w:tcBorders/>
      </w:tcPr>
    </w:tblStylePr>
    <w:tblStylePr w:type="band1Vert">
      <w:pPr>
        <w:pBdr/>
        <w:spacing/>
        <w:ind/>
      </w:pPr>
      <w:tblPr>
        <w:tblBorders/>
      </w:tblPr>
      <w:tcPr>
        <w:shd w:val="clear" w:color="auto" w:fill="e6eed5"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00" w:sz="8" w:space="0"/>
          <w:left w:val="single" w:color="b3cc82" w:themeColor="accent3" w:themeTint="00" w:sz="8" w:space="0"/>
          <w:bottom w:val="single" w:color="b3cc82" w:themeColor="accent3" w:themeTint="00" w:sz="8" w:space="0"/>
          <w:right w:val="single" w:color="b3cc82" w:themeColor="accent3" w:themeTint="00"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00" w:sz="6" w:space="0"/>
          <w:left w:val="single" w:color="b3cc82" w:themeColor="accent3" w:themeTint="00" w:sz="8" w:space="0"/>
          <w:bottom w:val="single" w:color="b3cc82" w:themeColor="accent3" w:themeTint="00" w:sz="8" w:space="0"/>
          <w:right w:val="single" w:color="b3cc82" w:themeColor="accent3" w:themeTint="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1 Accent 4"/>
    <w:basedOn w:val="711"/>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00" w:sz="8" w:space="0"/>
        <w:left w:val="single" w:color="9f8ab9" w:themeColor="accent4" w:themeTint="00" w:sz="8" w:space="0"/>
        <w:bottom w:val="single" w:color="9f8ab9" w:themeColor="accent4" w:themeTint="00" w:sz="8" w:space="0"/>
        <w:right w:val="single" w:color="9f8ab9" w:themeColor="accent4" w:themeTint="00" w:sz="8" w:space="0"/>
        <w:insideH w:val="single" w:color="9f8ab9" w:themeColor="accent4" w:themeTint="00" w:sz="8" w:space="0"/>
      </w:tblBorders>
    </w:tblPr>
    <w:tcPr>
      <w:tcBorders/>
    </w:tcPr>
    <w:tblStylePr w:type="band1Horz">
      <w:pPr>
        <w:pBdr/>
        <w:spacing/>
        <w:ind/>
      </w:pPr>
      <w:tblPr>
        <w:tblBorders/>
      </w:tblPr>
      <w:tcPr>
        <w:shd w:val="clear" w:color="auto" w:fill="dfd8e8" w:themeFill="accent4" w:themeFillTint="00"/>
        <w:tcBorders/>
      </w:tcPr>
    </w:tblStylePr>
    <w:tblStylePr w:type="band1Vert">
      <w:pPr>
        <w:pBdr/>
        <w:spacing/>
        <w:ind/>
      </w:pPr>
      <w:tblPr>
        <w:tblBorders/>
      </w:tblPr>
      <w:tcPr>
        <w:shd w:val="clear" w:color="auto" w:fill="dfd8e8"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00" w:sz="8" w:space="0"/>
          <w:left w:val="single" w:color="9f8ab9" w:themeColor="accent4" w:themeTint="00" w:sz="8" w:space="0"/>
          <w:bottom w:val="single" w:color="9f8ab9" w:themeColor="accent4" w:themeTint="00" w:sz="8" w:space="0"/>
          <w:right w:val="single" w:color="9f8ab9" w:themeColor="accent4" w:themeTint="00"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00" w:sz="6" w:space="0"/>
          <w:left w:val="single" w:color="9f8ab9" w:themeColor="accent4" w:themeTint="00" w:sz="8" w:space="0"/>
          <w:bottom w:val="single" w:color="9f8ab9" w:themeColor="accent4" w:themeTint="00" w:sz="8" w:space="0"/>
          <w:right w:val="single" w:color="9f8ab9" w:themeColor="accent4" w:themeTint="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1 Accent 5"/>
    <w:basedOn w:val="711"/>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00" w:sz="8" w:space="0"/>
        <w:left w:val="single" w:color="78c0d4" w:themeColor="accent5" w:themeTint="00" w:sz="8" w:space="0"/>
        <w:bottom w:val="single" w:color="78c0d4" w:themeColor="accent5" w:themeTint="00" w:sz="8" w:space="0"/>
        <w:right w:val="single" w:color="78c0d4" w:themeColor="accent5" w:themeTint="00" w:sz="8" w:space="0"/>
        <w:insideH w:val="single" w:color="78c0d4" w:themeColor="accent5" w:themeTint="00" w:sz="8" w:space="0"/>
      </w:tblBorders>
    </w:tblPr>
    <w:tcPr>
      <w:tcBorders/>
    </w:tcPr>
    <w:tblStylePr w:type="band1Horz">
      <w:pPr>
        <w:pBdr/>
        <w:spacing/>
        <w:ind/>
      </w:pPr>
      <w:tblPr>
        <w:tblBorders/>
      </w:tblPr>
      <w:tcPr>
        <w:shd w:val="clear" w:color="auto" w:fill="d2eaf1" w:themeFill="accent5" w:themeFillTint="00"/>
        <w:tcBorders/>
      </w:tcPr>
    </w:tblStylePr>
    <w:tblStylePr w:type="band1Vert">
      <w:pPr>
        <w:pBdr/>
        <w:spacing/>
        <w:ind/>
      </w:pPr>
      <w:tblPr>
        <w:tblBorders/>
      </w:tblPr>
      <w:tcPr>
        <w:shd w:val="clear" w:color="auto" w:fill="d2eaf1"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00" w:sz="8" w:space="0"/>
          <w:left w:val="single" w:color="78c0d4" w:themeColor="accent5" w:themeTint="00" w:sz="8" w:space="0"/>
          <w:bottom w:val="single" w:color="78c0d4" w:themeColor="accent5" w:themeTint="00" w:sz="8" w:space="0"/>
          <w:right w:val="single" w:color="78c0d4" w:themeColor="accent5" w:themeTint="00"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00" w:sz="6" w:space="0"/>
          <w:left w:val="single" w:color="78c0d4" w:themeColor="accent5" w:themeTint="00" w:sz="8" w:space="0"/>
          <w:bottom w:val="single" w:color="78c0d4" w:themeColor="accent5" w:themeTint="00" w:sz="8" w:space="0"/>
          <w:right w:val="single" w:color="78c0d4" w:themeColor="accent5" w:themeTint="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1 Accent 6"/>
    <w:basedOn w:val="711"/>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00" w:sz="8" w:space="0"/>
        <w:left w:val="single" w:color="f9b074" w:themeColor="accent6" w:themeTint="00" w:sz="8" w:space="0"/>
        <w:bottom w:val="single" w:color="f9b074" w:themeColor="accent6" w:themeTint="00" w:sz="8" w:space="0"/>
        <w:right w:val="single" w:color="f9b074" w:themeColor="accent6" w:themeTint="00" w:sz="8" w:space="0"/>
        <w:insideH w:val="single" w:color="f9b074" w:themeColor="accent6" w:themeTint="00" w:sz="8" w:space="0"/>
      </w:tblBorders>
    </w:tblPr>
    <w:tcPr>
      <w:tcBorders/>
    </w:tcPr>
    <w:tblStylePr w:type="band1Horz">
      <w:pPr>
        <w:pBdr/>
        <w:spacing/>
        <w:ind/>
      </w:pPr>
      <w:tblPr>
        <w:tblBorders/>
      </w:tblPr>
      <w:tcPr>
        <w:shd w:val="clear" w:color="auto" w:fill="fde4d0" w:themeFill="accent6" w:themeFillTint="00"/>
        <w:tcBorders/>
      </w:tcPr>
    </w:tblStylePr>
    <w:tblStylePr w:type="band1Vert">
      <w:pPr>
        <w:pBdr/>
        <w:spacing/>
        <w:ind/>
      </w:pPr>
      <w:tblPr>
        <w:tblBorders/>
      </w:tblPr>
      <w:tcPr>
        <w:shd w:val="clear" w:color="auto" w:fill="fde4d0"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00" w:sz="8" w:space="0"/>
          <w:left w:val="single" w:color="f9b074" w:themeColor="accent6" w:themeTint="00" w:sz="8" w:space="0"/>
          <w:bottom w:val="single" w:color="f9b074" w:themeColor="accent6" w:themeTint="00" w:sz="8" w:space="0"/>
          <w:right w:val="single" w:color="f9b074" w:themeColor="accent6" w:themeTint="00"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00" w:sz="6" w:space="0"/>
          <w:left w:val="single" w:color="f9b074" w:themeColor="accent6" w:themeTint="00" w:sz="8" w:space="0"/>
          <w:bottom w:val="single" w:color="f9b074" w:themeColor="accent6" w:themeTint="00" w:sz="8" w:space="0"/>
          <w:right w:val="single" w:color="f9b074" w:themeColor="accent6" w:themeTint="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w:basedOn w:val="711"/>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00"/>
        <w:tcBorders/>
      </w:tcPr>
    </w:tblStylePr>
    <w:tblStylePr w:type="band1Vert">
      <w:pPr>
        <w:pBdr/>
        <w:spacing/>
        <w:ind/>
      </w:pPr>
      <w:tblPr>
        <w:tblBorders/>
      </w:tblPr>
      <w:tcPr>
        <w:shd w:val="clear" w:color="auto" w:fill="d8d8d8" w:themeFill="background1" w:themeFillShade="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0" w:space="0"/>
          <w:left w:val="none" w:color="000000" w:sz="0" w:space="0"/>
          <w:bottom w:val="single" w:color="000000" w:sz="18" w:space="0"/>
          <w:right w:val="none" w:color="000000" w:sz="0"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0" w:space="0"/>
          <w:bottom w:val="single" w:color="000000" w:sz="18" w:space="0"/>
          <w:right w:val="none" w:color="000000" w:sz="0"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0" w:space="0"/>
          <w:right w:val="none" w:color="000000" w:sz="0"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0" w:space="0"/>
          <w:bottom w:val="single" w:color="000000" w:sz="18" w:space="0"/>
          <w:right w:val="none" w:color="000000" w:sz="0" w:space="0"/>
        </w:tcBorders>
      </w:tcPr>
    </w:tblStylePr>
    <w:tblStylePr w:type="nwCell">
      <w:rPr>
        <w:color w:val="ffffff" w:themeColor="background1"/>
      </w:rPr>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neCell">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2 Accent 1"/>
    <w:basedOn w:val="711"/>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00"/>
        <w:tcBorders/>
      </w:tcPr>
    </w:tblStylePr>
    <w:tblStylePr w:type="band1Vert">
      <w:pPr>
        <w:pBdr/>
        <w:spacing/>
        <w:ind/>
      </w:pPr>
      <w:tblPr>
        <w:tblBorders/>
      </w:tblPr>
      <w:tcPr>
        <w:shd w:val="clear" w:color="auto" w:fill="d8d8d8" w:themeFill="background1" w:themeFillShade="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0" w:space="0"/>
          <w:left w:val="none" w:color="000000" w:sz="0" w:space="0"/>
          <w:bottom w:val="single" w:color="000000" w:sz="18" w:space="0"/>
          <w:right w:val="none" w:color="000000" w:sz="0"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0" w:space="0"/>
          <w:bottom w:val="single" w:color="000000" w:sz="18" w:space="0"/>
          <w:right w:val="none" w:color="000000" w:sz="0"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0" w:space="0"/>
          <w:right w:val="none" w:color="000000" w:sz="0"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0" w:space="0"/>
          <w:bottom w:val="single" w:color="000000" w:sz="18" w:space="0"/>
          <w:right w:val="none" w:color="000000" w:sz="0" w:space="0"/>
        </w:tcBorders>
      </w:tcPr>
    </w:tblStylePr>
    <w:tblStylePr w:type="nwCell">
      <w:rPr>
        <w:color w:val="ffffff" w:themeColor="background1"/>
      </w:rPr>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neCell">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2 Accent 2"/>
    <w:basedOn w:val="711"/>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00"/>
        <w:tcBorders/>
      </w:tcPr>
    </w:tblStylePr>
    <w:tblStylePr w:type="band1Vert">
      <w:pPr>
        <w:pBdr/>
        <w:spacing/>
        <w:ind/>
      </w:pPr>
      <w:tblPr>
        <w:tblBorders/>
      </w:tblPr>
      <w:tcPr>
        <w:shd w:val="clear" w:color="auto" w:fill="d8d8d8" w:themeFill="background1" w:themeFillShade="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0" w:space="0"/>
          <w:left w:val="none" w:color="000000" w:sz="0" w:space="0"/>
          <w:bottom w:val="single" w:color="000000" w:sz="18" w:space="0"/>
          <w:right w:val="none" w:color="000000" w:sz="0"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0" w:space="0"/>
          <w:bottom w:val="single" w:color="000000" w:sz="18" w:space="0"/>
          <w:right w:val="none" w:color="000000" w:sz="0"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0" w:space="0"/>
          <w:right w:val="none" w:color="000000" w:sz="0"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0" w:space="0"/>
          <w:bottom w:val="single" w:color="000000" w:sz="18" w:space="0"/>
          <w:right w:val="none" w:color="000000" w:sz="0" w:space="0"/>
        </w:tcBorders>
      </w:tcPr>
    </w:tblStylePr>
    <w:tblStylePr w:type="nwCell">
      <w:rPr>
        <w:color w:val="ffffff" w:themeColor="background1"/>
      </w:rPr>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neCell">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2 Accent 3"/>
    <w:basedOn w:val="711"/>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00"/>
        <w:tcBorders/>
      </w:tcPr>
    </w:tblStylePr>
    <w:tblStylePr w:type="band1Vert">
      <w:pPr>
        <w:pBdr/>
        <w:spacing/>
        <w:ind/>
      </w:pPr>
      <w:tblPr>
        <w:tblBorders/>
      </w:tblPr>
      <w:tcPr>
        <w:shd w:val="clear" w:color="auto" w:fill="d8d8d8" w:themeFill="background1" w:themeFillShade="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0" w:space="0"/>
          <w:left w:val="none" w:color="000000" w:sz="0" w:space="0"/>
          <w:bottom w:val="single" w:color="000000" w:sz="18" w:space="0"/>
          <w:right w:val="none" w:color="000000" w:sz="0"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0" w:space="0"/>
          <w:bottom w:val="single" w:color="000000" w:sz="18" w:space="0"/>
          <w:right w:val="none" w:color="000000" w:sz="0"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0" w:space="0"/>
          <w:right w:val="none" w:color="000000" w:sz="0"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0" w:space="0"/>
          <w:bottom w:val="single" w:color="000000" w:sz="18" w:space="0"/>
          <w:right w:val="none" w:color="000000" w:sz="0" w:space="0"/>
        </w:tcBorders>
      </w:tcPr>
    </w:tblStylePr>
    <w:tblStylePr w:type="nwCell">
      <w:rPr>
        <w:color w:val="ffffff" w:themeColor="background1"/>
      </w:rPr>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neCell">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2 Accent 4"/>
    <w:basedOn w:val="711"/>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00"/>
        <w:tcBorders/>
      </w:tcPr>
    </w:tblStylePr>
    <w:tblStylePr w:type="band1Vert">
      <w:pPr>
        <w:pBdr/>
        <w:spacing/>
        <w:ind/>
      </w:pPr>
      <w:tblPr>
        <w:tblBorders/>
      </w:tblPr>
      <w:tcPr>
        <w:shd w:val="clear" w:color="auto" w:fill="d8d8d8" w:themeFill="background1" w:themeFillShade="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0" w:space="0"/>
          <w:left w:val="none" w:color="000000" w:sz="0" w:space="0"/>
          <w:bottom w:val="single" w:color="000000" w:sz="18" w:space="0"/>
          <w:right w:val="none" w:color="000000" w:sz="0"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0" w:space="0"/>
          <w:bottom w:val="single" w:color="000000" w:sz="18" w:space="0"/>
          <w:right w:val="none" w:color="000000" w:sz="0"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0" w:space="0"/>
          <w:right w:val="none" w:color="000000" w:sz="0"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0" w:space="0"/>
          <w:bottom w:val="single" w:color="000000" w:sz="18" w:space="0"/>
          <w:right w:val="none" w:color="000000" w:sz="0" w:space="0"/>
        </w:tcBorders>
      </w:tcPr>
    </w:tblStylePr>
    <w:tblStylePr w:type="nwCell">
      <w:rPr>
        <w:color w:val="ffffff" w:themeColor="background1"/>
      </w:rPr>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neCell">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2 Accent 5"/>
    <w:basedOn w:val="711"/>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00"/>
        <w:tcBorders/>
      </w:tcPr>
    </w:tblStylePr>
    <w:tblStylePr w:type="band1Vert">
      <w:pPr>
        <w:pBdr/>
        <w:spacing/>
        <w:ind/>
      </w:pPr>
      <w:tblPr>
        <w:tblBorders/>
      </w:tblPr>
      <w:tcPr>
        <w:shd w:val="clear" w:color="auto" w:fill="d8d8d8" w:themeFill="background1" w:themeFillShade="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0" w:space="0"/>
          <w:left w:val="none" w:color="000000" w:sz="0" w:space="0"/>
          <w:bottom w:val="single" w:color="000000" w:sz="18" w:space="0"/>
          <w:right w:val="none" w:color="000000" w:sz="0"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0" w:space="0"/>
          <w:bottom w:val="single" w:color="000000" w:sz="18" w:space="0"/>
          <w:right w:val="none" w:color="000000" w:sz="0"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0" w:space="0"/>
          <w:right w:val="none" w:color="000000" w:sz="0"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0" w:space="0"/>
          <w:bottom w:val="single" w:color="000000" w:sz="18" w:space="0"/>
          <w:right w:val="none" w:color="000000" w:sz="0" w:space="0"/>
        </w:tcBorders>
      </w:tcPr>
    </w:tblStylePr>
    <w:tblStylePr w:type="nwCell">
      <w:rPr>
        <w:color w:val="ffffff" w:themeColor="background1"/>
      </w:rPr>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neCell">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2 Accent 6"/>
    <w:basedOn w:val="711"/>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00"/>
        <w:tcBorders/>
      </w:tcPr>
    </w:tblStylePr>
    <w:tblStylePr w:type="band1Vert">
      <w:pPr>
        <w:pBdr/>
        <w:spacing/>
        <w:ind/>
      </w:pPr>
      <w:tblPr>
        <w:tblBorders/>
      </w:tblPr>
      <w:tcPr>
        <w:shd w:val="clear" w:color="auto" w:fill="d8d8d8" w:themeFill="background1" w:themeFillShade="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0" w:space="0"/>
          <w:left w:val="none" w:color="000000" w:sz="0" w:space="0"/>
          <w:bottom w:val="single" w:color="000000" w:sz="18" w:space="0"/>
          <w:right w:val="none" w:color="000000" w:sz="0"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0" w:space="0"/>
          <w:bottom w:val="single" w:color="000000" w:sz="18" w:space="0"/>
          <w:right w:val="none" w:color="000000" w:sz="0"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0" w:space="0"/>
          <w:right w:val="none" w:color="000000" w:sz="0"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0" w:space="0"/>
          <w:bottom w:val="single" w:color="000000" w:sz="18" w:space="0"/>
          <w:right w:val="none" w:color="000000" w:sz="0" w:space="0"/>
        </w:tcBorders>
      </w:tcPr>
    </w:tblStylePr>
    <w:tblStylePr w:type="nwCell">
      <w:rPr>
        <w:color w:val="ffffff" w:themeColor="background1"/>
      </w:rPr>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neCell">
      <w:pPr>
        <w:pBdr/>
        <w:spacing/>
        <w:ind/>
      </w:pPr>
      <w:tblPr>
        <w:tblBorders/>
      </w:tblPr>
      <w:tcPr>
        <w:tcBorders>
          <w:top w:val="single" w:color="000000" w:sz="18" w:space="0"/>
          <w:left w:val="none" w:color="000000" w:sz="0" w:space="0"/>
          <w:bottom w:val="single" w:color="000000" w:sz="18" w:space="0"/>
          <w:right w:val="none" w:color="000000" w:sz="0"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w:basedOn w:val="711"/>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00"/>
        <w:tcBorders/>
      </w:tcPr>
    </w:tblStylePr>
    <w:tblStylePr w:type="band1Vert">
      <w:pPr>
        <w:pBdr/>
        <w:spacing/>
        <w:ind/>
      </w:pPr>
      <w:tblPr>
        <w:tblBorders/>
      </w:tblPr>
      <w:tcPr>
        <w:shd w:val="clear" w:color="auto" w:fill="c0c0c0"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0"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1 Accent 1"/>
    <w:basedOn w:val="711"/>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00"/>
        <w:tcBorders/>
      </w:tcPr>
    </w:tblStylePr>
    <w:tblStylePr w:type="band1Vert">
      <w:pPr>
        <w:pBdr/>
        <w:spacing/>
        <w:ind/>
      </w:pPr>
      <w:tblPr>
        <w:tblBorders/>
      </w:tblPr>
      <w:tcPr>
        <w:shd w:val="clear" w:color="auto" w:fill="d3dfee"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0"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1 Accent 2"/>
    <w:basedOn w:val="711"/>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00"/>
        <w:tcBorders/>
      </w:tcPr>
    </w:tblStylePr>
    <w:tblStylePr w:type="band1Vert">
      <w:pPr>
        <w:pBdr/>
        <w:spacing/>
        <w:ind/>
      </w:pPr>
      <w:tblPr>
        <w:tblBorders/>
      </w:tblPr>
      <w:tcPr>
        <w:shd w:val="clear" w:color="auto" w:fill="efd3d2"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0"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1 Accent 3"/>
    <w:basedOn w:val="711"/>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00"/>
        <w:tcBorders/>
      </w:tcPr>
    </w:tblStylePr>
    <w:tblStylePr w:type="band1Vert">
      <w:pPr>
        <w:pBdr/>
        <w:spacing/>
        <w:ind/>
      </w:pPr>
      <w:tblPr>
        <w:tblBorders/>
      </w:tblPr>
      <w:tcPr>
        <w:shd w:val="clear" w:color="auto" w:fill="e6eed5"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0"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1 Accent 4"/>
    <w:basedOn w:val="711"/>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00"/>
        <w:tcBorders/>
      </w:tcPr>
    </w:tblStylePr>
    <w:tblStylePr w:type="band1Vert">
      <w:pPr>
        <w:pBdr/>
        <w:spacing/>
        <w:ind/>
      </w:pPr>
      <w:tblPr>
        <w:tblBorders/>
      </w:tblPr>
      <w:tcPr>
        <w:shd w:val="clear" w:color="auto" w:fill="dfd8e8"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0"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1 Accent 5"/>
    <w:basedOn w:val="711"/>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00"/>
        <w:tcBorders/>
      </w:tcPr>
    </w:tblStylePr>
    <w:tblStylePr w:type="band1Vert">
      <w:pPr>
        <w:pBdr/>
        <w:spacing/>
        <w:ind/>
      </w:pPr>
      <w:tblPr>
        <w:tblBorders/>
      </w:tblPr>
      <w:tcPr>
        <w:shd w:val="clear" w:color="auto" w:fill="d2eaf1"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0"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1 Accent 6"/>
    <w:basedOn w:val="711"/>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00"/>
        <w:tcBorders/>
      </w:tcPr>
    </w:tblStylePr>
    <w:tblStylePr w:type="band1Vert">
      <w:pPr>
        <w:pBdr/>
        <w:spacing/>
        <w:ind/>
      </w:pPr>
      <w:tblPr>
        <w:tblBorders/>
      </w:tblPr>
      <w:tcPr>
        <w:shd w:val="clear" w:color="auto" w:fill="fde4d0"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0"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w:basedOn w:val="71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00"/>
        <w:tcBorders>
          <w:top w:val="none" w:color="000000" w:sz="0" w:space="0"/>
          <w:bottom w:val="none" w:color="000000" w:sz="0" w:space="0"/>
        </w:tcBorders>
      </w:tcPr>
    </w:tblStylePr>
    <w:tblStylePr w:type="band1Vert">
      <w:pPr>
        <w:pBdr/>
        <w:spacing/>
        <w:ind/>
      </w:pPr>
      <w:tblPr>
        <w:tblBorders/>
      </w:tblPr>
      <w:tcPr>
        <w:shd w:val="clear" w:color="auto" w:fill="c0c0c0" w:themeFill="text1"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0" w:space="0"/>
          <w:left w:val="none" w:color="000000" w:sz="0" w:space="0"/>
          <w:bottom w:val="none" w:color="000000" w:sz="0"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0" w:space="0"/>
          <w:left w:val="none" w:color="000000" w:sz="0" w:space="0"/>
          <w:bottom w:val="single" w:color="000000" w:themeColor="text1" w:sz="24" w:space="0"/>
          <w:right w:val="none" w:color="000000" w:sz="0" w:space="0"/>
        </w:tcBorders>
      </w:tcPr>
    </w:tblStylePr>
    <w:tblStylePr w:type="lastCol">
      <w:pPr>
        <w:pBdr/>
        <w:spacing/>
        <w:ind/>
      </w:pPr>
      <w:tblPr>
        <w:tblBorders/>
      </w:tblPr>
      <w:tcPr>
        <w:shd w:val="clear" w:color="auto" w:fill="ffffff" w:themeFill="background1"/>
        <w:tcBorders>
          <w:top w:val="none" w:color="000000" w:sz="0" w:space="0"/>
          <w:left w:val="single" w:color="000000" w:themeColor="text1" w:sz="8" w:space="0"/>
          <w:bottom w:val="none" w:color="000000" w:sz="0" w:space="0"/>
          <w:right w:val="none" w:color="000000" w:sz="0"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0"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2 Accent 1"/>
    <w:basedOn w:val="71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00"/>
        <w:tcBorders>
          <w:top w:val="none" w:color="000000" w:sz="0" w:space="0"/>
          <w:bottom w:val="none" w:color="000000" w:sz="0" w:space="0"/>
        </w:tcBorders>
      </w:tcPr>
    </w:tblStylePr>
    <w:tblStylePr w:type="band1Vert">
      <w:pPr>
        <w:pBdr/>
        <w:spacing/>
        <w:ind/>
      </w:pPr>
      <w:tblPr>
        <w:tblBorders/>
      </w:tblPr>
      <w:tcPr>
        <w:shd w:val="clear" w:color="auto" w:fill="d3dfee" w:themeFill="accent1"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0" w:space="0"/>
          <w:left w:val="none" w:color="000000" w:sz="0" w:space="0"/>
          <w:bottom w:val="none" w:color="000000" w:sz="0"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0" w:space="0"/>
          <w:left w:val="none" w:color="000000" w:sz="0" w:space="0"/>
          <w:bottom w:val="single" w:color="4f81bd" w:themeColor="accent1" w:sz="24" w:space="0"/>
          <w:right w:val="none" w:color="000000" w:sz="0" w:space="0"/>
        </w:tcBorders>
      </w:tcPr>
    </w:tblStylePr>
    <w:tblStylePr w:type="lastCol">
      <w:pPr>
        <w:pBdr/>
        <w:spacing/>
        <w:ind/>
      </w:pPr>
      <w:tblPr>
        <w:tblBorders/>
      </w:tblPr>
      <w:tcPr>
        <w:shd w:val="clear" w:color="auto" w:fill="ffffff" w:themeFill="background1"/>
        <w:tcBorders>
          <w:top w:val="none" w:color="000000" w:sz="0" w:space="0"/>
          <w:left w:val="single" w:color="4f81bd" w:themeColor="accent1" w:sz="8" w:space="0"/>
          <w:bottom w:val="none" w:color="000000" w:sz="0" w:space="0"/>
          <w:right w:val="none" w:color="000000" w:sz="0"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0"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2 Accent 2"/>
    <w:basedOn w:val="71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00"/>
        <w:tcBorders>
          <w:top w:val="none" w:color="000000" w:sz="0" w:space="0"/>
          <w:bottom w:val="none" w:color="000000" w:sz="0" w:space="0"/>
        </w:tcBorders>
      </w:tcPr>
    </w:tblStylePr>
    <w:tblStylePr w:type="band1Vert">
      <w:pPr>
        <w:pBdr/>
        <w:spacing/>
        <w:ind/>
      </w:pPr>
      <w:tblPr>
        <w:tblBorders/>
      </w:tblPr>
      <w:tcPr>
        <w:shd w:val="clear" w:color="auto" w:fill="efd3d2" w:themeFill="accent2"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0" w:space="0"/>
          <w:left w:val="none" w:color="000000" w:sz="0" w:space="0"/>
          <w:bottom w:val="none" w:color="000000" w:sz="0"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0" w:space="0"/>
          <w:left w:val="none" w:color="000000" w:sz="0" w:space="0"/>
          <w:bottom w:val="single" w:color="c0504d" w:themeColor="accent2" w:sz="24" w:space="0"/>
          <w:right w:val="none" w:color="000000" w:sz="0" w:space="0"/>
        </w:tcBorders>
      </w:tcPr>
    </w:tblStylePr>
    <w:tblStylePr w:type="lastCol">
      <w:pPr>
        <w:pBdr/>
        <w:spacing/>
        <w:ind/>
      </w:pPr>
      <w:tblPr>
        <w:tblBorders/>
      </w:tblPr>
      <w:tcPr>
        <w:shd w:val="clear" w:color="auto" w:fill="ffffff" w:themeFill="background1"/>
        <w:tcBorders>
          <w:top w:val="none" w:color="000000" w:sz="0" w:space="0"/>
          <w:left w:val="single" w:color="c0504d" w:themeColor="accent2" w:sz="8" w:space="0"/>
          <w:bottom w:val="none" w:color="000000" w:sz="0" w:space="0"/>
          <w:right w:val="none" w:color="000000" w:sz="0"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0"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2 Accent 3"/>
    <w:basedOn w:val="71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00"/>
        <w:tcBorders>
          <w:top w:val="none" w:color="000000" w:sz="0" w:space="0"/>
          <w:bottom w:val="none" w:color="000000" w:sz="0" w:space="0"/>
        </w:tcBorders>
      </w:tcPr>
    </w:tblStylePr>
    <w:tblStylePr w:type="band1Vert">
      <w:pPr>
        <w:pBdr/>
        <w:spacing/>
        <w:ind/>
      </w:pPr>
      <w:tblPr>
        <w:tblBorders/>
      </w:tblPr>
      <w:tcPr>
        <w:shd w:val="clear" w:color="auto" w:fill="e6eed5" w:themeFill="accent3"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0" w:space="0"/>
          <w:left w:val="none" w:color="000000" w:sz="0" w:space="0"/>
          <w:bottom w:val="none" w:color="000000" w:sz="0"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0" w:space="0"/>
          <w:left w:val="none" w:color="000000" w:sz="0" w:space="0"/>
          <w:bottom w:val="single" w:color="9bbb59" w:themeColor="accent3" w:sz="24" w:space="0"/>
          <w:right w:val="none" w:color="000000" w:sz="0" w:space="0"/>
        </w:tcBorders>
      </w:tcPr>
    </w:tblStylePr>
    <w:tblStylePr w:type="lastCol">
      <w:pPr>
        <w:pBdr/>
        <w:spacing/>
        <w:ind/>
      </w:pPr>
      <w:tblPr>
        <w:tblBorders/>
      </w:tblPr>
      <w:tcPr>
        <w:shd w:val="clear" w:color="auto" w:fill="ffffff" w:themeFill="background1"/>
        <w:tcBorders>
          <w:top w:val="none" w:color="000000" w:sz="0" w:space="0"/>
          <w:left w:val="single" w:color="9bbb59" w:themeColor="accent3" w:sz="8" w:space="0"/>
          <w:bottom w:val="none" w:color="000000" w:sz="0" w:space="0"/>
          <w:right w:val="none" w:color="000000" w:sz="0"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0"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2 Accent 4"/>
    <w:basedOn w:val="71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00"/>
        <w:tcBorders>
          <w:top w:val="none" w:color="000000" w:sz="0" w:space="0"/>
          <w:bottom w:val="none" w:color="000000" w:sz="0" w:space="0"/>
        </w:tcBorders>
      </w:tcPr>
    </w:tblStylePr>
    <w:tblStylePr w:type="band1Vert">
      <w:pPr>
        <w:pBdr/>
        <w:spacing/>
        <w:ind/>
      </w:pPr>
      <w:tblPr>
        <w:tblBorders/>
      </w:tblPr>
      <w:tcPr>
        <w:shd w:val="clear" w:color="auto" w:fill="dfd8e8" w:themeFill="accent4"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0" w:space="0"/>
          <w:left w:val="none" w:color="000000" w:sz="0" w:space="0"/>
          <w:bottom w:val="none" w:color="000000" w:sz="0"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0" w:space="0"/>
          <w:left w:val="none" w:color="000000" w:sz="0" w:space="0"/>
          <w:bottom w:val="single" w:color="8064a2" w:themeColor="accent4" w:sz="24" w:space="0"/>
          <w:right w:val="none" w:color="000000" w:sz="0" w:space="0"/>
        </w:tcBorders>
      </w:tcPr>
    </w:tblStylePr>
    <w:tblStylePr w:type="lastCol">
      <w:pPr>
        <w:pBdr/>
        <w:spacing/>
        <w:ind/>
      </w:pPr>
      <w:tblPr>
        <w:tblBorders/>
      </w:tblPr>
      <w:tcPr>
        <w:shd w:val="clear" w:color="auto" w:fill="ffffff" w:themeFill="background1"/>
        <w:tcBorders>
          <w:top w:val="none" w:color="000000" w:sz="0" w:space="0"/>
          <w:left w:val="single" w:color="8064a2" w:themeColor="accent4" w:sz="8" w:space="0"/>
          <w:bottom w:val="none" w:color="000000" w:sz="0" w:space="0"/>
          <w:right w:val="none" w:color="000000" w:sz="0"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0"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2 Accent 5"/>
    <w:basedOn w:val="71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00"/>
        <w:tcBorders>
          <w:top w:val="none" w:color="000000" w:sz="0" w:space="0"/>
          <w:bottom w:val="none" w:color="000000" w:sz="0" w:space="0"/>
        </w:tcBorders>
      </w:tcPr>
    </w:tblStylePr>
    <w:tblStylePr w:type="band1Vert">
      <w:pPr>
        <w:pBdr/>
        <w:spacing/>
        <w:ind/>
      </w:pPr>
      <w:tblPr>
        <w:tblBorders/>
      </w:tblPr>
      <w:tcPr>
        <w:shd w:val="clear" w:color="auto" w:fill="d2eaf1" w:themeFill="accent5"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0" w:space="0"/>
          <w:left w:val="none" w:color="000000" w:sz="0" w:space="0"/>
          <w:bottom w:val="none" w:color="000000" w:sz="0"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0" w:space="0"/>
          <w:left w:val="none" w:color="000000" w:sz="0" w:space="0"/>
          <w:bottom w:val="single" w:color="4bacc6" w:themeColor="accent5" w:sz="24" w:space="0"/>
          <w:right w:val="none" w:color="000000" w:sz="0" w:space="0"/>
        </w:tcBorders>
      </w:tcPr>
    </w:tblStylePr>
    <w:tblStylePr w:type="lastCol">
      <w:pPr>
        <w:pBdr/>
        <w:spacing/>
        <w:ind/>
      </w:pPr>
      <w:tblPr>
        <w:tblBorders/>
      </w:tblPr>
      <w:tcPr>
        <w:shd w:val="clear" w:color="auto" w:fill="ffffff" w:themeFill="background1"/>
        <w:tcBorders>
          <w:top w:val="none" w:color="000000" w:sz="0" w:space="0"/>
          <w:left w:val="single" w:color="4bacc6" w:themeColor="accent5" w:sz="8" w:space="0"/>
          <w:bottom w:val="none" w:color="000000" w:sz="0" w:space="0"/>
          <w:right w:val="none" w:color="000000" w:sz="0"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0"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2 Accent 6"/>
    <w:basedOn w:val="71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00"/>
        <w:tcBorders>
          <w:top w:val="none" w:color="000000" w:sz="0" w:space="0"/>
          <w:bottom w:val="none" w:color="000000" w:sz="0" w:space="0"/>
        </w:tcBorders>
      </w:tcPr>
    </w:tblStylePr>
    <w:tblStylePr w:type="band1Vert">
      <w:pPr>
        <w:pBdr/>
        <w:spacing/>
        <w:ind/>
      </w:pPr>
      <w:tblPr>
        <w:tblBorders/>
      </w:tblPr>
      <w:tcPr>
        <w:shd w:val="clear" w:color="auto" w:fill="fde4d0" w:themeFill="accent6" w:themeFillTint="00"/>
        <w:tcBorders>
          <w:left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0" w:space="0"/>
          <w:left w:val="none" w:color="000000" w:sz="0" w:space="0"/>
          <w:bottom w:val="none" w:color="000000" w:sz="0"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0" w:space="0"/>
          <w:left w:val="none" w:color="000000" w:sz="0" w:space="0"/>
          <w:bottom w:val="single" w:color="f79646" w:themeColor="accent6" w:sz="24" w:space="0"/>
          <w:right w:val="none" w:color="000000" w:sz="0" w:space="0"/>
        </w:tcBorders>
      </w:tcPr>
    </w:tblStylePr>
    <w:tblStylePr w:type="lastCol">
      <w:pPr>
        <w:pBdr/>
        <w:spacing/>
        <w:ind/>
      </w:pPr>
      <w:tblPr>
        <w:tblBorders/>
      </w:tblPr>
      <w:tcPr>
        <w:shd w:val="clear" w:color="auto" w:fill="ffffff" w:themeFill="background1"/>
        <w:tcBorders>
          <w:top w:val="none" w:color="000000" w:sz="0" w:space="0"/>
          <w:left w:val="single" w:color="f79646" w:themeColor="accent6" w:sz="8" w:space="0"/>
          <w:bottom w:val="none" w:color="000000" w:sz="0" w:space="0"/>
          <w:right w:val="none" w:color="000000" w:sz="0"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0"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w:basedOn w:val="711"/>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00" w:sz="8" w:space="0"/>
        <w:left w:val="single" w:color="404040" w:themeColor="text1" w:themeTint="00" w:sz="8" w:space="0"/>
        <w:bottom w:val="single" w:color="404040" w:themeColor="text1" w:themeTint="00" w:sz="8" w:space="0"/>
        <w:right w:val="single" w:color="404040" w:themeColor="text1" w:themeTint="00" w:sz="8" w:space="0"/>
        <w:insideH w:val="single" w:color="404040" w:themeColor="text1" w:themeTint="00" w:sz="8" w:space="0"/>
        <w:insideV w:val="single" w:color="404040" w:themeColor="text1" w:themeTint="00" w:sz="8" w:space="0"/>
      </w:tblBorders>
    </w:tblPr>
    <w:tcPr>
      <w:shd w:val="clear" w:color="auto" w:fill="c0c0c0" w:themeFill="text1" w:themeFillTint="00"/>
      <w:tcBorders/>
    </w:tcPr>
    <w:tblStylePr w:type="band1Horz">
      <w:pPr>
        <w:pBdr/>
        <w:spacing/>
        <w:ind/>
      </w:pPr>
      <w:tblPr>
        <w:tblBorders/>
      </w:tblPr>
      <w:tcPr>
        <w:shd w:val="clear" w:color="auto" w:fill="808080" w:themeFill="text1" w:themeFillTint="00"/>
        <w:tcBorders/>
      </w:tcPr>
    </w:tblStylePr>
    <w:tblStylePr w:type="band1Vert">
      <w:pPr>
        <w:pBdr/>
        <w:spacing/>
        <w:ind/>
      </w:pPr>
      <w:tblPr>
        <w:tblBorders/>
      </w:tblPr>
      <w:tcPr>
        <w:shd w:val="clear" w:color="auto" w:fill="808080"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00"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1 Accent 1"/>
    <w:basedOn w:val="711"/>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00" w:sz="8" w:space="0"/>
        <w:left w:val="single" w:color="7ba0cd" w:themeColor="accent1" w:themeTint="00" w:sz="8" w:space="0"/>
        <w:bottom w:val="single" w:color="7ba0cd" w:themeColor="accent1" w:themeTint="00" w:sz="8" w:space="0"/>
        <w:right w:val="single" w:color="7ba0cd" w:themeColor="accent1" w:themeTint="00" w:sz="8" w:space="0"/>
        <w:insideH w:val="single" w:color="7ba0cd" w:themeColor="accent1" w:themeTint="00" w:sz="8" w:space="0"/>
        <w:insideV w:val="single" w:color="7ba0cd" w:themeColor="accent1" w:themeTint="00" w:sz="8" w:space="0"/>
      </w:tblBorders>
    </w:tblPr>
    <w:tcPr>
      <w:shd w:val="clear" w:color="auto" w:fill="d3dfee" w:themeFill="accent1" w:themeFillTint="00"/>
      <w:tcBorders/>
    </w:tcPr>
    <w:tblStylePr w:type="band1Horz">
      <w:pPr>
        <w:pBdr/>
        <w:spacing/>
        <w:ind/>
      </w:pPr>
      <w:tblPr>
        <w:tblBorders/>
      </w:tblPr>
      <w:tcPr>
        <w:shd w:val="clear" w:color="auto" w:fill="a7bfde" w:themeFill="accent1" w:themeFillTint="00"/>
        <w:tcBorders/>
      </w:tcPr>
    </w:tblStylePr>
    <w:tblStylePr w:type="band1Vert">
      <w:pPr>
        <w:pBdr/>
        <w:spacing/>
        <w:ind/>
      </w:pPr>
      <w:tblPr>
        <w:tblBorders/>
      </w:tblPr>
      <w:tcPr>
        <w:shd w:val="clear" w:color="auto" w:fill="a7bfde"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00"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1 Accent 2"/>
    <w:basedOn w:val="711"/>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00" w:sz="8" w:space="0"/>
        <w:left w:val="single" w:color="cf7b79" w:themeColor="accent2" w:themeTint="00" w:sz="8" w:space="0"/>
        <w:bottom w:val="single" w:color="cf7b79" w:themeColor="accent2" w:themeTint="00" w:sz="8" w:space="0"/>
        <w:right w:val="single" w:color="cf7b79" w:themeColor="accent2" w:themeTint="00" w:sz="8" w:space="0"/>
        <w:insideH w:val="single" w:color="cf7b79" w:themeColor="accent2" w:themeTint="00" w:sz="8" w:space="0"/>
        <w:insideV w:val="single" w:color="cf7b79" w:themeColor="accent2" w:themeTint="00" w:sz="8" w:space="0"/>
      </w:tblBorders>
    </w:tblPr>
    <w:tcPr>
      <w:shd w:val="clear" w:color="auto" w:fill="efd3d2" w:themeFill="accent2" w:themeFillTint="00"/>
      <w:tcBorders/>
    </w:tcPr>
    <w:tblStylePr w:type="band1Horz">
      <w:pPr>
        <w:pBdr/>
        <w:spacing/>
        <w:ind/>
      </w:pPr>
      <w:tblPr>
        <w:tblBorders/>
      </w:tblPr>
      <w:tcPr>
        <w:shd w:val="clear" w:color="auto" w:fill="dfa7a6" w:themeFill="accent2" w:themeFillTint="00"/>
        <w:tcBorders/>
      </w:tcPr>
    </w:tblStylePr>
    <w:tblStylePr w:type="band1Vert">
      <w:pPr>
        <w:pBdr/>
        <w:spacing/>
        <w:ind/>
      </w:pPr>
      <w:tblPr>
        <w:tblBorders/>
      </w:tblPr>
      <w:tcPr>
        <w:shd w:val="clear" w:color="auto" w:fill="dfa7a6"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00"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1 Accent 3"/>
    <w:basedOn w:val="711"/>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00" w:sz="8" w:space="0"/>
        <w:left w:val="single" w:color="b3cc82" w:themeColor="accent3" w:themeTint="00" w:sz="8" w:space="0"/>
        <w:bottom w:val="single" w:color="b3cc82" w:themeColor="accent3" w:themeTint="00" w:sz="8" w:space="0"/>
        <w:right w:val="single" w:color="b3cc82" w:themeColor="accent3" w:themeTint="00" w:sz="8" w:space="0"/>
        <w:insideH w:val="single" w:color="b3cc82" w:themeColor="accent3" w:themeTint="00" w:sz="8" w:space="0"/>
        <w:insideV w:val="single" w:color="b3cc82" w:themeColor="accent3" w:themeTint="00" w:sz="8" w:space="0"/>
      </w:tblBorders>
    </w:tblPr>
    <w:tcPr>
      <w:shd w:val="clear" w:color="auto" w:fill="e6eed5" w:themeFill="accent3" w:themeFillTint="00"/>
      <w:tcBorders/>
    </w:tcPr>
    <w:tblStylePr w:type="band1Horz">
      <w:pPr>
        <w:pBdr/>
        <w:spacing/>
        <w:ind/>
      </w:pPr>
      <w:tblPr>
        <w:tblBorders/>
      </w:tblPr>
      <w:tcPr>
        <w:shd w:val="clear" w:color="auto" w:fill="cdddac" w:themeFill="accent3" w:themeFillTint="00"/>
        <w:tcBorders/>
      </w:tcPr>
    </w:tblStylePr>
    <w:tblStylePr w:type="band1Vert">
      <w:pPr>
        <w:pBdr/>
        <w:spacing/>
        <w:ind/>
      </w:pPr>
      <w:tblPr>
        <w:tblBorders/>
      </w:tblPr>
      <w:tcPr>
        <w:shd w:val="clear" w:color="auto" w:fill="cdddac"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00"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1 Accent 4"/>
    <w:basedOn w:val="711"/>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00" w:sz="8" w:space="0"/>
        <w:left w:val="single" w:color="9f8ab9" w:themeColor="accent4" w:themeTint="00" w:sz="8" w:space="0"/>
        <w:bottom w:val="single" w:color="9f8ab9" w:themeColor="accent4" w:themeTint="00" w:sz="8" w:space="0"/>
        <w:right w:val="single" w:color="9f8ab9" w:themeColor="accent4" w:themeTint="00" w:sz="8" w:space="0"/>
        <w:insideH w:val="single" w:color="9f8ab9" w:themeColor="accent4" w:themeTint="00" w:sz="8" w:space="0"/>
        <w:insideV w:val="single" w:color="9f8ab9" w:themeColor="accent4" w:themeTint="00" w:sz="8" w:space="0"/>
      </w:tblBorders>
    </w:tblPr>
    <w:tcPr>
      <w:shd w:val="clear" w:color="auto" w:fill="dfd8e8" w:themeFill="accent4" w:themeFillTint="00"/>
      <w:tcBorders/>
    </w:tcPr>
    <w:tblStylePr w:type="band1Horz">
      <w:pPr>
        <w:pBdr/>
        <w:spacing/>
        <w:ind/>
      </w:pPr>
      <w:tblPr>
        <w:tblBorders/>
      </w:tblPr>
      <w:tcPr>
        <w:shd w:val="clear" w:color="auto" w:fill="bfb1d0" w:themeFill="accent4" w:themeFillTint="00"/>
        <w:tcBorders/>
      </w:tcPr>
    </w:tblStylePr>
    <w:tblStylePr w:type="band1Vert">
      <w:pPr>
        <w:pBdr/>
        <w:spacing/>
        <w:ind/>
      </w:pPr>
      <w:tblPr>
        <w:tblBorders/>
      </w:tblPr>
      <w:tcPr>
        <w:shd w:val="clear" w:color="auto" w:fill="bfb1d0"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00"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1 Accent 5"/>
    <w:basedOn w:val="711"/>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00" w:sz="8" w:space="0"/>
        <w:left w:val="single" w:color="78c0d4" w:themeColor="accent5" w:themeTint="00" w:sz="8" w:space="0"/>
        <w:bottom w:val="single" w:color="78c0d4" w:themeColor="accent5" w:themeTint="00" w:sz="8" w:space="0"/>
        <w:right w:val="single" w:color="78c0d4" w:themeColor="accent5" w:themeTint="00" w:sz="8" w:space="0"/>
        <w:insideH w:val="single" w:color="78c0d4" w:themeColor="accent5" w:themeTint="00" w:sz="8" w:space="0"/>
        <w:insideV w:val="single" w:color="78c0d4" w:themeColor="accent5" w:themeTint="00" w:sz="8" w:space="0"/>
      </w:tblBorders>
    </w:tblPr>
    <w:tcPr>
      <w:shd w:val="clear" w:color="auto" w:fill="d2eaf1" w:themeFill="accent5" w:themeFillTint="00"/>
      <w:tcBorders/>
    </w:tcPr>
    <w:tblStylePr w:type="band1Horz">
      <w:pPr>
        <w:pBdr/>
        <w:spacing/>
        <w:ind/>
      </w:pPr>
      <w:tblPr>
        <w:tblBorders/>
      </w:tblPr>
      <w:tcPr>
        <w:shd w:val="clear" w:color="auto" w:fill="a5d5e2" w:themeFill="accent5" w:themeFillTint="00"/>
        <w:tcBorders/>
      </w:tcPr>
    </w:tblStylePr>
    <w:tblStylePr w:type="band1Vert">
      <w:pPr>
        <w:pBdr/>
        <w:spacing/>
        <w:ind/>
      </w:pPr>
      <w:tblPr>
        <w:tblBorders/>
      </w:tblPr>
      <w:tcPr>
        <w:shd w:val="clear" w:color="auto" w:fill="a5d5e2"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00"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1 Accent 6"/>
    <w:basedOn w:val="711"/>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00" w:sz="8" w:space="0"/>
        <w:left w:val="single" w:color="f9b074" w:themeColor="accent6" w:themeTint="00" w:sz="8" w:space="0"/>
        <w:bottom w:val="single" w:color="f9b074" w:themeColor="accent6" w:themeTint="00" w:sz="8" w:space="0"/>
        <w:right w:val="single" w:color="f9b074" w:themeColor="accent6" w:themeTint="00" w:sz="8" w:space="0"/>
        <w:insideH w:val="single" w:color="f9b074" w:themeColor="accent6" w:themeTint="00" w:sz="8" w:space="0"/>
        <w:insideV w:val="single" w:color="f9b074" w:themeColor="accent6" w:themeTint="00" w:sz="8" w:space="0"/>
      </w:tblBorders>
    </w:tblPr>
    <w:tcPr>
      <w:shd w:val="clear" w:color="auto" w:fill="fde4d0" w:themeFill="accent6" w:themeFillTint="00"/>
      <w:tcBorders/>
    </w:tcPr>
    <w:tblStylePr w:type="band1Horz">
      <w:pPr>
        <w:pBdr/>
        <w:spacing/>
        <w:ind/>
      </w:pPr>
      <w:tblPr>
        <w:tblBorders/>
      </w:tblPr>
      <w:tcPr>
        <w:shd w:val="clear" w:color="auto" w:fill="fbcaa2" w:themeFill="accent6" w:themeFillTint="00"/>
        <w:tcBorders/>
      </w:tcPr>
    </w:tblStylePr>
    <w:tblStylePr w:type="band1Vert">
      <w:pPr>
        <w:pBdr/>
        <w:spacing/>
        <w:ind/>
      </w:pPr>
      <w:tblPr>
        <w:tblBorders/>
      </w:tblPr>
      <w:tcPr>
        <w:shd w:val="clear" w:color="auto" w:fill="fbcaa2"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00"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w:basedOn w:val="71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00"/>
      <w:tcBorders/>
    </w:tcPr>
    <w:tblStylePr w:type="band1Horz">
      <w:pPr>
        <w:pBdr/>
        <w:spacing/>
        <w:ind/>
      </w:pPr>
      <w:tblPr>
        <w:tblBorders/>
      </w:tblPr>
      <w:tcPr>
        <w:shd w:val="clear" w:color="auto" w:fill="808080" w:themeFill="text1" w:themeFillTint="00"/>
        <w:tcBorders/>
      </w:tcPr>
    </w:tblStylePr>
    <w:tblStylePr w:type="band1Vert">
      <w:pPr>
        <w:pBdr/>
        <w:spacing/>
        <w:ind/>
      </w:pPr>
      <w:tblPr>
        <w:tblBorders/>
      </w:tblPr>
      <w:tcPr>
        <w:shd w:val="clear" w:color="auto" w:fill="808080"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0" w:space="0"/>
          <w:left w:val="none" w:color="000000" w:sz="0" w:space="0"/>
          <w:bottom w:val="none" w:color="000000" w:sz="0" w:space="0"/>
          <w:right w:val="none" w:color="000000" w:sz="0" w:space="0"/>
        </w:tcBorders>
      </w:tcPr>
    </w:tblStylePr>
    <w:tblStylePr w:type="firstRow">
      <w:rPr>
        <w:b/>
        <w:bCs/>
        <w:color w:val="000000" w:themeColor="text1"/>
      </w:rPr>
      <w:pPr>
        <w:pBdr/>
        <w:spacing/>
        <w:ind/>
      </w:pPr>
      <w:tblPr>
        <w:tblBorders/>
      </w:tblPr>
      <w:tcPr>
        <w:shd w:val="clear" w:color="auto" w:fill="e6e6e6" w:themeFill="text1" w:themeFillTint="00"/>
        <w:tcBorders/>
      </w:tcPr>
    </w:tblStylePr>
    <w:tblStylePr w:type="lastCol">
      <w:rPr>
        <w:b w:val="0"/>
        <w:bCs w:val="0"/>
        <w:color w:val="000000" w:themeColor="text1"/>
      </w:rPr>
      <w:pPr>
        <w:pBdr/>
        <w:spacing/>
        <w:ind/>
      </w:pPr>
      <w:tblPr>
        <w:tblBorders/>
      </w:tblPr>
      <w:tcPr>
        <w:shd w:val="clear" w:color="auto" w:fill="cccccc" w:themeFill="text1" w:themeFillTint="00"/>
        <w:tcBorders>
          <w:top w:val="none" w:color="000000" w:sz="0" w:space="0"/>
          <w:left w:val="none" w:color="000000" w:sz="0" w:space="0"/>
          <w:bottom w:val="none" w:color="000000" w:sz="0" w:space="0"/>
          <w:right w:val="none" w:color="000000" w:sz="0"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2 Accent 1"/>
    <w:basedOn w:val="71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00"/>
      <w:tcBorders/>
    </w:tcPr>
    <w:tblStylePr w:type="band1Horz">
      <w:pPr>
        <w:pBdr/>
        <w:spacing/>
        <w:ind/>
      </w:pPr>
      <w:tblPr>
        <w:tblBorders/>
      </w:tblPr>
      <w:tcPr>
        <w:shd w:val="clear" w:color="auto" w:fill="a7bfde" w:themeFill="accent1" w:themeFillTint="00"/>
        <w:tcBorders/>
      </w:tcPr>
    </w:tblStylePr>
    <w:tblStylePr w:type="band1Vert">
      <w:pPr>
        <w:pBdr/>
        <w:spacing/>
        <w:ind/>
      </w:pPr>
      <w:tblPr>
        <w:tblBorders/>
      </w:tblPr>
      <w:tcPr>
        <w:shd w:val="clear" w:color="auto" w:fill="a7bfde"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0" w:space="0"/>
          <w:left w:val="none" w:color="000000" w:sz="0" w:space="0"/>
          <w:bottom w:val="none" w:color="000000" w:sz="0" w:space="0"/>
          <w:right w:val="none" w:color="000000" w:sz="0" w:space="0"/>
        </w:tcBorders>
      </w:tcPr>
    </w:tblStylePr>
    <w:tblStylePr w:type="firstRow">
      <w:rPr>
        <w:b/>
        <w:bCs/>
        <w:color w:val="000000" w:themeColor="text1"/>
      </w:rPr>
      <w:pPr>
        <w:pBdr/>
        <w:spacing/>
        <w:ind/>
      </w:pPr>
      <w:tblPr>
        <w:tblBorders/>
      </w:tblPr>
      <w:tcPr>
        <w:shd w:val="clear" w:color="auto" w:fill="edf2f8" w:themeFill="accent1" w:themeFillTint="00"/>
        <w:tcBorders/>
      </w:tcPr>
    </w:tblStylePr>
    <w:tblStylePr w:type="lastCol">
      <w:rPr>
        <w:b w:val="0"/>
        <w:bCs w:val="0"/>
        <w:color w:val="000000" w:themeColor="text1"/>
      </w:rPr>
      <w:pPr>
        <w:pBdr/>
        <w:spacing/>
        <w:ind/>
      </w:pPr>
      <w:tblPr>
        <w:tblBorders/>
      </w:tblPr>
      <w:tcPr>
        <w:shd w:val="clear" w:color="auto" w:fill="dbe5f1" w:themeFill="accent1" w:themeFillTint="00"/>
        <w:tcBorders>
          <w:top w:val="none" w:color="000000" w:sz="0" w:space="0"/>
          <w:left w:val="none" w:color="000000" w:sz="0" w:space="0"/>
          <w:bottom w:val="none" w:color="000000" w:sz="0" w:space="0"/>
          <w:right w:val="none" w:color="000000" w:sz="0"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2 Accent 2"/>
    <w:basedOn w:val="71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00"/>
      <w:tcBorders/>
    </w:tcPr>
    <w:tblStylePr w:type="band1Horz">
      <w:pPr>
        <w:pBdr/>
        <w:spacing/>
        <w:ind/>
      </w:pPr>
      <w:tblPr>
        <w:tblBorders/>
      </w:tblPr>
      <w:tcPr>
        <w:shd w:val="clear" w:color="auto" w:fill="dfa7a6" w:themeFill="accent2" w:themeFillTint="00"/>
        <w:tcBorders/>
      </w:tcPr>
    </w:tblStylePr>
    <w:tblStylePr w:type="band1Vert">
      <w:pPr>
        <w:pBdr/>
        <w:spacing/>
        <w:ind/>
      </w:pPr>
      <w:tblPr>
        <w:tblBorders/>
      </w:tblPr>
      <w:tcPr>
        <w:shd w:val="clear" w:color="auto" w:fill="dfa7a6"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0" w:space="0"/>
          <w:left w:val="none" w:color="000000" w:sz="0" w:space="0"/>
          <w:bottom w:val="none" w:color="000000" w:sz="0" w:space="0"/>
          <w:right w:val="none" w:color="000000" w:sz="0" w:space="0"/>
        </w:tcBorders>
      </w:tcPr>
    </w:tblStylePr>
    <w:tblStylePr w:type="firstRow">
      <w:rPr>
        <w:b/>
        <w:bCs/>
        <w:color w:val="000000" w:themeColor="text1"/>
      </w:rPr>
      <w:pPr>
        <w:pBdr/>
        <w:spacing/>
        <w:ind/>
      </w:pPr>
      <w:tblPr>
        <w:tblBorders/>
      </w:tblPr>
      <w:tcPr>
        <w:shd w:val="clear" w:color="auto" w:fill="f8eded" w:themeFill="accent2" w:themeFillTint="00"/>
        <w:tcBorders/>
      </w:tcPr>
    </w:tblStylePr>
    <w:tblStylePr w:type="lastCol">
      <w:rPr>
        <w:b w:val="0"/>
        <w:bCs w:val="0"/>
        <w:color w:val="000000" w:themeColor="text1"/>
      </w:rPr>
      <w:pPr>
        <w:pBdr/>
        <w:spacing/>
        <w:ind/>
      </w:pPr>
      <w:tblPr>
        <w:tblBorders/>
      </w:tblPr>
      <w:tcPr>
        <w:shd w:val="clear" w:color="auto" w:fill="f2dbdb" w:themeFill="accent2" w:themeFillTint="00"/>
        <w:tcBorders>
          <w:top w:val="none" w:color="000000" w:sz="0" w:space="0"/>
          <w:left w:val="none" w:color="000000" w:sz="0" w:space="0"/>
          <w:bottom w:val="none" w:color="000000" w:sz="0" w:space="0"/>
          <w:right w:val="none" w:color="000000" w:sz="0"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2 Accent 3"/>
    <w:basedOn w:val="71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00"/>
      <w:tcBorders/>
    </w:tcPr>
    <w:tblStylePr w:type="band1Horz">
      <w:pPr>
        <w:pBdr/>
        <w:spacing/>
        <w:ind/>
      </w:pPr>
      <w:tblPr>
        <w:tblBorders/>
      </w:tblPr>
      <w:tcPr>
        <w:shd w:val="clear" w:color="auto" w:fill="cdddac" w:themeFill="accent3" w:themeFillTint="00"/>
        <w:tcBorders/>
      </w:tcPr>
    </w:tblStylePr>
    <w:tblStylePr w:type="band1Vert">
      <w:pPr>
        <w:pBdr/>
        <w:spacing/>
        <w:ind/>
      </w:pPr>
      <w:tblPr>
        <w:tblBorders/>
      </w:tblPr>
      <w:tcPr>
        <w:shd w:val="clear" w:color="auto" w:fill="cdddac"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0" w:space="0"/>
          <w:left w:val="none" w:color="000000" w:sz="0" w:space="0"/>
          <w:bottom w:val="none" w:color="000000" w:sz="0" w:space="0"/>
          <w:right w:val="none" w:color="000000" w:sz="0" w:space="0"/>
        </w:tcBorders>
      </w:tcPr>
    </w:tblStylePr>
    <w:tblStylePr w:type="firstRow">
      <w:rPr>
        <w:b/>
        <w:bCs/>
        <w:color w:val="000000" w:themeColor="text1"/>
      </w:rPr>
      <w:pPr>
        <w:pBdr/>
        <w:spacing/>
        <w:ind/>
      </w:pPr>
      <w:tblPr>
        <w:tblBorders/>
      </w:tblPr>
      <w:tcPr>
        <w:shd w:val="clear" w:color="auto" w:fill="f5f8ee" w:themeFill="accent3" w:themeFillTint="00"/>
        <w:tcBorders/>
      </w:tcPr>
    </w:tblStylePr>
    <w:tblStylePr w:type="lastCol">
      <w:rPr>
        <w:b w:val="0"/>
        <w:bCs w:val="0"/>
        <w:color w:val="000000" w:themeColor="text1"/>
      </w:rPr>
      <w:pPr>
        <w:pBdr/>
        <w:spacing/>
        <w:ind/>
      </w:pPr>
      <w:tblPr>
        <w:tblBorders/>
      </w:tblPr>
      <w:tcPr>
        <w:shd w:val="clear" w:color="auto" w:fill="eaf1dd" w:themeFill="accent3" w:themeFillTint="00"/>
        <w:tcBorders>
          <w:top w:val="none" w:color="000000" w:sz="0" w:space="0"/>
          <w:left w:val="none" w:color="000000" w:sz="0" w:space="0"/>
          <w:bottom w:val="none" w:color="000000" w:sz="0" w:space="0"/>
          <w:right w:val="none" w:color="000000" w:sz="0"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2 Accent 4"/>
    <w:basedOn w:val="71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00"/>
      <w:tcBorders/>
    </w:tcPr>
    <w:tblStylePr w:type="band1Horz">
      <w:pPr>
        <w:pBdr/>
        <w:spacing/>
        <w:ind/>
      </w:pPr>
      <w:tblPr>
        <w:tblBorders/>
      </w:tblPr>
      <w:tcPr>
        <w:shd w:val="clear" w:color="auto" w:fill="bfb1d0" w:themeFill="accent4" w:themeFillTint="00"/>
        <w:tcBorders/>
      </w:tcPr>
    </w:tblStylePr>
    <w:tblStylePr w:type="band1Vert">
      <w:pPr>
        <w:pBdr/>
        <w:spacing/>
        <w:ind/>
      </w:pPr>
      <w:tblPr>
        <w:tblBorders/>
      </w:tblPr>
      <w:tcPr>
        <w:shd w:val="clear" w:color="auto" w:fill="bfb1d0"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0" w:space="0"/>
          <w:left w:val="none" w:color="000000" w:sz="0" w:space="0"/>
          <w:bottom w:val="none" w:color="000000" w:sz="0" w:space="0"/>
          <w:right w:val="none" w:color="000000" w:sz="0" w:space="0"/>
        </w:tcBorders>
      </w:tcPr>
    </w:tblStylePr>
    <w:tblStylePr w:type="firstRow">
      <w:rPr>
        <w:b/>
        <w:bCs/>
        <w:color w:val="000000" w:themeColor="text1"/>
      </w:rPr>
      <w:pPr>
        <w:pBdr/>
        <w:spacing/>
        <w:ind/>
      </w:pPr>
      <w:tblPr>
        <w:tblBorders/>
      </w:tblPr>
      <w:tcPr>
        <w:shd w:val="clear" w:color="auto" w:fill="f2eff6" w:themeFill="accent4" w:themeFillTint="00"/>
        <w:tcBorders/>
      </w:tcPr>
    </w:tblStylePr>
    <w:tblStylePr w:type="lastCol">
      <w:rPr>
        <w:b w:val="0"/>
        <w:bCs w:val="0"/>
        <w:color w:val="000000" w:themeColor="text1"/>
      </w:rPr>
      <w:pPr>
        <w:pBdr/>
        <w:spacing/>
        <w:ind/>
      </w:pPr>
      <w:tblPr>
        <w:tblBorders/>
      </w:tblPr>
      <w:tcPr>
        <w:shd w:val="clear" w:color="auto" w:fill="e5dfec" w:themeFill="accent4" w:themeFillTint="00"/>
        <w:tcBorders>
          <w:top w:val="none" w:color="000000" w:sz="0" w:space="0"/>
          <w:left w:val="none" w:color="000000" w:sz="0" w:space="0"/>
          <w:bottom w:val="none" w:color="000000" w:sz="0" w:space="0"/>
          <w:right w:val="none" w:color="000000" w:sz="0"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2 Accent 5"/>
    <w:basedOn w:val="71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00"/>
      <w:tcBorders/>
    </w:tcPr>
    <w:tblStylePr w:type="band1Horz">
      <w:pPr>
        <w:pBdr/>
        <w:spacing/>
        <w:ind/>
      </w:pPr>
      <w:tblPr>
        <w:tblBorders/>
      </w:tblPr>
      <w:tcPr>
        <w:shd w:val="clear" w:color="auto" w:fill="a5d5e2" w:themeFill="accent5" w:themeFillTint="00"/>
        <w:tcBorders/>
      </w:tcPr>
    </w:tblStylePr>
    <w:tblStylePr w:type="band1Vert">
      <w:pPr>
        <w:pBdr/>
        <w:spacing/>
        <w:ind/>
      </w:pPr>
      <w:tblPr>
        <w:tblBorders/>
      </w:tblPr>
      <w:tcPr>
        <w:shd w:val="clear" w:color="auto" w:fill="a5d5e2"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0" w:space="0"/>
          <w:left w:val="none" w:color="000000" w:sz="0" w:space="0"/>
          <w:bottom w:val="none" w:color="000000" w:sz="0" w:space="0"/>
          <w:right w:val="none" w:color="000000" w:sz="0" w:space="0"/>
        </w:tcBorders>
      </w:tcPr>
    </w:tblStylePr>
    <w:tblStylePr w:type="firstRow">
      <w:rPr>
        <w:b/>
        <w:bCs/>
        <w:color w:val="000000" w:themeColor="text1"/>
      </w:rPr>
      <w:pPr>
        <w:pBdr/>
        <w:spacing/>
        <w:ind/>
      </w:pPr>
      <w:tblPr>
        <w:tblBorders/>
      </w:tblPr>
      <w:tcPr>
        <w:shd w:val="clear" w:color="auto" w:fill="edf6f9" w:themeFill="accent5" w:themeFillTint="00"/>
        <w:tcBorders/>
      </w:tcPr>
    </w:tblStylePr>
    <w:tblStylePr w:type="lastCol">
      <w:rPr>
        <w:b w:val="0"/>
        <w:bCs w:val="0"/>
        <w:color w:val="000000" w:themeColor="text1"/>
      </w:rPr>
      <w:pPr>
        <w:pBdr/>
        <w:spacing/>
        <w:ind/>
      </w:pPr>
      <w:tblPr>
        <w:tblBorders/>
      </w:tblPr>
      <w:tcPr>
        <w:shd w:val="clear" w:color="auto" w:fill="daeef3" w:themeFill="accent5" w:themeFillTint="00"/>
        <w:tcBorders>
          <w:top w:val="none" w:color="000000" w:sz="0" w:space="0"/>
          <w:left w:val="none" w:color="000000" w:sz="0" w:space="0"/>
          <w:bottom w:val="none" w:color="000000" w:sz="0" w:space="0"/>
          <w:right w:val="none" w:color="000000" w:sz="0"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2 Accent 6"/>
    <w:basedOn w:val="71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00"/>
      <w:tcBorders/>
    </w:tcPr>
    <w:tblStylePr w:type="band1Horz">
      <w:pPr>
        <w:pBdr/>
        <w:spacing/>
        <w:ind/>
      </w:pPr>
      <w:tblPr>
        <w:tblBorders/>
      </w:tblPr>
      <w:tcPr>
        <w:shd w:val="clear" w:color="auto" w:fill="fbcaa2" w:themeFill="accent6" w:themeFillTint="00"/>
        <w:tcBorders/>
      </w:tcPr>
    </w:tblStylePr>
    <w:tblStylePr w:type="band1Vert">
      <w:pPr>
        <w:pBdr/>
        <w:spacing/>
        <w:ind/>
      </w:pPr>
      <w:tblPr>
        <w:tblBorders/>
      </w:tblPr>
      <w:tcPr>
        <w:shd w:val="clear" w:color="auto" w:fill="fbcaa2"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0" w:space="0"/>
          <w:left w:val="none" w:color="000000" w:sz="0" w:space="0"/>
          <w:bottom w:val="none" w:color="000000" w:sz="0" w:space="0"/>
          <w:right w:val="none" w:color="000000" w:sz="0" w:space="0"/>
        </w:tcBorders>
      </w:tcPr>
    </w:tblStylePr>
    <w:tblStylePr w:type="firstRow">
      <w:rPr>
        <w:b/>
        <w:bCs/>
        <w:color w:val="000000" w:themeColor="text1"/>
      </w:rPr>
      <w:pPr>
        <w:pBdr/>
        <w:spacing/>
        <w:ind/>
      </w:pPr>
      <w:tblPr>
        <w:tblBorders/>
      </w:tblPr>
      <w:tcPr>
        <w:shd w:val="clear" w:color="auto" w:fill="fef4ec" w:themeFill="accent6" w:themeFillTint="00"/>
        <w:tcBorders/>
      </w:tcPr>
    </w:tblStylePr>
    <w:tblStylePr w:type="lastCol">
      <w:rPr>
        <w:b w:val="0"/>
        <w:bCs w:val="0"/>
        <w:color w:val="000000" w:themeColor="text1"/>
      </w:rPr>
      <w:pPr>
        <w:pBdr/>
        <w:spacing/>
        <w:ind/>
      </w:pPr>
      <w:tblPr>
        <w:tblBorders/>
      </w:tblPr>
      <w:tcPr>
        <w:shd w:val="clear" w:color="auto" w:fill="fde9d9" w:themeFill="accent6" w:themeFillTint="00"/>
        <w:tcBorders>
          <w:top w:val="none" w:color="000000" w:sz="0" w:space="0"/>
          <w:left w:val="none" w:color="000000" w:sz="0" w:space="0"/>
          <w:bottom w:val="none" w:color="000000" w:sz="0" w:space="0"/>
          <w:right w:val="none" w:color="000000" w:sz="0"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0" w:space="0"/>
          <w:bottom w:val="none" w:color="000000" w:sz="0" w:space="0"/>
          <w:right w:val="none" w:color="000000" w:sz="0"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w:basedOn w:val="711"/>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00"/>
      <w:tcBorders/>
    </w:tcPr>
    <w:tblStylePr w:type="band1Horz">
      <w:pPr>
        <w:pBdr/>
        <w:spacing/>
        <w:ind/>
      </w:pPr>
      <w:tblPr>
        <w:tblBorders/>
      </w:tblPr>
      <w:tcPr>
        <w:shd w:val="clear" w:color="auto" w:fill="808080" w:themeFill="text1"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0" w:space="0"/>
          <w:left w:val="single" w:color="ffffff" w:themeColor="background1" w:sz="24" w:space="0"/>
          <w:bottom w:val="none" w:color="000000" w:sz="0" w:space="0"/>
          <w:right w:val="none" w:color="000000" w:sz="0"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3 Accent 1"/>
    <w:basedOn w:val="711"/>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00"/>
      <w:tcBorders/>
    </w:tcPr>
    <w:tblStylePr w:type="band1Horz">
      <w:pPr>
        <w:pBdr/>
        <w:spacing/>
        <w:ind/>
      </w:pPr>
      <w:tblPr>
        <w:tblBorders/>
      </w:tblPr>
      <w:tcPr>
        <w:shd w:val="clear" w:color="auto" w:fill="a7bfde" w:themeFill="accent1"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0" w:space="0"/>
          <w:left w:val="single" w:color="ffffff" w:themeColor="background1" w:sz="24" w:space="0"/>
          <w:bottom w:val="none" w:color="000000" w:sz="0" w:space="0"/>
          <w:right w:val="none" w:color="000000" w:sz="0"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3 Accent 2"/>
    <w:basedOn w:val="711"/>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00"/>
      <w:tcBorders/>
    </w:tcPr>
    <w:tblStylePr w:type="band1Horz">
      <w:pPr>
        <w:pBdr/>
        <w:spacing/>
        <w:ind/>
      </w:pPr>
      <w:tblPr>
        <w:tblBorders/>
      </w:tblPr>
      <w:tcPr>
        <w:shd w:val="clear" w:color="auto" w:fill="dfa7a6" w:themeFill="accent2"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0" w:space="0"/>
          <w:left w:val="single" w:color="ffffff" w:themeColor="background1" w:sz="24" w:space="0"/>
          <w:bottom w:val="none" w:color="000000" w:sz="0" w:space="0"/>
          <w:right w:val="none" w:color="000000" w:sz="0"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3 Accent 3"/>
    <w:basedOn w:val="711"/>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00"/>
      <w:tcBorders/>
    </w:tcPr>
    <w:tblStylePr w:type="band1Horz">
      <w:pPr>
        <w:pBdr/>
        <w:spacing/>
        <w:ind/>
      </w:pPr>
      <w:tblPr>
        <w:tblBorders/>
      </w:tblPr>
      <w:tcPr>
        <w:shd w:val="clear" w:color="auto" w:fill="cdddac" w:themeFill="accent3"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0" w:space="0"/>
          <w:left w:val="single" w:color="ffffff" w:themeColor="background1" w:sz="24" w:space="0"/>
          <w:bottom w:val="none" w:color="000000" w:sz="0" w:space="0"/>
          <w:right w:val="none" w:color="000000" w:sz="0"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3 Accent 4"/>
    <w:basedOn w:val="711"/>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00"/>
      <w:tcBorders/>
    </w:tcPr>
    <w:tblStylePr w:type="band1Horz">
      <w:pPr>
        <w:pBdr/>
        <w:spacing/>
        <w:ind/>
      </w:pPr>
      <w:tblPr>
        <w:tblBorders/>
      </w:tblPr>
      <w:tcPr>
        <w:shd w:val="clear" w:color="auto" w:fill="bfb1d0" w:themeFill="accent4"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0" w:space="0"/>
          <w:left w:val="single" w:color="ffffff" w:themeColor="background1" w:sz="24" w:space="0"/>
          <w:bottom w:val="none" w:color="000000" w:sz="0" w:space="0"/>
          <w:right w:val="none" w:color="000000" w:sz="0"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3 Accent 5"/>
    <w:basedOn w:val="711"/>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00"/>
      <w:tcBorders/>
    </w:tcPr>
    <w:tblStylePr w:type="band1Horz">
      <w:pPr>
        <w:pBdr/>
        <w:spacing/>
        <w:ind/>
      </w:pPr>
      <w:tblPr>
        <w:tblBorders/>
      </w:tblPr>
      <w:tcPr>
        <w:shd w:val="clear" w:color="auto" w:fill="a5d5e2" w:themeFill="accent5"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0" w:space="0"/>
          <w:left w:val="single" w:color="ffffff" w:themeColor="background1" w:sz="24" w:space="0"/>
          <w:bottom w:val="none" w:color="000000" w:sz="0" w:space="0"/>
          <w:right w:val="none" w:color="000000" w:sz="0"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3 Accent 6"/>
    <w:basedOn w:val="711"/>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00"/>
      <w:tcBorders/>
    </w:tcPr>
    <w:tblStylePr w:type="band1Horz">
      <w:pPr>
        <w:pBdr/>
        <w:spacing/>
        <w:ind/>
      </w:pPr>
      <w:tblPr>
        <w:tblBorders/>
      </w:tblPr>
      <w:tcPr>
        <w:shd w:val="clear" w:color="auto" w:fill="fbcaa2" w:themeFill="accent6"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00"/>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0" w:space="0"/>
          <w:left w:val="single" w:color="ffffff" w:themeColor="background1" w:sz="24" w:space="0"/>
          <w:bottom w:val="none" w:color="000000" w:sz="0" w:space="0"/>
          <w:right w:val="none" w:color="000000" w:sz="0"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w:basedOn w:val="711"/>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00"/>
        <w:tcBorders>
          <w:top w:val="none" w:color="000000" w:sz="0" w:space="0"/>
          <w:left w:val="none" w:color="000000" w:sz="0" w:space="0"/>
          <w:bottom w:val="none" w:color="000000" w:sz="0" w:space="0"/>
          <w:right w:val="none" w:color="000000" w:sz="0" w:space="0"/>
        </w:tcBorders>
      </w:tcPr>
    </w:tblStylePr>
    <w:tblStylePr w:type="band1Vert">
      <w:pPr>
        <w:pBdr/>
        <w:spacing/>
        <w:ind/>
      </w:pPr>
      <w:tblPr>
        <w:tblBorders/>
      </w:tblPr>
      <w:tcPr>
        <w:shd w:val="clear" w:color="auto" w:fill="000000" w:themeFill="text1" w:themeFillShade="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00"/>
        <w:tcBorders>
          <w:top w:val="none" w:color="000000" w:sz="0" w:space="0"/>
          <w:left w:val="none" w:color="000000" w:sz="0" w:space="0"/>
          <w:bottom w:val="none" w:color="000000" w:sz="0"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0" w:space="0"/>
          <w:left w:val="none" w:color="000000" w:sz="0" w:space="0"/>
          <w:bottom w:val="single" w:color="ffffff" w:themeColor="background1" w:sz="18" w:space="0"/>
          <w:right w:val="none" w:color="000000" w:sz="0" w:space="0"/>
        </w:tcBorders>
      </w:tcPr>
    </w:tblStylePr>
    <w:tblStylePr w:type="lastCol">
      <w:pPr>
        <w:pBdr/>
        <w:spacing/>
        <w:ind/>
      </w:pPr>
      <w:tblPr>
        <w:tblBorders/>
      </w:tblPr>
      <w:tcPr>
        <w:shd w:val="clear" w:color="auto" w:fill="000000" w:themeFill="text1" w:themeFillShade="00"/>
        <w:tcBorders>
          <w:top w:val="none" w:color="000000" w:sz="0" w:space="0"/>
          <w:left w:val="single" w:color="ffffff" w:themeColor="background1" w:sz="18" w:space="0"/>
          <w:bottom w:val="none" w:color="000000" w:sz="0" w:space="0"/>
          <w:right w:val="none" w:color="000000" w:sz="0" w:space="0"/>
        </w:tcBorders>
      </w:tcPr>
    </w:tblStylePr>
    <w:tblStylePr w:type="lastRow">
      <w:pPr>
        <w:pBdr/>
        <w:spacing/>
        <w:ind/>
      </w:pPr>
      <w:tblPr>
        <w:tblBorders/>
      </w:tblPr>
      <w:tcPr>
        <w:shd w:val="clear" w:color="auto" w:fill="000000" w:themeFill="text1" w:themeFillShade="00"/>
        <w:tcBorders>
          <w:top w:val="single" w:color="ffffff" w:themeColor="background1" w:sz="18"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Dark List Accent 1"/>
    <w:basedOn w:val="711"/>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00"/>
        <w:tcBorders>
          <w:top w:val="none" w:color="000000" w:sz="0" w:space="0"/>
          <w:left w:val="none" w:color="000000" w:sz="0" w:space="0"/>
          <w:bottom w:val="none" w:color="000000" w:sz="0" w:space="0"/>
          <w:right w:val="none" w:color="000000" w:sz="0" w:space="0"/>
        </w:tcBorders>
      </w:tcPr>
    </w:tblStylePr>
    <w:tblStylePr w:type="band1Vert">
      <w:pPr>
        <w:pBdr/>
        <w:spacing/>
        <w:ind/>
      </w:pPr>
      <w:tblPr>
        <w:tblBorders/>
      </w:tblPr>
      <w:tcPr>
        <w:shd w:val="clear" w:color="auto" w:fill="365f91" w:themeFill="accent1" w:themeFillShade="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00"/>
        <w:tcBorders>
          <w:top w:val="none" w:color="000000" w:sz="0" w:space="0"/>
          <w:left w:val="none" w:color="000000" w:sz="0" w:space="0"/>
          <w:bottom w:val="none" w:color="000000" w:sz="0"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0" w:space="0"/>
          <w:left w:val="none" w:color="000000" w:sz="0" w:space="0"/>
          <w:bottom w:val="single" w:color="ffffff" w:themeColor="background1" w:sz="18" w:space="0"/>
          <w:right w:val="none" w:color="000000" w:sz="0" w:space="0"/>
        </w:tcBorders>
      </w:tcPr>
    </w:tblStylePr>
    <w:tblStylePr w:type="lastCol">
      <w:pPr>
        <w:pBdr/>
        <w:spacing/>
        <w:ind/>
      </w:pPr>
      <w:tblPr>
        <w:tblBorders/>
      </w:tblPr>
      <w:tcPr>
        <w:shd w:val="clear" w:color="auto" w:fill="365f91" w:themeFill="accent1" w:themeFillShade="00"/>
        <w:tcBorders>
          <w:top w:val="none" w:color="000000" w:sz="0" w:space="0"/>
          <w:left w:val="single" w:color="ffffff" w:themeColor="background1" w:sz="18" w:space="0"/>
          <w:bottom w:val="none" w:color="000000" w:sz="0" w:space="0"/>
          <w:right w:val="none" w:color="000000" w:sz="0" w:space="0"/>
        </w:tcBorders>
      </w:tcPr>
    </w:tblStylePr>
    <w:tblStylePr w:type="lastRow">
      <w:pPr>
        <w:pBdr/>
        <w:spacing/>
        <w:ind/>
      </w:pPr>
      <w:tblPr>
        <w:tblBorders/>
      </w:tblPr>
      <w:tcPr>
        <w:shd w:val="clear" w:color="auto" w:fill="243f60" w:themeFill="accent1" w:themeFillShade="00"/>
        <w:tcBorders>
          <w:top w:val="single" w:color="ffffff" w:themeColor="background1" w:sz="18"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Dark List Accent 2"/>
    <w:basedOn w:val="711"/>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00"/>
        <w:tcBorders>
          <w:top w:val="none" w:color="000000" w:sz="0" w:space="0"/>
          <w:left w:val="none" w:color="000000" w:sz="0" w:space="0"/>
          <w:bottom w:val="none" w:color="000000" w:sz="0" w:space="0"/>
          <w:right w:val="none" w:color="000000" w:sz="0" w:space="0"/>
        </w:tcBorders>
      </w:tcPr>
    </w:tblStylePr>
    <w:tblStylePr w:type="band1Vert">
      <w:pPr>
        <w:pBdr/>
        <w:spacing/>
        <w:ind/>
      </w:pPr>
      <w:tblPr>
        <w:tblBorders/>
      </w:tblPr>
      <w:tcPr>
        <w:shd w:val="clear" w:color="auto" w:fill="943634" w:themeFill="accent2" w:themeFillShade="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00"/>
        <w:tcBorders>
          <w:top w:val="none" w:color="000000" w:sz="0" w:space="0"/>
          <w:left w:val="none" w:color="000000" w:sz="0" w:space="0"/>
          <w:bottom w:val="none" w:color="000000" w:sz="0"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0" w:space="0"/>
          <w:left w:val="none" w:color="000000" w:sz="0" w:space="0"/>
          <w:bottom w:val="single" w:color="ffffff" w:themeColor="background1" w:sz="18" w:space="0"/>
          <w:right w:val="none" w:color="000000" w:sz="0" w:space="0"/>
        </w:tcBorders>
      </w:tcPr>
    </w:tblStylePr>
    <w:tblStylePr w:type="lastCol">
      <w:pPr>
        <w:pBdr/>
        <w:spacing/>
        <w:ind/>
      </w:pPr>
      <w:tblPr>
        <w:tblBorders/>
      </w:tblPr>
      <w:tcPr>
        <w:shd w:val="clear" w:color="auto" w:fill="943634" w:themeFill="accent2" w:themeFillShade="00"/>
        <w:tcBorders>
          <w:top w:val="none" w:color="000000" w:sz="0" w:space="0"/>
          <w:left w:val="single" w:color="ffffff" w:themeColor="background1" w:sz="18" w:space="0"/>
          <w:bottom w:val="none" w:color="000000" w:sz="0" w:space="0"/>
          <w:right w:val="none" w:color="000000" w:sz="0" w:space="0"/>
        </w:tcBorders>
      </w:tcPr>
    </w:tblStylePr>
    <w:tblStylePr w:type="lastRow">
      <w:pPr>
        <w:pBdr/>
        <w:spacing/>
        <w:ind/>
      </w:pPr>
      <w:tblPr>
        <w:tblBorders/>
      </w:tblPr>
      <w:tcPr>
        <w:shd w:val="clear" w:color="auto" w:fill="622423" w:themeFill="accent2" w:themeFillShade="00"/>
        <w:tcBorders>
          <w:top w:val="single" w:color="ffffff" w:themeColor="background1" w:sz="18"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Dark List Accent 3"/>
    <w:basedOn w:val="711"/>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00"/>
        <w:tcBorders>
          <w:top w:val="none" w:color="000000" w:sz="0" w:space="0"/>
          <w:left w:val="none" w:color="000000" w:sz="0" w:space="0"/>
          <w:bottom w:val="none" w:color="000000" w:sz="0" w:space="0"/>
          <w:right w:val="none" w:color="000000" w:sz="0" w:space="0"/>
        </w:tcBorders>
      </w:tcPr>
    </w:tblStylePr>
    <w:tblStylePr w:type="band1Vert">
      <w:pPr>
        <w:pBdr/>
        <w:spacing/>
        <w:ind/>
      </w:pPr>
      <w:tblPr>
        <w:tblBorders/>
      </w:tblPr>
      <w:tcPr>
        <w:shd w:val="clear" w:color="auto" w:fill="76923c" w:themeFill="accent3" w:themeFillShade="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00"/>
        <w:tcBorders>
          <w:top w:val="none" w:color="000000" w:sz="0" w:space="0"/>
          <w:left w:val="none" w:color="000000" w:sz="0" w:space="0"/>
          <w:bottom w:val="none" w:color="000000" w:sz="0"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0" w:space="0"/>
          <w:left w:val="none" w:color="000000" w:sz="0" w:space="0"/>
          <w:bottom w:val="single" w:color="ffffff" w:themeColor="background1" w:sz="18" w:space="0"/>
          <w:right w:val="none" w:color="000000" w:sz="0" w:space="0"/>
        </w:tcBorders>
      </w:tcPr>
    </w:tblStylePr>
    <w:tblStylePr w:type="lastCol">
      <w:pPr>
        <w:pBdr/>
        <w:spacing/>
        <w:ind/>
      </w:pPr>
      <w:tblPr>
        <w:tblBorders/>
      </w:tblPr>
      <w:tcPr>
        <w:shd w:val="clear" w:color="auto" w:fill="76923c" w:themeFill="accent3" w:themeFillShade="00"/>
        <w:tcBorders>
          <w:top w:val="none" w:color="000000" w:sz="0" w:space="0"/>
          <w:left w:val="single" w:color="ffffff" w:themeColor="background1" w:sz="18" w:space="0"/>
          <w:bottom w:val="none" w:color="000000" w:sz="0" w:space="0"/>
          <w:right w:val="none" w:color="000000" w:sz="0" w:space="0"/>
        </w:tcBorders>
      </w:tcPr>
    </w:tblStylePr>
    <w:tblStylePr w:type="lastRow">
      <w:pPr>
        <w:pBdr/>
        <w:spacing/>
        <w:ind/>
      </w:pPr>
      <w:tblPr>
        <w:tblBorders/>
      </w:tblPr>
      <w:tcPr>
        <w:shd w:val="clear" w:color="auto" w:fill="4e6128" w:themeFill="accent3" w:themeFillShade="00"/>
        <w:tcBorders>
          <w:top w:val="single" w:color="ffffff" w:themeColor="background1" w:sz="18"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Dark List Accent 4"/>
    <w:basedOn w:val="711"/>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00"/>
        <w:tcBorders>
          <w:top w:val="none" w:color="000000" w:sz="0" w:space="0"/>
          <w:left w:val="none" w:color="000000" w:sz="0" w:space="0"/>
          <w:bottom w:val="none" w:color="000000" w:sz="0" w:space="0"/>
          <w:right w:val="none" w:color="000000" w:sz="0" w:space="0"/>
        </w:tcBorders>
      </w:tcPr>
    </w:tblStylePr>
    <w:tblStylePr w:type="band1Vert">
      <w:pPr>
        <w:pBdr/>
        <w:spacing/>
        <w:ind/>
      </w:pPr>
      <w:tblPr>
        <w:tblBorders/>
      </w:tblPr>
      <w:tcPr>
        <w:shd w:val="clear" w:color="auto" w:fill="5f497a" w:themeFill="accent4" w:themeFillShade="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00"/>
        <w:tcBorders>
          <w:top w:val="none" w:color="000000" w:sz="0" w:space="0"/>
          <w:left w:val="none" w:color="000000" w:sz="0" w:space="0"/>
          <w:bottom w:val="none" w:color="000000" w:sz="0"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0" w:space="0"/>
          <w:left w:val="none" w:color="000000" w:sz="0" w:space="0"/>
          <w:bottom w:val="single" w:color="ffffff" w:themeColor="background1" w:sz="18" w:space="0"/>
          <w:right w:val="none" w:color="000000" w:sz="0" w:space="0"/>
        </w:tcBorders>
      </w:tcPr>
    </w:tblStylePr>
    <w:tblStylePr w:type="lastCol">
      <w:pPr>
        <w:pBdr/>
        <w:spacing/>
        <w:ind/>
      </w:pPr>
      <w:tblPr>
        <w:tblBorders/>
      </w:tblPr>
      <w:tcPr>
        <w:shd w:val="clear" w:color="auto" w:fill="5f497a" w:themeFill="accent4" w:themeFillShade="00"/>
        <w:tcBorders>
          <w:top w:val="none" w:color="000000" w:sz="0" w:space="0"/>
          <w:left w:val="single" w:color="ffffff" w:themeColor="background1" w:sz="18" w:space="0"/>
          <w:bottom w:val="none" w:color="000000" w:sz="0" w:space="0"/>
          <w:right w:val="none" w:color="000000" w:sz="0" w:space="0"/>
        </w:tcBorders>
      </w:tcPr>
    </w:tblStylePr>
    <w:tblStylePr w:type="lastRow">
      <w:pPr>
        <w:pBdr/>
        <w:spacing/>
        <w:ind/>
      </w:pPr>
      <w:tblPr>
        <w:tblBorders/>
      </w:tblPr>
      <w:tcPr>
        <w:shd w:val="clear" w:color="auto" w:fill="3f3151" w:themeFill="accent4" w:themeFillShade="00"/>
        <w:tcBorders>
          <w:top w:val="single" w:color="ffffff" w:themeColor="background1" w:sz="18"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Dark List Accent 5"/>
    <w:basedOn w:val="711"/>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00"/>
        <w:tcBorders>
          <w:top w:val="none" w:color="000000" w:sz="0" w:space="0"/>
          <w:left w:val="none" w:color="000000" w:sz="0" w:space="0"/>
          <w:bottom w:val="none" w:color="000000" w:sz="0" w:space="0"/>
          <w:right w:val="none" w:color="000000" w:sz="0" w:space="0"/>
        </w:tcBorders>
      </w:tcPr>
    </w:tblStylePr>
    <w:tblStylePr w:type="band1Vert">
      <w:pPr>
        <w:pBdr/>
        <w:spacing/>
        <w:ind/>
      </w:pPr>
      <w:tblPr>
        <w:tblBorders/>
      </w:tblPr>
      <w:tcPr>
        <w:shd w:val="clear" w:color="auto" w:fill="31849b" w:themeFill="accent5" w:themeFillShade="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00"/>
        <w:tcBorders>
          <w:top w:val="none" w:color="000000" w:sz="0" w:space="0"/>
          <w:left w:val="none" w:color="000000" w:sz="0" w:space="0"/>
          <w:bottom w:val="none" w:color="000000" w:sz="0"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0" w:space="0"/>
          <w:left w:val="none" w:color="000000" w:sz="0" w:space="0"/>
          <w:bottom w:val="single" w:color="ffffff" w:themeColor="background1" w:sz="18" w:space="0"/>
          <w:right w:val="none" w:color="000000" w:sz="0" w:space="0"/>
        </w:tcBorders>
      </w:tcPr>
    </w:tblStylePr>
    <w:tblStylePr w:type="lastCol">
      <w:pPr>
        <w:pBdr/>
        <w:spacing/>
        <w:ind/>
      </w:pPr>
      <w:tblPr>
        <w:tblBorders/>
      </w:tblPr>
      <w:tcPr>
        <w:shd w:val="clear" w:color="auto" w:fill="31849b" w:themeFill="accent5" w:themeFillShade="00"/>
        <w:tcBorders>
          <w:top w:val="none" w:color="000000" w:sz="0" w:space="0"/>
          <w:left w:val="single" w:color="ffffff" w:themeColor="background1" w:sz="18" w:space="0"/>
          <w:bottom w:val="none" w:color="000000" w:sz="0" w:space="0"/>
          <w:right w:val="none" w:color="000000" w:sz="0" w:space="0"/>
        </w:tcBorders>
      </w:tcPr>
    </w:tblStylePr>
    <w:tblStylePr w:type="lastRow">
      <w:pPr>
        <w:pBdr/>
        <w:spacing/>
        <w:ind/>
      </w:pPr>
      <w:tblPr>
        <w:tblBorders/>
      </w:tblPr>
      <w:tcPr>
        <w:shd w:val="clear" w:color="auto" w:fill="205867" w:themeFill="accent5" w:themeFillShade="00"/>
        <w:tcBorders>
          <w:top w:val="single" w:color="ffffff" w:themeColor="background1" w:sz="18"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Dark List Accent 6"/>
    <w:basedOn w:val="711"/>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00"/>
        <w:tcBorders>
          <w:top w:val="none" w:color="000000" w:sz="0" w:space="0"/>
          <w:left w:val="none" w:color="000000" w:sz="0" w:space="0"/>
          <w:bottom w:val="none" w:color="000000" w:sz="0" w:space="0"/>
          <w:right w:val="none" w:color="000000" w:sz="0" w:space="0"/>
        </w:tcBorders>
      </w:tcPr>
    </w:tblStylePr>
    <w:tblStylePr w:type="band1Vert">
      <w:pPr>
        <w:pBdr/>
        <w:spacing/>
        <w:ind/>
      </w:pPr>
      <w:tblPr>
        <w:tblBorders/>
      </w:tblPr>
      <w:tcPr>
        <w:shd w:val="clear" w:color="auto" w:fill="e36c0a" w:themeFill="accent6" w:themeFillShade="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00"/>
        <w:tcBorders>
          <w:top w:val="none" w:color="000000" w:sz="0" w:space="0"/>
          <w:left w:val="none" w:color="000000" w:sz="0" w:space="0"/>
          <w:bottom w:val="none" w:color="000000" w:sz="0"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0" w:space="0"/>
          <w:left w:val="none" w:color="000000" w:sz="0" w:space="0"/>
          <w:bottom w:val="single" w:color="ffffff" w:themeColor="background1" w:sz="18" w:space="0"/>
          <w:right w:val="none" w:color="000000" w:sz="0" w:space="0"/>
        </w:tcBorders>
      </w:tcPr>
    </w:tblStylePr>
    <w:tblStylePr w:type="lastCol">
      <w:pPr>
        <w:pBdr/>
        <w:spacing/>
        <w:ind/>
      </w:pPr>
      <w:tblPr>
        <w:tblBorders/>
      </w:tblPr>
      <w:tcPr>
        <w:shd w:val="clear" w:color="auto" w:fill="e36c0a" w:themeFill="accent6" w:themeFillShade="00"/>
        <w:tcBorders>
          <w:top w:val="none" w:color="000000" w:sz="0" w:space="0"/>
          <w:left w:val="single" w:color="ffffff" w:themeColor="background1" w:sz="18" w:space="0"/>
          <w:bottom w:val="none" w:color="000000" w:sz="0" w:space="0"/>
          <w:right w:val="none" w:color="000000" w:sz="0" w:space="0"/>
        </w:tcBorders>
      </w:tcPr>
    </w:tblStylePr>
    <w:tblStylePr w:type="lastRow">
      <w:pPr>
        <w:pBdr/>
        <w:spacing/>
        <w:ind/>
      </w:pPr>
      <w:tblPr>
        <w:tblBorders/>
      </w:tblPr>
      <w:tcPr>
        <w:shd w:val="clear" w:color="auto" w:fill="974706" w:themeFill="accent6" w:themeFillShade="00"/>
        <w:tcBorders>
          <w:top w:val="single" w:color="ffffff" w:themeColor="background1" w:sz="18"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w:basedOn w:val="711"/>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00"/>
      <w:tcBorders/>
    </w:tcPr>
    <w:tblStylePr w:type="band1Horz">
      <w:pPr>
        <w:pBdr/>
        <w:spacing/>
        <w:ind/>
      </w:pPr>
      <w:tblPr>
        <w:tblBorders/>
      </w:tblPr>
      <w:tcPr>
        <w:shd w:val="clear" w:color="auto" w:fill="808080" w:themeFill="text1" w:themeFillTint="00"/>
        <w:tcBorders/>
      </w:tcPr>
    </w:tblStylePr>
    <w:tblStylePr w:type="band1Vert">
      <w:pPr>
        <w:pBdr/>
        <w:spacing/>
        <w:ind/>
      </w:pPr>
      <w:tblPr>
        <w:tblBorders/>
      </w:tblPr>
      <w:tcPr>
        <w:shd w:val="clear" w:color="auto" w:fill="999999"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00"/>
        <w:tcBorders>
          <w:top w:val="none" w:color="000000" w:sz="0" w:space="0"/>
          <w:left w:val="none" w:color="000000" w:sz="0" w:space="0"/>
          <w:bottom w:val="none" w:color="000000" w:sz="0" w:space="0"/>
          <w:right w:val="none" w:color="000000" w:sz="0" w:space="0"/>
        </w:tcBorders>
      </w:tcPr>
    </w:tblStylePr>
    <w:tblStylePr w:type="firstRow">
      <w:rPr>
        <w:b/>
        <w:bCs/>
      </w:rPr>
      <w:pPr>
        <w:pBdr/>
        <w:spacing/>
        <w:ind/>
      </w:pPr>
      <w:tblPr>
        <w:tblBorders/>
      </w:tblPr>
      <w:tcPr>
        <w:shd w:val="clear" w:color="auto" w:fill="ffffff" w:themeFill="background1"/>
        <w:tcBorders>
          <w:top w:val="none" w:color="000000" w:sz="0" w:space="0"/>
          <w:left w:val="none" w:color="000000" w:sz="0" w:space="0"/>
          <w:bottom w:val="single" w:color="c0504d" w:themeColor="accent2" w:sz="24" w:space="0"/>
          <w:right w:val="none" w:color="000000" w:sz="0" w:space="0"/>
        </w:tcBorders>
      </w:tcPr>
    </w:tblStylePr>
    <w:tblStylePr w:type="lastCol">
      <w:rPr>
        <w:color w:val="ffffff" w:themeColor="background1"/>
      </w:rPr>
      <w:pPr>
        <w:pBdr/>
        <w:spacing/>
        <w:ind/>
      </w:pPr>
      <w:tblPr>
        <w:tblBorders/>
      </w:tblPr>
      <w:tcPr>
        <w:shd w:val="clear" w:color="auto" w:fill="000000" w:themeFill="text1" w:themeFillShade="00"/>
        <w:tcBorders>
          <w:top w:val="none" w:color="000000" w:sz="0" w:space="0"/>
          <w:left w:val="none" w:color="000000" w:sz="0" w:space="0"/>
          <w:bottom w:val="none" w:color="000000" w:sz="0" w:space="0"/>
          <w:right w:val="none" w:color="000000" w:sz="0" w:space="0"/>
        </w:tcBorders>
      </w:tcPr>
    </w:tblStylePr>
    <w:tblStylePr w:type="lastRow">
      <w:rPr>
        <w:b/>
        <w:bCs/>
        <w:color w:val="ffffff" w:themeColor="background1"/>
      </w:rPr>
      <w:pPr>
        <w:pBdr/>
        <w:spacing/>
        <w:ind/>
      </w:pPr>
      <w:tblPr>
        <w:tblBorders/>
      </w:tblPr>
      <w:tcPr>
        <w:shd w:val="clear" w:color="auto" w:fill="000000" w:themeFill="text1" w:themeFillShade="00"/>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Shading Accent 1"/>
    <w:basedOn w:val="711"/>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00"/>
      <w:tcBorders/>
    </w:tcPr>
    <w:tblStylePr w:type="band1Horz">
      <w:pPr>
        <w:pBdr/>
        <w:spacing/>
        <w:ind/>
      </w:pPr>
      <w:tblPr>
        <w:tblBorders/>
      </w:tblPr>
      <w:tcPr>
        <w:shd w:val="clear" w:color="auto" w:fill="a7bfde" w:themeFill="accent1" w:themeFillTint="00"/>
        <w:tcBorders/>
      </w:tcPr>
    </w:tblStylePr>
    <w:tblStylePr w:type="band1Vert">
      <w:pPr>
        <w:pBdr/>
        <w:spacing/>
        <w:ind/>
      </w:pPr>
      <w:tblPr>
        <w:tblBorders/>
      </w:tblPr>
      <w:tcPr>
        <w:shd w:val="clear" w:color="auto" w:fill="b8cce4"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00"/>
        <w:tcBorders>
          <w:top w:val="none" w:color="000000" w:sz="0" w:space="0"/>
          <w:left w:val="none" w:color="000000" w:sz="0" w:space="0"/>
          <w:bottom w:val="none" w:color="000000" w:sz="0" w:space="0"/>
          <w:right w:val="none" w:color="000000" w:sz="0" w:space="0"/>
        </w:tcBorders>
      </w:tcPr>
    </w:tblStylePr>
    <w:tblStylePr w:type="firstRow">
      <w:rPr>
        <w:b/>
        <w:bCs/>
      </w:rPr>
      <w:pPr>
        <w:pBdr/>
        <w:spacing/>
        <w:ind/>
      </w:pPr>
      <w:tblPr>
        <w:tblBorders/>
      </w:tblPr>
      <w:tcPr>
        <w:shd w:val="clear" w:color="auto" w:fill="ffffff" w:themeFill="background1"/>
        <w:tcBorders>
          <w:top w:val="none" w:color="000000" w:sz="0" w:space="0"/>
          <w:left w:val="none" w:color="000000" w:sz="0" w:space="0"/>
          <w:bottom w:val="single" w:color="c0504d" w:themeColor="accent2" w:sz="24" w:space="0"/>
          <w:right w:val="none" w:color="000000" w:sz="0" w:space="0"/>
        </w:tcBorders>
      </w:tcPr>
    </w:tblStylePr>
    <w:tblStylePr w:type="lastCol">
      <w:rPr>
        <w:color w:val="ffffff" w:themeColor="background1"/>
      </w:rPr>
      <w:pPr>
        <w:pBdr/>
        <w:spacing/>
        <w:ind/>
      </w:pPr>
      <w:tblPr>
        <w:tblBorders/>
      </w:tblPr>
      <w:tcPr>
        <w:shd w:val="clear" w:color="auto" w:fill="2c4c74" w:themeFill="accent1" w:themeFillShade="00"/>
        <w:tcBorders>
          <w:top w:val="none" w:color="000000" w:sz="0" w:space="0"/>
          <w:left w:val="none" w:color="000000" w:sz="0" w:space="0"/>
          <w:bottom w:val="none" w:color="000000" w:sz="0" w:space="0"/>
          <w:right w:val="none" w:color="000000" w:sz="0" w:space="0"/>
        </w:tcBorders>
      </w:tcPr>
    </w:tblStylePr>
    <w:tblStylePr w:type="lastRow">
      <w:rPr>
        <w:b/>
        <w:bCs/>
        <w:color w:val="ffffff" w:themeColor="background1"/>
      </w:rPr>
      <w:pPr>
        <w:pBdr/>
        <w:spacing/>
        <w:ind/>
      </w:pPr>
      <w:tblPr>
        <w:tblBorders/>
      </w:tblPr>
      <w:tcPr>
        <w:shd w:val="clear" w:color="auto" w:fill="2c4c74" w:themeFill="accent1" w:themeFillShade="00"/>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Shading Accent 2"/>
    <w:basedOn w:val="711"/>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00"/>
      <w:tcBorders/>
    </w:tcPr>
    <w:tblStylePr w:type="band1Horz">
      <w:pPr>
        <w:pBdr/>
        <w:spacing/>
        <w:ind/>
      </w:pPr>
      <w:tblPr>
        <w:tblBorders/>
      </w:tblPr>
      <w:tcPr>
        <w:shd w:val="clear" w:color="auto" w:fill="dfa7a6" w:themeFill="accent2" w:themeFillTint="00"/>
        <w:tcBorders/>
      </w:tcPr>
    </w:tblStylePr>
    <w:tblStylePr w:type="band1Vert">
      <w:pPr>
        <w:pBdr/>
        <w:spacing/>
        <w:ind/>
      </w:pPr>
      <w:tblPr>
        <w:tblBorders/>
      </w:tblPr>
      <w:tcPr>
        <w:shd w:val="clear" w:color="auto" w:fill="e5b8b7"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00"/>
        <w:tcBorders>
          <w:top w:val="none" w:color="000000" w:sz="0" w:space="0"/>
          <w:left w:val="none" w:color="000000" w:sz="0" w:space="0"/>
          <w:bottom w:val="none" w:color="000000" w:sz="0" w:space="0"/>
          <w:right w:val="none" w:color="000000" w:sz="0" w:space="0"/>
        </w:tcBorders>
      </w:tcPr>
    </w:tblStylePr>
    <w:tblStylePr w:type="firstRow">
      <w:rPr>
        <w:b/>
        <w:bCs/>
      </w:rPr>
      <w:pPr>
        <w:pBdr/>
        <w:spacing/>
        <w:ind/>
      </w:pPr>
      <w:tblPr>
        <w:tblBorders/>
      </w:tblPr>
      <w:tcPr>
        <w:shd w:val="clear" w:color="auto" w:fill="ffffff" w:themeFill="background1"/>
        <w:tcBorders>
          <w:top w:val="none" w:color="000000" w:sz="0" w:space="0"/>
          <w:left w:val="none" w:color="000000" w:sz="0" w:space="0"/>
          <w:bottom w:val="single" w:color="c0504d" w:themeColor="accent2" w:sz="24" w:space="0"/>
          <w:right w:val="none" w:color="000000" w:sz="0" w:space="0"/>
        </w:tcBorders>
      </w:tcPr>
    </w:tblStylePr>
    <w:tblStylePr w:type="lastCol">
      <w:rPr>
        <w:color w:val="ffffff" w:themeColor="background1"/>
      </w:rPr>
      <w:pPr>
        <w:pBdr/>
        <w:spacing/>
        <w:ind/>
      </w:pPr>
      <w:tblPr>
        <w:tblBorders/>
      </w:tblPr>
      <w:tcPr>
        <w:shd w:val="clear" w:color="auto" w:fill="772c2a" w:themeFill="accent2" w:themeFillShade="00"/>
        <w:tcBorders>
          <w:top w:val="none" w:color="000000" w:sz="0" w:space="0"/>
          <w:left w:val="none" w:color="000000" w:sz="0" w:space="0"/>
          <w:bottom w:val="none" w:color="000000" w:sz="0" w:space="0"/>
          <w:right w:val="none" w:color="000000" w:sz="0" w:space="0"/>
        </w:tcBorders>
      </w:tcPr>
    </w:tblStylePr>
    <w:tblStylePr w:type="lastRow">
      <w:rPr>
        <w:b/>
        <w:bCs/>
        <w:color w:val="ffffff" w:themeColor="background1"/>
      </w:rPr>
      <w:pPr>
        <w:pBdr/>
        <w:spacing/>
        <w:ind/>
      </w:pPr>
      <w:tblPr>
        <w:tblBorders/>
      </w:tblPr>
      <w:tcPr>
        <w:shd w:val="clear" w:color="auto" w:fill="772c2a" w:themeFill="accent2" w:themeFillShade="00"/>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Shading Accent 3"/>
    <w:basedOn w:val="711"/>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00"/>
      <w:tcBorders/>
    </w:tcPr>
    <w:tblStylePr w:type="band1Horz">
      <w:pPr>
        <w:pBdr/>
        <w:spacing/>
        <w:ind/>
      </w:pPr>
      <w:tblPr>
        <w:tblBorders/>
      </w:tblPr>
      <w:tcPr>
        <w:shd w:val="clear" w:color="auto" w:fill="cdddac" w:themeFill="accent3" w:themeFillTint="00"/>
        <w:tcBorders/>
      </w:tcPr>
    </w:tblStylePr>
    <w:tblStylePr w:type="band1Vert">
      <w:pPr>
        <w:pBdr/>
        <w:spacing/>
        <w:ind/>
      </w:pPr>
      <w:tblPr>
        <w:tblBorders/>
      </w:tblPr>
      <w:tcPr>
        <w:shd w:val="clear" w:color="auto" w:fill="d6e3bc"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00"/>
        <w:tcBorders>
          <w:top w:val="none" w:color="000000" w:sz="0" w:space="0"/>
          <w:left w:val="none" w:color="000000" w:sz="0" w:space="0"/>
          <w:bottom w:val="none" w:color="000000" w:sz="0" w:space="0"/>
          <w:right w:val="none" w:color="000000" w:sz="0" w:space="0"/>
        </w:tcBorders>
      </w:tcPr>
    </w:tblStylePr>
    <w:tblStylePr w:type="firstRow">
      <w:rPr>
        <w:b/>
        <w:bCs/>
      </w:rPr>
      <w:pPr>
        <w:pBdr/>
        <w:spacing/>
        <w:ind/>
      </w:pPr>
      <w:tblPr>
        <w:tblBorders/>
      </w:tblPr>
      <w:tcPr>
        <w:shd w:val="clear" w:color="auto" w:fill="ffffff" w:themeFill="background1"/>
        <w:tcBorders>
          <w:top w:val="none" w:color="000000" w:sz="0" w:space="0"/>
          <w:left w:val="none" w:color="000000" w:sz="0" w:space="0"/>
          <w:bottom w:val="single" w:color="8064a2" w:themeColor="accent4" w:sz="24" w:space="0"/>
          <w:right w:val="none" w:color="000000" w:sz="0" w:space="0"/>
        </w:tcBorders>
      </w:tcPr>
    </w:tblStylePr>
    <w:tblStylePr w:type="lastCol">
      <w:rPr>
        <w:color w:val="ffffff" w:themeColor="background1"/>
      </w:rPr>
      <w:pPr>
        <w:pBdr/>
        <w:spacing/>
        <w:ind/>
      </w:pPr>
      <w:tblPr>
        <w:tblBorders/>
      </w:tblPr>
      <w:tcPr>
        <w:shd w:val="clear" w:color="auto" w:fill="5e7530" w:themeFill="accent3" w:themeFillShade="00"/>
        <w:tcBorders>
          <w:top w:val="none" w:color="000000" w:sz="0" w:space="0"/>
          <w:left w:val="none" w:color="000000" w:sz="0" w:space="0"/>
          <w:bottom w:val="none" w:color="000000" w:sz="0" w:space="0"/>
          <w:right w:val="none" w:color="000000" w:sz="0" w:space="0"/>
        </w:tcBorders>
      </w:tcPr>
    </w:tblStylePr>
    <w:tblStylePr w:type="lastRow">
      <w:rPr>
        <w:b/>
        <w:bCs/>
        <w:color w:val="ffffff" w:themeColor="background1"/>
      </w:rPr>
      <w:pPr>
        <w:pBdr/>
        <w:spacing/>
        <w:ind/>
      </w:pPr>
      <w:tblPr>
        <w:tblBorders/>
      </w:tblPr>
      <w:tcPr>
        <w:shd w:val="clear" w:color="auto" w:fill="5e7530" w:themeFill="accent3" w:themeFillShade="00"/>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Shading Accent 4"/>
    <w:basedOn w:val="711"/>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00"/>
      <w:tcBorders/>
    </w:tcPr>
    <w:tblStylePr w:type="band1Horz">
      <w:pPr>
        <w:pBdr/>
        <w:spacing/>
        <w:ind/>
      </w:pPr>
      <w:tblPr>
        <w:tblBorders/>
      </w:tblPr>
      <w:tcPr>
        <w:shd w:val="clear" w:color="auto" w:fill="bfb1d0" w:themeFill="accent4" w:themeFillTint="00"/>
        <w:tcBorders/>
      </w:tcPr>
    </w:tblStylePr>
    <w:tblStylePr w:type="band1Vert">
      <w:pPr>
        <w:pBdr/>
        <w:spacing/>
        <w:ind/>
      </w:pPr>
      <w:tblPr>
        <w:tblBorders/>
      </w:tblPr>
      <w:tcPr>
        <w:shd w:val="clear" w:color="auto" w:fill="ccc0d9"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00"/>
        <w:tcBorders>
          <w:top w:val="none" w:color="000000" w:sz="0" w:space="0"/>
          <w:left w:val="none" w:color="000000" w:sz="0" w:space="0"/>
          <w:bottom w:val="none" w:color="000000" w:sz="0" w:space="0"/>
          <w:right w:val="none" w:color="000000" w:sz="0" w:space="0"/>
        </w:tcBorders>
      </w:tcPr>
    </w:tblStylePr>
    <w:tblStylePr w:type="firstRow">
      <w:rPr>
        <w:b/>
        <w:bCs/>
      </w:rPr>
      <w:pPr>
        <w:pBdr/>
        <w:spacing/>
        <w:ind/>
      </w:pPr>
      <w:tblPr>
        <w:tblBorders/>
      </w:tblPr>
      <w:tcPr>
        <w:shd w:val="clear" w:color="auto" w:fill="ffffff" w:themeFill="background1"/>
        <w:tcBorders>
          <w:top w:val="none" w:color="000000" w:sz="0" w:space="0"/>
          <w:left w:val="none" w:color="000000" w:sz="0" w:space="0"/>
          <w:bottom w:val="single" w:color="9bbb59" w:themeColor="accent3" w:sz="24" w:space="0"/>
          <w:right w:val="none" w:color="000000" w:sz="0" w:space="0"/>
        </w:tcBorders>
      </w:tcPr>
    </w:tblStylePr>
    <w:tblStylePr w:type="lastCol">
      <w:rPr>
        <w:color w:val="ffffff" w:themeColor="background1"/>
      </w:rPr>
      <w:pPr>
        <w:pBdr/>
        <w:spacing/>
        <w:ind/>
      </w:pPr>
      <w:tblPr>
        <w:tblBorders/>
      </w:tblPr>
      <w:tcPr>
        <w:shd w:val="clear" w:color="auto" w:fill="4c3b62" w:themeFill="accent4" w:themeFillShade="00"/>
        <w:tcBorders>
          <w:top w:val="none" w:color="000000" w:sz="0" w:space="0"/>
          <w:left w:val="none" w:color="000000" w:sz="0" w:space="0"/>
          <w:bottom w:val="none" w:color="000000" w:sz="0" w:space="0"/>
          <w:right w:val="none" w:color="000000" w:sz="0" w:space="0"/>
        </w:tcBorders>
      </w:tcPr>
    </w:tblStylePr>
    <w:tblStylePr w:type="lastRow">
      <w:rPr>
        <w:b/>
        <w:bCs/>
        <w:color w:val="ffffff" w:themeColor="background1"/>
      </w:rPr>
      <w:pPr>
        <w:pBdr/>
        <w:spacing/>
        <w:ind/>
      </w:pPr>
      <w:tblPr>
        <w:tblBorders/>
      </w:tblPr>
      <w:tcPr>
        <w:shd w:val="clear" w:color="auto" w:fill="4c3b62" w:themeFill="accent4" w:themeFillShade="00"/>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Shading Accent 5"/>
    <w:basedOn w:val="711"/>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00"/>
      <w:tcBorders/>
    </w:tcPr>
    <w:tblStylePr w:type="band1Horz">
      <w:pPr>
        <w:pBdr/>
        <w:spacing/>
        <w:ind/>
      </w:pPr>
      <w:tblPr>
        <w:tblBorders/>
      </w:tblPr>
      <w:tcPr>
        <w:shd w:val="clear" w:color="auto" w:fill="a5d5e2" w:themeFill="accent5" w:themeFillTint="00"/>
        <w:tcBorders/>
      </w:tcPr>
    </w:tblStylePr>
    <w:tblStylePr w:type="band1Vert">
      <w:pPr>
        <w:pBdr/>
        <w:spacing/>
        <w:ind/>
      </w:pPr>
      <w:tblPr>
        <w:tblBorders/>
      </w:tblPr>
      <w:tcPr>
        <w:shd w:val="clear" w:color="auto" w:fill="b6dde8"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00"/>
        <w:tcBorders>
          <w:top w:val="none" w:color="000000" w:sz="0" w:space="0"/>
          <w:left w:val="none" w:color="000000" w:sz="0" w:space="0"/>
          <w:bottom w:val="none" w:color="000000" w:sz="0" w:space="0"/>
          <w:right w:val="none" w:color="000000" w:sz="0" w:space="0"/>
        </w:tcBorders>
      </w:tcPr>
    </w:tblStylePr>
    <w:tblStylePr w:type="firstRow">
      <w:rPr>
        <w:b/>
        <w:bCs/>
      </w:rPr>
      <w:pPr>
        <w:pBdr/>
        <w:spacing/>
        <w:ind/>
      </w:pPr>
      <w:tblPr>
        <w:tblBorders/>
      </w:tblPr>
      <w:tcPr>
        <w:shd w:val="clear" w:color="auto" w:fill="ffffff" w:themeFill="background1"/>
        <w:tcBorders>
          <w:top w:val="none" w:color="000000" w:sz="0" w:space="0"/>
          <w:left w:val="none" w:color="000000" w:sz="0" w:space="0"/>
          <w:bottom w:val="single" w:color="f79646" w:themeColor="accent6" w:sz="24" w:space="0"/>
          <w:right w:val="none" w:color="000000" w:sz="0" w:space="0"/>
        </w:tcBorders>
      </w:tcPr>
    </w:tblStylePr>
    <w:tblStylePr w:type="lastCol">
      <w:rPr>
        <w:color w:val="ffffff" w:themeColor="background1"/>
      </w:rPr>
      <w:pPr>
        <w:pBdr/>
        <w:spacing/>
        <w:ind/>
      </w:pPr>
      <w:tblPr>
        <w:tblBorders/>
      </w:tblPr>
      <w:tcPr>
        <w:shd w:val="clear" w:color="auto" w:fill="276a7c" w:themeFill="accent5" w:themeFillShade="00"/>
        <w:tcBorders>
          <w:top w:val="none" w:color="000000" w:sz="0" w:space="0"/>
          <w:left w:val="none" w:color="000000" w:sz="0" w:space="0"/>
          <w:bottom w:val="none" w:color="000000" w:sz="0" w:space="0"/>
          <w:right w:val="none" w:color="000000" w:sz="0" w:space="0"/>
        </w:tcBorders>
      </w:tcPr>
    </w:tblStylePr>
    <w:tblStylePr w:type="lastRow">
      <w:rPr>
        <w:b/>
        <w:bCs/>
        <w:color w:val="ffffff" w:themeColor="background1"/>
      </w:rPr>
      <w:pPr>
        <w:pBdr/>
        <w:spacing/>
        <w:ind/>
      </w:pPr>
      <w:tblPr>
        <w:tblBorders/>
      </w:tblPr>
      <w:tcPr>
        <w:shd w:val="clear" w:color="auto" w:fill="276a7c" w:themeFill="accent5" w:themeFillShade="00"/>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Shading Accent 6"/>
    <w:basedOn w:val="711"/>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00"/>
      <w:tcBorders/>
    </w:tcPr>
    <w:tblStylePr w:type="band1Horz">
      <w:pPr>
        <w:pBdr/>
        <w:spacing/>
        <w:ind/>
      </w:pPr>
      <w:tblPr>
        <w:tblBorders/>
      </w:tblPr>
      <w:tcPr>
        <w:shd w:val="clear" w:color="auto" w:fill="fbcaa2" w:themeFill="accent6" w:themeFillTint="00"/>
        <w:tcBorders/>
      </w:tcPr>
    </w:tblStylePr>
    <w:tblStylePr w:type="band1Vert">
      <w:pPr>
        <w:pBdr/>
        <w:spacing/>
        <w:ind/>
      </w:pPr>
      <w:tblPr>
        <w:tblBorders/>
      </w:tblPr>
      <w:tcPr>
        <w:shd w:val="clear" w:color="auto" w:fill="fbd4b4"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00"/>
        <w:tcBorders>
          <w:top w:val="none" w:color="000000" w:sz="0" w:space="0"/>
          <w:left w:val="none" w:color="000000" w:sz="0" w:space="0"/>
          <w:bottom w:val="none" w:color="000000" w:sz="0" w:space="0"/>
          <w:right w:val="none" w:color="000000" w:sz="0" w:space="0"/>
        </w:tcBorders>
      </w:tcPr>
    </w:tblStylePr>
    <w:tblStylePr w:type="firstRow">
      <w:rPr>
        <w:b/>
        <w:bCs/>
      </w:rPr>
      <w:pPr>
        <w:pBdr/>
        <w:spacing/>
        <w:ind/>
      </w:pPr>
      <w:tblPr>
        <w:tblBorders/>
      </w:tblPr>
      <w:tcPr>
        <w:shd w:val="clear" w:color="auto" w:fill="ffffff" w:themeFill="background1"/>
        <w:tcBorders>
          <w:top w:val="none" w:color="000000" w:sz="0" w:space="0"/>
          <w:left w:val="none" w:color="000000" w:sz="0" w:space="0"/>
          <w:bottom w:val="single" w:color="4bacc6" w:themeColor="accent5" w:sz="24" w:space="0"/>
          <w:right w:val="none" w:color="000000" w:sz="0" w:space="0"/>
        </w:tcBorders>
      </w:tcPr>
    </w:tblStylePr>
    <w:tblStylePr w:type="lastCol">
      <w:rPr>
        <w:color w:val="ffffff" w:themeColor="background1"/>
      </w:rPr>
      <w:pPr>
        <w:pBdr/>
        <w:spacing/>
        <w:ind/>
      </w:pPr>
      <w:tblPr>
        <w:tblBorders/>
      </w:tblPr>
      <w:tcPr>
        <w:shd w:val="clear" w:color="auto" w:fill="b65608" w:themeFill="accent6" w:themeFillShade="00"/>
        <w:tcBorders>
          <w:top w:val="none" w:color="000000" w:sz="0" w:space="0"/>
          <w:left w:val="none" w:color="000000" w:sz="0" w:space="0"/>
          <w:bottom w:val="none" w:color="000000" w:sz="0" w:space="0"/>
          <w:right w:val="none" w:color="000000" w:sz="0" w:space="0"/>
        </w:tcBorders>
      </w:tcPr>
    </w:tblStylePr>
    <w:tblStylePr w:type="lastRow">
      <w:rPr>
        <w:b/>
        <w:bCs/>
        <w:color w:val="ffffff" w:themeColor="background1"/>
      </w:rPr>
      <w:pPr>
        <w:pBdr/>
        <w:spacing/>
        <w:ind/>
      </w:pPr>
      <w:tblPr>
        <w:tblBorders/>
      </w:tblPr>
      <w:tcPr>
        <w:shd w:val="clear" w:color="auto" w:fill="b65608" w:themeFill="accent6" w:themeFillShade="00"/>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w:basedOn w:val="711"/>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00"/>
      <w:tcBorders/>
    </w:tcPr>
    <w:tblStylePr w:type="band1Horz">
      <w:pPr>
        <w:pBdr/>
        <w:spacing/>
        <w:ind/>
      </w:pPr>
      <w:tblPr>
        <w:tblBorders/>
      </w:tblPr>
      <w:tcPr>
        <w:shd w:val="clear" w:color="auto" w:fill="cccccc" w:themeFill="text1" w:themeFillTint="00"/>
        <w:tcBorders/>
      </w:tcPr>
    </w:tblStylePr>
    <w:tblStylePr w:type="band1Vert">
      <w:pPr>
        <w:pBdr/>
        <w:spacing/>
        <w:ind/>
      </w:pPr>
      <w:tblPr>
        <w:tblBorders/>
      </w:tblPr>
      <w:tcPr>
        <w:shd w:val="clear" w:color="auto" w:fill="c0c0c0" w:themeFill="text1" w:themeFillTint="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00"/>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00"/>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List Accent 1"/>
    <w:basedOn w:val="711"/>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00"/>
      <w:tcBorders/>
    </w:tcPr>
    <w:tblStylePr w:type="band1Horz">
      <w:pPr>
        <w:pBdr/>
        <w:spacing/>
        <w:ind/>
      </w:pPr>
      <w:tblPr>
        <w:tblBorders/>
      </w:tblPr>
      <w:tcPr>
        <w:shd w:val="clear" w:color="auto" w:fill="dbe5f1" w:themeFill="accent1" w:themeFillTint="00"/>
        <w:tcBorders/>
      </w:tcPr>
    </w:tblStylePr>
    <w:tblStylePr w:type="band1Vert">
      <w:pPr>
        <w:pBdr/>
        <w:spacing/>
        <w:ind/>
      </w:pPr>
      <w:tblPr>
        <w:tblBorders/>
      </w:tblPr>
      <w:tcPr>
        <w:shd w:val="clear" w:color="auto" w:fill="d3dfee" w:themeFill="accent1" w:themeFillTint="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00"/>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00"/>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List Accent 2"/>
    <w:basedOn w:val="711"/>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00"/>
      <w:tcBorders/>
    </w:tcPr>
    <w:tblStylePr w:type="band1Horz">
      <w:pPr>
        <w:pBdr/>
        <w:spacing/>
        <w:ind/>
      </w:pPr>
      <w:tblPr>
        <w:tblBorders/>
      </w:tblPr>
      <w:tcPr>
        <w:shd w:val="clear" w:color="auto" w:fill="f2dbdb" w:themeFill="accent2" w:themeFillTint="00"/>
        <w:tcBorders/>
      </w:tcPr>
    </w:tblStylePr>
    <w:tblStylePr w:type="band1Vert">
      <w:pPr>
        <w:pBdr/>
        <w:spacing/>
        <w:ind/>
      </w:pPr>
      <w:tblPr>
        <w:tblBorders/>
      </w:tblPr>
      <w:tcPr>
        <w:shd w:val="clear" w:color="auto" w:fill="efd3d2" w:themeFill="accent2" w:themeFillTint="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00"/>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00"/>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List Accent 3"/>
    <w:basedOn w:val="711"/>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00"/>
      <w:tcBorders/>
    </w:tcPr>
    <w:tblStylePr w:type="band1Horz">
      <w:pPr>
        <w:pBdr/>
        <w:spacing/>
        <w:ind/>
      </w:pPr>
      <w:tblPr>
        <w:tblBorders/>
      </w:tblPr>
      <w:tcPr>
        <w:shd w:val="clear" w:color="auto" w:fill="eaf1dd" w:themeFill="accent3" w:themeFillTint="00"/>
        <w:tcBorders/>
      </w:tcPr>
    </w:tblStylePr>
    <w:tblStylePr w:type="band1Vert">
      <w:pPr>
        <w:pBdr/>
        <w:spacing/>
        <w:ind/>
      </w:pPr>
      <w:tblPr>
        <w:tblBorders/>
      </w:tblPr>
      <w:tcPr>
        <w:shd w:val="clear" w:color="auto" w:fill="e6eed5" w:themeFill="accent3" w:themeFillTint="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00"/>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00"/>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List Accent 4"/>
    <w:basedOn w:val="711"/>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00"/>
      <w:tcBorders/>
    </w:tcPr>
    <w:tblStylePr w:type="band1Horz">
      <w:pPr>
        <w:pBdr/>
        <w:spacing/>
        <w:ind/>
      </w:pPr>
      <w:tblPr>
        <w:tblBorders/>
      </w:tblPr>
      <w:tcPr>
        <w:shd w:val="clear" w:color="auto" w:fill="e5dfec" w:themeFill="accent4" w:themeFillTint="00"/>
        <w:tcBorders/>
      </w:tcPr>
    </w:tblStylePr>
    <w:tblStylePr w:type="band1Vert">
      <w:pPr>
        <w:pBdr/>
        <w:spacing/>
        <w:ind/>
      </w:pPr>
      <w:tblPr>
        <w:tblBorders/>
      </w:tblPr>
      <w:tcPr>
        <w:shd w:val="clear" w:color="auto" w:fill="dfd8e8" w:themeFill="accent4" w:themeFillTint="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00"/>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00"/>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List Accent 5"/>
    <w:basedOn w:val="711"/>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00"/>
      <w:tcBorders/>
    </w:tcPr>
    <w:tblStylePr w:type="band1Horz">
      <w:pPr>
        <w:pBdr/>
        <w:spacing/>
        <w:ind/>
      </w:pPr>
      <w:tblPr>
        <w:tblBorders/>
      </w:tblPr>
      <w:tcPr>
        <w:shd w:val="clear" w:color="auto" w:fill="daeef3" w:themeFill="accent5" w:themeFillTint="00"/>
        <w:tcBorders/>
      </w:tcPr>
    </w:tblStylePr>
    <w:tblStylePr w:type="band1Vert">
      <w:pPr>
        <w:pBdr/>
        <w:spacing/>
        <w:ind/>
      </w:pPr>
      <w:tblPr>
        <w:tblBorders/>
      </w:tblPr>
      <w:tcPr>
        <w:shd w:val="clear" w:color="auto" w:fill="d2eaf1" w:themeFill="accent5" w:themeFillTint="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00"/>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00"/>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List Accent 6"/>
    <w:basedOn w:val="711"/>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00"/>
      <w:tcBorders/>
    </w:tcPr>
    <w:tblStylePr w:type="band1Horz">
      <w:pPr>
        <w:pBdr/>
        <w:spacing/>
        <w:ind/>
      </w:pPr>
      <w:tblPr>
        <w:tblBorders/>
      </w:tblPr>
      <w:tcPr>
        <w:shd w:val="clear" w:color="auto" w:fill="fde9d9" w:themeFill="accent6" w:themeFillTint="00"/>
        <w:tcBorders/>
      </w:tcPr>
    </w:tblStylePr>
    <w:tblStylePr w:type="band1Vert">
      <w:pPr>
        <w:pBdr/>
        <w:spacing/>
        <w:ind/>
      </w:pPr>
      <w:tblPr>
        <w:tblBorders/>
      </w:tblPr>
      <w:tcPr>
        <w:shd w:val="clear" w:color="auto" w:fill="fde4d0" w:themeFill="accent6" w:themeFillTint="00"/>
        <w:tcBorders>
          <w:top w:val="none" w:color="000000" w:sz="0" w:space="0"/>
          <w:left w:val="none" w:color="000000" w:sz="0" w:space="0"/>
          <w:bottom w:val="none" w:color="000000" w:sz="0" w:space="0"/>
          <w:right w:val="none" w:color="000000" w:sz="0"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00"/>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00"/>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w:basedOn w:val="711"/>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00"/>
      <w:tcBorders/>
    </w:tcPr>
    <w:tblStylePr w:type="band1Horz">
      <w:pPr>
        <w:pBdr/>
        <w:spacing/>
        <w:ind/>
      </w:pPr>
      <w:tblPr>
        <w:tblBorders/>
      </w:tblPr>
      <w:tcPr>
        <w:shd w:val="clear" w:color="auto" w:fill="808080" w:themeFill="text1" w:themeFillTint="00"/>
        <w:tcBorders/>
      </w:tcPr>
    </w:tblStylePr>
    <w:tblStylePr w:type="band1Vert">
      <w:pPr>
        <w:pBdr/>
        <w:spacing/>
        <w:ind/>
      </w:pPr>
      <w:tblPr>
        <w:tblBorders/>
      </w:tblPr>
      <w:tcPr>
        <w:shd w:val="clear" w:color="auto" w:fill="808080"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00"/>
        <w:tcBorders/>
      </w:tcPr>
    </w:tblStylePr>
    <w:tblStylePr w:type="firstRow">
      <w:rPr>
        <w:b/>
        <w:bCs/>
      </w:rPr>
      <w:pPr>
        <w:pBdr/>
        <w:spacing/>
        <w:ind/>
      </w:pPr>
      <w:tblPr>
        <w:tblBorders/>
      </w:tblPr>
      <w:tcPr>
        <w:shd w:val="clear" w:color="auto" w:fill="999999" w:themeFill="text1" w:themeFillTint="00"/>
        <w:tcBorders/>
      </w:tcPr>
    </w:tblStylePr>
    <w:tblStylePr w:type="lastCol">
      <w:rPr>
        <w:color w:val="ffffff" w:themeColor="background1"/>
      </w:rPr>
      <w:pPr>
        <w:pBdr/>
        <w:spacing/>
        <w:ind/>
      </w:pPr>
      <w:tblPr>
        <w:tblBorders/>
      </w:tblPr>
      <w:tcPr>
        <w:shd w:val="clear" w:color="auto" w:fill="000000" w:themeFill="text1" w:themeFillShade="00"/>
        <w:tcBorders/>
      </w:tcPr>
    </w:tblStylePr>
    <w:tblStylePr w:type="lastRow">
      <w:rPr>
        <w:b/>
        <w:bCs/>
        <w:color w:val="000000" w:themeColor="text1"/>
      </w:rPr>
      <w:pPr>
        <w:pBdr/>
        <w:spacing/>
        <w:ind/>
      </w:pPr>
      <w:tblPr>
        <w:tblBorders/>
      </w:tblPr>
      <w:tcPr>
        <w:shd w:val="clear" w:color="auto" w:fill="999999" w:themeFill="text1"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Grid Accent 1"/>
    <w:basedOn w:val="711"/>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00"/>
      <w:tcBorders/>
    </w:tcPr>
    <w:tblStylePr w:type="band1Horz">
      <w:pPr>
        <w:pBdr/>
        <w:spacing/>
        <w:ind/>
      </w:pPr>
      <w:tblPr>
        <w:tblBorders/>
      </w:tblPr>
      <w:tcPr>
        <w:shd w:val="clear" w:color="auto" w:fill="a7bfde" w:themeFill="accent1" w:themeFillTint="00"/>
        <w:tcBorders/>
      </w:tcPr>
    </w:tblStylePr>
    <w:tblStylePr w:type="band1Vert">
      <w:pPr>
        <w:pBdr/>
        <w:spacing/>
        <w:ind/>
      </w:pPr>
      <w:tblPr>
        <w:tblBorders/>
      </w:tblPr>
      <w:tcPr>
        <w:shd w:val="clear" w:color="auto" w:fill="a7bfde"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00"/>
        <w:tcBorders/>
      </w:tcPr>
    </w:tblStylePr>
    <w:tblStylePr w:type="firstRow">
      <w:rPr>
        <w:b/>
        <w:bCs/>
      </w:rPr>
      <w:pPr>
        <w:pBdr/>
        <w:spacing/>
        <w:ind/>
      </w:pPr>
      <w:tblPr>
        <w:tblBorders/>
      </w:tblPr>
      <w:tcPr>
        <w:shd w:val="clear" w:color="auto" w:fill="b8cce4" w:themeFill="accent1" w:themeFillTint="00"/>
        <w:tcBorders/>
      </w:tcPr>
    </w:tblStylePr>
    <w:tblStylePr w:type="lastCol">
      <w:rPr>
        <w:color w:val="ffffff" w:themeColor="background1"/>
      </w:rPr>
      <w:pPr>
        <w:pBdr/>
        <w:spacing/>
        <w:ind/>
      </w:pPr>
      <w:tblPr>
        <w:tblBorders/>
      </w:tblPr>
      <w:tcPr>
        <w:shd w:val="clear" w:color="auto" w:fill="365f91" w:themeFill="accent1" w:themeFillShade="00"/>
        <w:tcBorders/>
      </w:tcPr>
    </w:tblStylePr>
    <w:tblStylePr w:type="lastRow">
      <w:rPr>
        <w:b/>
        <w:bCs/>
        <w:color w:val="000000" w:themeColor="text1"/>
      </w:rPr>
      <w:pPr>
        <w:pBdr/>
        <w:spacing/>
        <w:ind/>
      </w:pPr>
      <w:tblPr>
        <w:tblBorders/>
      </w:tblPr>
      <w:tcPr>
        <w:shd w:val="clear" w:color="auto" w:fill="b8cce4" w:themeFill="accent1"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Grid Accent 2"/>
    <w:basedOn w:val="711"/>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00"/>
      <w:tcBorders/>
    </w:tcPr>
    <w:tblStylePr w:type="band1Horz">
      <w:pPr>
        <w:pBdr/>
        <w:spacing/>
        <w:ind/>
      </w:pPr>
      <w:tblPr>
        <w:tblBorders/>
      </w:tblPr>
      <w:tcPr>
        <w:shd w:val="clear" w:color="auto" w:fill="dfa7a6" w:themeFill="accent2" w:themeFillTint="00"/>
        <w:tcBorders/>
      </w:tcPr>
    </w:tblStylePr>
    <w:tblStylePr w:type="band1Vert">
      <w:pPr>
        <w:pBdr/>
        <w:spacing/>
        <w:ind/>
      </w:pPr>
      <w:tblPr>
        <w:tblBorders/>
      </w:tblPr>
      <w:tcPr>
        <w:shd w:val="clear" w:color="auto" w:fill="dfa7a6"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00"/>
        <w:tcBorders/>
      </w:tcPr>
    </w:tblStylePr>
    <w:tblStylePr w:type="firstRow">
      <w:rPr>
        <w:b/>
        <w:bCs/>
      </w:rPr>
      <w:pPr>
        <w:pBdr/>
        <w:spacing/>
        <w:ind/>
      </w:pPr>
      <w:tblPr>
        <w:tblBorders/>
      </w:tblPr>
      <w:tcPr>
        <w:shd w:val="clear" w:color="auto" w:fill="e5b8b7" w:themeFill="accent2" w:themeFillTint="00"/>
        <w:tcBorders/>
      </w:tcPr>
    </w:tblStylePr>
    <w:tblStylePr w:type="lastCol">
      <w:rPr>
        <w:color w:val="ffffff" w:themeColor="background1"/>
      </w:rPr>
      <w:pPr>
        <w:pBdr/>
        <w:spacing/>
        <w:ind/>
      </w:pPr>
      <w:tblPr>
        <w:tblBorders/>
      </w:tblPr>
      <w:tcPr>
        <w:shd w:val="clear" w:color="auto" w:fill="943634" w:themeFill="accent2" w:themeFillShade="00"/>
        <w:tcBorders/>
      </w:tcPr>
    </w:tblStylePr>
    <w:tblStylePr w:type="lastRow">
      <w:rPr>
        <w:b/>
        <w:bCs/>
        <w:color w:val="000000" w:themeColor="text1"/>
      </w:rPr>
      <w:pPr>
        <w:pBdr/>
        <w:spacing/>
        <w:ind/>
      </w:pPr>
      <w:tblPr>
        <w:tblBorders/>
      </w:tblPr>
      <w:tcPr>
        <w:shd w:val="clear" w:color="auto" w:fill="e5b8b7" w:themeFill="accent2"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Grid Accent 3"/>
    <w:basedOn w:val="711"/>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00"/>
      <w:tcBorders/>
    </w:tcPr>
    <w:tblStylePr w:type="band1Horz">
      <w:pPr>
        <w:pBdr/>
        <w:spacing/>
        <w:ind/>
      </w:pPr>
      <w:tblPr>
        <w:tblBorders/>
      </w:tblPr>
      <w:tcPr>
        <w:shd w:val="clear" w:color="auto" w:fill="cdddac" w:themeFill="accent3" w:themeFillTint="00"/>
        <w:tcBorders/>
      </w:tcPr>
    </w:tblStylePr>
    <w:tblStylePr w:type="band1Vert">
      <w:pPr>
        <w:pBdr/>
        <w:spacing/>
        <w:ind/>
      </w:pPr>
      <w:tblPr>
        <w:tblBorders/>
      </w:tblPr>
      <w:tcPr>
        <w:shd w:val="clear" w:color="auto" w:fill="cdddac"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00"/>
        <w:tcBorders/>
      </w:tcPr>
    </w:tblStylePr>
    <w:tblStylePr w:type="firstRow">
      <w:rPr>
        <w:b/>
        <w:bCs/>
      </w:rPr>
      <w:pPr>
        <w:pBdr/>
        <w:spacing/>
        <w:ind/>
      </w:pPr>
      <w:tblPr>
        <w:tblBorders/>
      </w:tblPr>
      <w:tcPr>
        <w:shd w:val="clear" w:color="auto" w:fill="d6e3bc" w:themeFill="accent3" w:themeFillTint="00"/>
        <w:tcBorders/>
      </w:tcPr>
    </w:tblStylePr>
    <w:tblStylePr w:type="lastCol">
      <w:rPr>
        <w:color w:val="ffffff" w:themeColor="background1"/>
      </w:rPr>
      <w:pPr>
        <w:pBdr/>
        <w:spacing/>
        <w:ind/>
      </w:pPr>
      <w:tblPr>
        <w:tblBorders/>
      </w:tblPr>
      <w:tcPr>
        <w:shd w:val="clear" w:color="auto" w:fill="76923c" w:themeFill="accent3" w:themeFillShade="00"/>
        <w:tcBorders/>
      </w:tcPr>
    </w:tblStylePr>
    <w:tblStylePr w:type="lastRow">
      <w:rPr>
        <w:b/>
        <w:bCs/>
        <w:color w:val="000000" w:themeColor="text1"/>
      </w:rPr>
      <w:pPr>
        <w:pBdr/>
        <w:spacing/>
        <w:ind/>
      </w:pPr>
      <w:tblPr>
        <w:tblBorders/>
      </w:tblPr>
      <w:tcPr>
        <w:shd w:val="clear" w:color="auto" w:fill="d6e3bc" w:themeFill="accent3"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Grid Accent 4"/>
    <w:basedOn w:val="711"/>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00"/>
      <w:tcBorders/>
    </w:tcPr>
    <w:tblStylePr w:type="band1Horz">
      <w:pPr>
        <w:pBdr/>
        <w:spacing/>
        <w:ind/>
      </w:pPr>
      <w:tblPr>
        <w:tblBorders/>
      </w:tblPr>
      <w:tcPr>
        <w:shd w:val="clear" w:color="auto" w:fill="bfb1d0" w:themeFill="accent4" w:themeFillTint="00"/>
        <w:tcBorders/>
      </w:tcPr>
    </w:tblStylePr>
    <w:tblStylePr w:type="band1Vert">
      <w:pPr>
        <w:pBdr/>
        <w:spacing/>
        <w:ind/>
      </w:pPr>
      <w:tblPr>
        <w:tblBorders/>
      </w:tblPr>
      <w:tcPr>
        <w:shd w:val="clear" w:color="auto" w:fill="bfb1d0"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00"/>
        <w:tcBorders/>
      </w:tcPr>
    </w:tblStylePr>
    <w:tblStylePr w:type="firstRow">
      <w:rPr>
        <w:b/>
        <w:bCs/>
      </w:rPr>
      <w:pPr>
        <w:pBdr/>
        <w:spacing/>
        <w:ind/>
      </w:pPr>
      <w:tblPr>
        <w:tblBorders/>
      </w:tblPr>
      <w:tcPr>
        <w:shd w:val="clear" w:color="auto" w:fill="ccc0d9" w:themeFill="accent4" w:themeFillTint="00"/>
        <w:tcBorders/>
      </w:tcPr>
    </w:tblStylePr>
    <w:tblStylePr w:type="lastCol">
      <w:rPr>
        <w:color w:val="ffffff" w:themeColor="background1"/>
      </w:rPr>
      <w:pPr>
        <w:pBdr/>
        <w:spacing/>
        <w:ind/>
      </w:pPr>
      <w:tblPr>
        <w:tblBorders/>
      </w:tblPr>
      <w:tcPr>
        <w:shd w:val="clear" w:color="auto" w:fill="5f497a" w:themeFill="accent4" w:themeFillShade="00"/>
        <w:tcBorders/>
      </w:tcPr>
    </w:tblStylePr>
    <w:tblStylePr w:type="lastRow">
      <w:rPr>
        <w:b/>
        <w:bCs/>
        <w:color w:val="000000" w:themeColor="text1"/>
      </w:rPr>
      <w:pPr>
        <w:pBdr/>
        <w:spacing/>
        <w:ind/>
      </w:pPr>
      <w:tblPr>
        <w:tblBorders/>
      </w:tblPr>
      <w:tcPr>
        <w:shd w:val="clear" w:color="auto" w:fill="ccc0d9" w:themeFill="accent4"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Grid Accent 5"/>
    <w:basedOn w:val="711"/>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00"/>
      <w:tcBorders/>
    </w:tcPr>
    <w:tblStylePr w:type="band1Horz">
      <w:pPr>
        <w:pBdr/>
        <w:spacing/>
        <w:ind/>
      </w:pPr>
      <w:tblPr>
        <w:tblBorders/>
      </w:tblPr>
      <w:tcPr>
        <w:shd w:val="clear" w:color="auto" w:fill="a5d5e2" w:themeFill="accent5" w:themeFillTint="00"/>
        <w:tcBorders/>
      </w:tcPr>
    </w:tblStylePr>
    <w:tblStylePr w:type="band1Vert">
      <w:pPr>
        <w:pBdr/>
        <w:spacing/>
        <w:ind/>
      </w:pPr>
      <w:tblPr>
        <w:tblBorders/>
      </w:tblPr>
      <w:tcPr>
        <w:shd w:val="clear" w:color="auto" w:fill="a5d5e2"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00"/>
        <w:tcBorders/>
      </w:tcPr>
    </w:tblStylePr>
    <w:tblStylePr w:type="firstRow">
      <w:rPr>
        <w:b/>
        <w:bCs/>
      </w:rPr>
      <w:pPr>
        <w:pBdr/>
        <w:spacing/>
        <w:ind/>
      </w:pPr>
      <w:tblPr>
        <w:tblBorders/>
      </w:tblPr>
      <w:tcPr>
        <w:shd w:val="clear" w:color="auto" w:fill="b6dde8" w:themeFill="accent5" w:themeFillTint="00"/>
        <w:tcBorders/>
      </w:tcPr>
    </w:tblStylePr>
    <w:tblStylePr w:type="lastCol">
      <w:rPr>
        <w:color w:val="ffffff" w:themeColor="background1"/>
      </w:rPr>
      <w:pPr>
        <w:pBdr/>
        <w:spacing/>
        <w:ind/>
      </w:pPr>
      <w:tblPr>
        <w:tblBorders/>
      </w:tblPr>
      <w:tcPr>
        <w:shd w:val="clear" w:color="auto" w:fill="31849b" w:themeFill="accent5" w:themeFillShade="00"/>
        <w:tcBorders/>
      </w:tcPr>
    </w:tblStylePr>
    <w:tblStylePr w:type="lastRow">
      <w:rPr>
        <w:b/>
        <w:bCs/>
        <w:color w:val="000000" w:themeColor="text1"/>
      </w:rPr>
      <w:pPr>
        <w:pBdr/>
        <w:spacing/>
        <w:ind/>
      </w:pPr>
      <w:tblPr>
        <w:tblBorders/>
      </w:tblPr>
      <w:tcPr>
        <w:shd w:val="clear" w:color="auto" w:fill="b6dde8" w:themeFill="accent5"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Grid Accent 6"/>
    <w:basedOn w:val="711"/>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00"/>
      <w:tcBorders/>
    </w:tcPr>
    <w:tblStylePr w:type="band1Horz">
      <w:pPr>
        <w:pBdr/>
        <w:spacing/>
        <w:ind/>
      </w:pPr>
      <w:tblPr>
        <w:tblBorders/>
      </w:tblPr>
      <w:tcPr>
        <w:shd w:val="clear" w:color="auto" w:fill="fbcaa2" w:themeFill="accent6" w:themeFillTint="00"/>
        <w:tcBorders/>
      </w:tcPr>
    </w:tblStylePr>
    <w:tblStylePr w:type="band1Vert">
      <w:pPr>
        <w:pBdr/>
        <w:spacing/>
        <w:ind/>
      </w:pPr>
      <w:tblPr>
        <w:tblBorders/>
      </w:tblPr>
      <w:tcPr>
        <w:shd w:val="clear" w:color="auto" w:fill="fbcaa2"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00"/>
        <w:tcBorders/>
      </w:tcPr>
    </w:tblStylePr>
    <w:tblStylePr w:type="firstRow">
      <w:rPr>
        <w:b/>
        <w:bCs/>
      </w:rPr>
      <w:pPr>
        <w:pBdr/>
        <w:spacing/>
        <w:ind/>
      </w:pPr>
      <w:tblPr>
        <w:tblBorders/>
      </w:tblPr>
      <w:tcPr>
        <w:shd w:val="clear" w:color="auto" w:fill="fbd4b4" w:themeFill="accent6" w:themeFillTint="00"/>
        <w:tcBorders/>
      </w:tcPr>
    </w:tblStylePr>
    <w:tblStylePr w:type="lastCol">
      <w:rPr>
        <w:color w:val="ffffff" w:themeColor="background1"/>
      </w:rPr>
      <w:pPr>
        <w:pBdr/>
        <w:spacing/>
        <w:ind/>
      </w:pPr>
      <w:tblPr>
        <w:tblBorders/>
      </w:tblPr>
      <w:tcPr>
        <w:shd w:val="clear" w:color="auto" w:fill="e36c0a" w:themeFill="accent6" w:themeFillShade="00"/>
        <w:tcBorders/>
      </w:tcPr>
    </w:tblStylePr>
    <w:tblStylePr w:type="lastRow">
      <w:rPr>
        <w:b/>
        <w:bCs/>
        <w:color w:val="000000" w:themeColor="text1"/>
      </w:rPr>
      <w:pPr>
        <w:pBdr/>
        <w:spacing/>
        <w:ind/>
      </w:pPr>
      <w:tblPr>
        <w:tblBorders/>
      </w:tblPr>
      <w:tcPr>
        <w:shd w:val="clear" w:color="auto" w:fill="fbd4b4" w:themeFill="accent6"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8">
    <w:name w:val="Subtitle"/>
    <w:basedOn w:val="702"/>
    <w:next w:val="702"/>
    <w:pPr>
      <w:pBdr/>
      <w:spacing/>
      <w:ind/>
    </w:pPr>
    <w:rPr>
      <w:rFonts w:ascii="Calibri" w:hAnsi="Calibri" w:eastAsia="Calibri" w:cs="Calibri"/>
      <w:i/>
      <w:iCs/>
      <w:color w:val="4f81bd"/>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footer" Target="footer1.xml" /><Relationship Id="rId9" Type="http://schemas.openxmlformats.org/officeDocument/2006/relationships/footer" Target="footer2.xml" /><Relationship Id="rId10" Type="http://schemas.openxmlformats.org/officeDocument/2006/relationships/customXml" Target="../customXml/item1.xml" /><Relationship Id="rId11" Type="http://schemas.openxmlformats.org/officeDocument/2006/relationships/hyperlink" Target="https://doi.org/10.1080/17404622.2024.2407910" TargetMode="External"/><Relationship Id="rId12" Type="http://schemas.openxmlformats.org/officeDocument/2006/relationships/hyperlink" Target="https://doi.org/10.1080/17404622.2024.2407910" TargetMode="External"/><Relationship Id="rId13" Type="http://schemas.openxmlformats.org/officeDocument/2006/relationships/hyperlink" Target="https://doi.org/10.1002/jaba.1093" TargetMode="External"/><Relationship Id="rId14" Type="http://schemas.openxmlformats.org/officeDocument/2006/relationships/hyperlink" Target="https://doi.org/10.1002/jaba.1093" TargetMode="External"/><Relationship Id="rId15" Type="http://schemas.openxmlformats.org/officeDocument/2006/relationships/hyperlink" Target="https://doi.org/10.64152/10125/73578" TargetMode="External"/><Relationship Id="rId16" Type="http://schemas.openxmlformats.org/officeDocument/2006/relationships/hyperlink" Target="https://doi.org/10.64152/10125/73578" TargetMode="External"/><Relationship Id="rId17" Type="http://schemas.openxmlformats.org/officeDocument/2006/relationships/hyperlink" Target="https://doi.org/10.64152/10125/73698" TargetMode="External"/><Relationship Id="rId18" Type="http://schemas.openxmlformats.org/officeDocument/2006/relationships/hyperlink" Target="https://doi.org/10.64152/10125/73698" TargetMode="External"/><Relationship Id="rId19" Type="http://schemas.openxmlformats.org/officeDocument/2006/relationships/hyperlink" Target="https://doi.org/10.1080/10494820.2025.2521338" TargetMode="External"/><Relationship Id="rId20" Type="http://schemas.openxmlformats.org/officeDocument/2006/relationships/hyperlink" Target="https://doi.org/10.1080/10494820.2025.2521338" TargetMode="External"/><Relationship Id="rId21" Type="http://schemas.openxmlformats.org/officeDocument/2006/relationships/hyperlink" Target="https://doi.org/10.1007/s12193-021-00371-1" TargetMode="External"/><Relationship Id="rId22" Type="http://schemas.openxmlformats.org/officeDocument/2006/relationships/hyperlink" Target="https://doi.org/10.1007/s12193-021-00371-1" TargetMode="External"/><Relationship Id="rId23" Type="http://schemas.openxmlformats.org/officeDocument/2006/relationships/hyperlink" Target="https://doi.org/10.2197/ipsjjip.32.938" TargetMode="External"/><Relationship Id="rId24" Type="http://schemas.openxmlformats.org/officeDocument/2006/relationships/hyperlink" Target="https://doi.org/10.2197/ipsjjip.32.938" TargetMode="External"/><Relationship Id="rId25" Type="http://schemas.openxmlformats.org/officeDocument/2006/relationships/hyperlink" Target="https://doi.org/10.3389/fpsyg.2026.1886780" TargetMode="External"/><Relationship Id="rId26" Type="http://schemas.openxmlformats.org/officeDocument/2006/relationships/hyperlink" Target="https://doi.org/10.3389/fpsyg.2026.1886780" TargetMode="External"/><Relationship Id="rId27" Type="http://schemas.openxmlformats.org/officeDocument/2006/relationships/hyperlink" Target="https://doi.org/10.1044/2024_JSLHR-24-00070" TargetMode="External"/><Relationship Id="rId28" Type="http://schemas.openxmlformats.org/officeDocument/2006/relationships/hyperlink" Target="https://doi.org/10.1044/2024_JSLHR-24-00070" TargetMode="External"/><Relationship Id="rId29" Type="http://schemas.openxmlformats.org/officeDocument/2006/relationships/hyperlink" Target="https://doi.org/10.21437/Interspeech.2025-757" TargetMode="External"/><Relationship Id="rId30" Type="http://schemas.openxmlformats.org/officeDocument/2006/relationships/hyperlink" Target="https://doi.org/10.21437/Interspeech.2025-757" TargetMode="External"/><Relationship Id="rId31" Type="http://schemas.openxmlformats.org/officeDocument/2006/relationships/comments" Target="comments.xml" /><Relationship Id="rId32" Type="http://schemas.microsoft.com/office/2011/relationships/commentsExtended" Target="commentsExtended.xml" /><Relationship Id="rId33" Type="http://schemas.microsoft.com/office/2018/08/relationships/commentsExtensible" Target="commentsExtensible.xml" /><Relationship Id="rId34" Type="http://schemas.microsoft.com/office/2016/09/relationships/commentsIds" Target="commentsIds.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BwXrJAF96KksveD3MOSlujqrTA==">CgMxLjA4AHIhMVJpR1FNdWw4VUthNENRNThqX1N1VjhZMjVjTWFIN0hu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revision>1</cp:revision>
  <dcterms:created xsi:type="dcterms:W3CDTF">2013-12-23T23:15:00Z</dcterms:created>
  <dcterms:modified xsi:type="dcterms:W3CDTF">2026-10-19T17:09:34Z</dcterms:modified>
</cp:coreProperties>
</file>