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widowControl w:val="1"/>
        <w:spacing w:after="200" w:before="0" w:line="240" w:lineRule="auto"/>
        <w:ind w:left="0" w:right="3969"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Evaluación semisintética de</w:t>
        <w:br/>
        <w:t>pronósticos del desplazamiento del talud</w:t>
        <w:br/>
        <w:t>con MEF y LSTM</w:t>
      </w: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39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Roberto Enrique Quezada-Rodríguez¹*</w:t>
        <w:br w:type="textWrapping"/>
        <w:t xml:space="preserve">Melanie Celeste Tello Fuentes¹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¹Universidad Nacional de Trujillo, Ciudad Universitaria, Av. Juan Pablo II S/N, Urb. San Andrés, Trujillo, La Libertad, Perú</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Roberto ORCID: 0009-0004-0869-3881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Melanie ORCID: 0009-0007-4728-138X</w:t>
        </w:r>
      </w:hyperlink>
      <w:r w:rsidDel="00000000" w:rsidR="00000000" w:rsidRPr="00000000">
        <w:rPr>
          <w:rtl w:val="0"/>
        </w:rPr>
      </w:r>
    </w:p>
    <w:p w:rsidR="00000000" w:rsidDel="00000000" w:rsidP="00000000" w:rsidRDefault="00000000" w:rsidRPr="00000000" w14:paraId="00000005">
      <w:pPr>
        <w:keepNext w:val="1"/>
        <w:keepLines w:val="0"/>
        <w:widowControl w:val="1"/>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Resumen</w:t>
      </w:r>
      <w:r w:rsidDel="00000000" w:rsidR="00000000" w:rsidRPr="00000000">
        <w:rPr>
          <w:rtl w:val="0"/>
        </w:rPr>
      </w:r>
    </w:p>
    <w:p w:rsidR="00000000" w:rsidDel="00000000" w:rsidP="00000000" w:rsidRDefault="00000000" w:rsidRPr="00000000" w14:paraId="00000006">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Este estudio evalúa un prototipo semisintético para pronosticar el desplazamiento de taludes mediante un modelo bidimensional de elementos finitos (MEF), una red de memoria a corto y largo plazo (LSTM) y una corrección residual sujeta a monotonía. El talud experimental TA-01 utiliza una geometría y propiedades de materiales supuestas, la precipitación diaria de reanálisis de NASA POWER para un punto cercano a Cerro de Pasco, Perú, durante 2020–2025, y 500 escenarios simulados con 24 estados horarios cada uno. Se simularon las presiones de poros y los desplazamientos. Se compararon la persistencia, la regresión ridge, la LSTM y el modelo híbrido para horizontes de una y seis horas, con fechas de lluvia disjuntas y dos pruebas cronológicas. La incertidumbre se estimó mediante 5000 remuestreos agrupados por fecha de lluvia. En la prueba con fechas separadas, el error absoluto medio del modelo híbrido fue de 0.00000798 mm a una hora y de 0.00006176 mm a seis horas, frente a 0.00000858 mm y 0.00006332 mm para la LSTM. La LSTM obtuvo mejores resultados en 2024 y el modelo híbrido en 2025; los cuatro intervalos de confianza pareados del 95 % incluyeron cero. El modelo híbrido fue más sensible al ruido y a los datos faltantes. El flujo de trabajo permite evaluar de forma controlada la simulación física y el aprendizaje temporal, pero no demuestra una ventaja constante de la corrección residual ni valida alertas operativas para minas. Los errores muy pequeños describen la reproducción del generador numérico y deben evaluarse teniendo en cuenta la precisión de almacenamiento.</w:t>
      </w:r>
      <w:r w:rsidDel="00000000" w:rsidR="00000000" w:rsidRPr="00000000">
        <w:rPr>
          <w:rtl w:val="0"/>
        </w:rPr>
      </w:r>
    </w:p>
    <w:p w:rsidR="00000000" w:rsidDel="00000000" w:rsidP="00000000" w:rsidRDefault="00000000" w:rsidRPr="00000000" w14:paraId="00000007">
      <w:pPr>
        <w:keepNext w:val="0"/>
        <w:keepLines w:val="0"/>
        <w:widowControl w:val="1"/>
        <w:spacing w:after="0" w:before="20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Palabras clave: Estabilidad de taludes, Método de elementos finitos, LSTM, Aprendizaje guiado por la física, Datos semisintéticos</w:t>
      </w:r>
      <w:r w:rsidDel="00000000" w:rsidR="00000000" w:rsidRPr="00000000">
        <w:rPr>
          <w:rtl w:val="0"/>
        </w:rPr>
      </w:r>
    </w:p>
    <w:p w:rsidR="00000000" w:rsidDel="00000000" w:rsidP="00000000" w:rsidRDefault="00000000" w:rsidRPr="00000000" w14:paraId="00000008">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1. Introducción</w:t>
      </w:r>
      <w:r w:rsidDel="00000000" w:rsidR="00000000" w:rsidRPr="00000000">
        <w:rPr>
          <w:rtl w:val="0"/>
        </w:rPr>
      </w:r>
    </w:p>
    <w:p w:rsidR="00000000" w:rsidDel="00000000" w:rsidP="00000000" w:rsidRDefault="00000000" w:rsidRPr="00000000" w14:paraId="00000009">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estabilidad de taludes es fundamental para la continuidad y la seguridad de la minería a cielo abierto. La excavación modifica progresivamente la geometría del macizo rocoso, las condiciones de esfuerzo, la infiltración y la presión de poros. Por ello, una estimación aislada del factor de seguridad (FS) puede ser insuficiente cuando las condiciones geotécnicas y operativas varían con el tiempo. Wang et al. (2023) informaron que, en su estudio, el aprendizaje profundo facilitó la predicción de un coeficiente de estabilidad. Los pronósticos de tendencias de desplazamiento, presión de poros y estabilidad podrían respaldar las inspecciones, las evacuaciones y el rediseño de bancos si su desempeño y sus umbrales se validaran para el sitio.</w:t>
      </w:r>
      <w:r w:rsidDel="00000000" w:rsidR="00000000" w:rsidRPr="00000000">
        <w:rPr>
          <w:rtl w:val="0"/>
        </w:rPr>
      </w:r>
    </w:p>
    <w:p w:rsidR="00000000" w:rsidDel="00000000" w:rsidP="00000000" w:rsidRDefault="00000000" w:rsidRPr="00000000" w14:paraId="0000000A">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análisis convencionales de estabilidad, incluidos el equilibrio límite y los métodos de elementos finitos, representan explícitamente la geometría, la resistencia y las condiciones de contorno. Estos métodos ayudan a interpretar los mecanismos de falla y a evaluar escenarios con lluvia, excavación y variaciones en las propiedades de los materiales. Sus resultados siguen dependiendo de parámetros inciertos, mientras que las actualizaciones del modelo quizá no puedan seguir el ritmo del monitoreo de campo. Liu et al. (2022) compararon la evolución de un gemelo digital de talud con una falla observada asociada a lluvias extremas. Los métodos tradicionales de estabilidad de taludes, como el análisis de equilibrio límite y el método de elementos finitos, consideran la geometría del talud, la resistencia del material y las condiciones de contorno. Estos enfoques ayudan a explicar cómo pueden desarrollarse las fallas de taludes y permiten examinar distintas condiciones, como la lluvia, las actividades de excavación y los cambios en las propiedades de los materiales.</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0B">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Los sensores geotécnicos, las estaciones meteorológicas, los sistemas de Internet de las cosas y la fotogrametría han aumentado la disponibilidad de series temporales para este propósito. Sin embargo, los modelos puramente basados en datos pueden producir predicciones difíciles de interpretar o físicamente incoherentes, sobre todo en condiciones poco representadas. Pei et al. (2023) incorporaron conocimiento del dominio al aprendizaje automático e informaron ventajas predictivas en los conjuntos de datos que examinaron. Esto motiva investigar restricciones geotécnicas, pero no implica que cualquier corrección física mejore cualquier predictor.</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tl w:val="0"/>
        </w:rPr>
      </w:r>
    </w:p>
    <w:p w:rsidR="00000000" w:rsidDel="00000000" w:rsidP="00000000" w:rsidRDefault="00000000" w:rsidRPr="00000000" w14:paraId="0000000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gemelos digitales conectan una representación computacional de un talud con observaciones y mecanismos de actualización. Piciullo et al. (2025) integraron monitoreo hidrológico, meteorología, modelado numérico y aprendizaje automático para generar pronósticos sucesivos de estabilidad. Su aplicación operativa difiere de TA-01. Este estudio no evalúa con qué frecuencia podría actualizarse esta configuración ni si sería útil para emitir alertas en una mina.</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0E">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estudios más cercanos abordan distintas partes del problema. Liu et al. (2022) y Piciullo et al. (2025) actualizaron pronósticos con datos observados; Pei et al. (2023) incorporaron conocimiento del dominio al aprendizaje; y Zhang, Z., et al. (2024) impusieron ecuaciones y condiciones de contorno en un marco tridimensional. La tabla 1 delimita el alcance específico de TA-01 sin atribuirle prioridad absoluta: un banco de pruebas semisintético y trazable que compara una LSTM con una corrección residual monótona para distintas fechas de lluvia. La pregunta metodológica es qué aporta la corrección en un entorno controlado generado por el MEF, antes de concluir si es válida en condiciones reales de campo.</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0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TA-01 combina un MEF elástico bidimensional, una LSTM temporal y una corrección residual basada en relaciones monótonas. Los modelos se evalúan con fechas de lluvia separadas entre las particiones de datos y con años de prueba cronológicos. El experimento no valida la latencia de extremo a extremo, las alertas operativas, los cambios de excavación, un FS obtenido mediante reducción de resistencia ni una red neuronal informada por la física (PINN) continua que satisfaga las ecuaciones de campo rectoras.</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1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Este estudio presenta una evaluación de software que utiliza un generador de datos controlado. Los identificadores de escenarios y las fechas de lluvia permiten rastrear ventanas individuales, mantener los eventos en particiones de datos separadas y repetir las comparaciones. El hallazgo principal es que una restricción monótona plausible no garantiza un menor error cuando cambia el periodo de prueba y puede aumentar la sensibilidad a entradas degradadas. Los desplazamientos y las variables geotécnicas son simulados; la lluvia es la única entrada de origen externo.</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11">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1.1. Contexto en relación con estudios afines</w:t>
      </w:r>
      <w:r w:rsidDel="00000000" w:rsidR="00000000" w:rsidRPr="00000000">
        <w:rPr>
          <w:rFonts w:ascii="Times New Roman" w:cs="Times New Roman" w:eastAsia="Times New Roman" w:hAnsi="Times New Roman"/>
          <w:b w:val="1"/>
          <w:bCs w:val="1"/>
          <w:sz w:val="20"/>
          <w:szCs w:val="20"/>
          <w:rtl w:val="0"/>
        </w:rPr>
      </w:r>
    </w:p>
    <w:p w:rsidR="00000000" w:rsidDel="00000000" w:rsidP="00000000" w:rsidRDefault="00000000" w:rsidRPr="00000000" w14:paraId="00000012">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La tabla 1 resume los estudios más relacionados con este trabajo, publicados entre 2022 y 2025. Cada uno se seleccionó porque aborda al menos dos de los siguientes aspectos: actualización del talud, conocimiento físico, aprendizaje temporal, datos de monitoreo o verificación numérica. La tabla también distingue las restricciones de monotonía de una PINN basada en ecuaciones de campo. El apéndice A, tabla A1, presenta un mapa contextual más amplio de cuarenta trabajos; se trata de un inventario bibliográfico, no de una revisión sistemática ni de una validación independiente de TA-01.</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tl w:val="0"/>
        </w:rPr>
      </w:r>
    </w:p>
    <w:p w:rsidR="00000000" w:rsidDel="00000000" w:rsidP="00000000" w:rsidRDefault="00000000" w:rsidRPr="00000000" w14:paraId="00000013">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Tabla 1. Comparación de alcance con estudios directamente relacionados. Esta síntesis no es una revisión sistemática.</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tbl>
      <w:tblPr>
        <w:tblStyle w:val="Table1"/>
        <w:tblW w:w="9638.0" w:type="dxa"/>
        <w:jc w:val="center"/>
        <w:tblBorders>
          <w:top w:color="000000" w:space="0" w:sz="4" w:val="single"/>
          <w:bottom w:color="000000" w:space="0" w:sz="4" w:val="single"/>
          <w:insideH w:color="000000" w:space="0" w:sz="4" w:val="single"/>
        </w:tblBorders>
        <w:tblLayout w:type="fixed"/>
        <w:tblLook w:val="0400"/>
      </w:tblPr>
      <w:tblGrid>
        <w:gridCol w:w="1587"/>
        <w:gridCol w:w="2098"/>
        <w:gridCol w:w="2098"/>
        <w:gridCol w:w="1644"/>
        <w:gridCol w:w="2211"/>
        <w:tblGridChange w:id="0">
          <w:tblGrid>
            <w:gridCol w:w="1587"/>
            <w:gridCol w:w="2098"/>
            <w:gridCol w:w="2098"/>
            <w:gridCol w:w="1644"/>
            <w:gridCol w:w="2211"/>
          </w:tblGrid>
        </w:tblGridChange>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Estudio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Datos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Componente físico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Modelo temporal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Validación informada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Liu et al. (2022)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Monitoreo y desempeño observado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Modelo de estabilidad actualizado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Evolución temporal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Falla observada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Pei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Conjuntos de datos de estabilidad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Función de pérdida guiada por conocimiento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No es el enfoque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Comparaciones entre modelos físicos y basados en datos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Zhang, Z.,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Casos numéricos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Ecuaciones y condiciones de contorno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Excitación externa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Referencia numérica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Piciullo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Monitoreo de IoT y datos meteorológicos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Modelos numéricos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Pronósticos sucesivos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Uso operativo documentado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Este estudio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Lluvia externa y respuesta simulada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MEF 2D y monotonía agregada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LSTM a 1 h y 6 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Fechas disjuntas; 2024 y 2025</w:t>
            </w:r>
            <w:r w:rsidDel="00000000" w:rsidR="00000000" w:rsidRPr="00000000">
              <w:rPr>
                <w:rtl w:val="0"/>
              </w:rPr>
            </w:r>
          </w:p>
        </w:tc>
      </w:tr>
    </w:tbl>
    <w:p w:rsidR="00000000" w:rsidDel="00000000" w:rsidP="00000000" w:rsidRDefault="00000000" w:rsidRPr="00000000" w14:paraId="00000032">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1.2. Preguntas de investigación</w:t>
      </w:r>
      <w:r w:rsidDel="00000000" w:rsidR="00000000" w:rsidRPr="00000000">
        <w:rPr>
          <w:rtl w:val="0"/>
        </w:rPr>
      </w:r>
    </w:p>
    <w:p w:rsidR="00000000" w:rsidDel="00000000" w:rsidP="00000000" w:rsidRDefault="00000000" w:rsidRPr="00000000" w14:paraId="00000034">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En el experimento TA-01 se evalúan cuatro preguntas:</w:t>
      </w:r>
      <w:r w:rsidDel="00000000" w:rsidR="00000000" w:rsidRPr="00000000">
        <w:rPr>
          <w:rtl w:val="0"/>
        </w:rPr>
      </w:r>
    </w:p>
    <w:p w:rsidR="00000000" w:rsidDel="00000000" w:rsidP="00000000" w:rsidRDefault="00000000" w:rsidRPr="00000000" w14:paraId="00000035">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PI1. ¿Cómo cambia el error absoluto medio (MAE) de la persistencia, ridge, la LSTM y el modelo híbrido a 1 h y 6 h con fechas de lluvia disjuntas y particiones cronológicas?</w:t>
      </w:r>
      <w:r w:rsidDel="00000000" w:rsidR="00000000" w:rsidRPr="00000000">
        <w:rPr>
          <w:rtl w:val="0"/>
        </w:rPr>
      </w:r>
    </w:p>
    <w:p w:rsidR="00000000" w:rsidDel="00000000" w:rsidP="00000000" w:rsidRDefault="00000000" w:rsidRPr="00000000" w14:paraId="00000036">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PI2. ¿La corrección residual monótona mejora de forma consistente la predicción frente a la LSTM a lo largo de los años de prueba?</w:t>
      </w:r>
      <w:r w:rsidDel="00000000" w:rsidR="00000000" w:rsidRPr="00000000">
        <w:rPr>
          <w:rtl w:val="0"/>
        </w:rPr>
      </w:r>
    </w:p>
    <w:p w:rsidR="00000000" w:rsidDel="00000000" w:rsidP="00000000" w:rsidRDefault="00000000" w:rsidRPr="00000000" w14:paraId="00000037">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PI3. ¿Cuánto se degrada el desempeño del modelo híbrido con un 5 % de ruido en las entradas y un 30 % de datos de entrada del conjunto de prueba faltantes al azar?</w:t>
      </w:r>
      <w:r w:rsidDel="00000000" w:rsidR="00000000" w:rsidRPr="00000000">
        <w:rPr>
          <w:rtl w:val="0"/>
        </w:rPr>
      </w:r>
    </w:p>
    <w:p w:rsidR="00000000" w:rsidDel="00000000" w:rsidP="00000000" w:rsidRDefault="00000000" w:rsidRPr="00000000" w14:paraId="00000038">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PI4. ¿Qué grado de concordancia interna alcanzan la implementación del MEF y la aproximación espacial de la máquina de aprendizaje extremo informada por la física y funciones de base radial (PIELM/RBF) dentro del mismo operador discreto?</w:t>
      </w:r>
      <w:r w:rsidDel="00000000" w:rsidR="00000000" w:rsidRPr="00000000">
        <w:rPr>
          <w:rtl w:val="0"/>
        </w:rPr>
      </w:r>
    </w:p>
    <w:p w:rsidR="00000000" w:rsidDel="00000000" w:rsidP="00000000" w:rsidRDefault="00000000" w:rsidRPr="00000000" w14:paraId="00000039">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PI1 se aborda en las tablas 3 y 4; la PI2, mediante los intervalos pareados agrupados por fecha de lluvia de la figura 1; la PI3, en la tabla 6 y la figura 3; y la PI4, mediante las verificaciones del MEF y las pruebas espaciales de la tabla 5. Las conclusiones se limitan al alcance de estas evaluaciones.</w:t>
      </w:r>
      <w:r w:rsidDel="00000000" w:rsidR="00000000" w:rsidRPr="00000000">
        <w:rPr>
          <w:rtl w:val="0"/>
        </w:rPr>
      </w:r>
    </w:p>
    <w:p w:rsidR="00000000" w:rsidDel="00000000" w:rsidP="00000000" w:rsidRDefault="00000000" w:rsidRPr="00000000" w14:paraId="0000003A">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2. Métodos</w:t>
      </w:r>
      <w:r w:rsidDel="00000000" w:rsidR="00000000" w:rsidRPr="00000000">
        <w:rPr>
          <w:rtl w:val="0"/>
        </w:rPr>
      </w:r>
    </w:p>
    <w:p w:rsidR="00000000" w:rsidDel="00000000" w:rsidP="00000000" w:rsidRDefault="00000000" w:rsidRPr="00000000" w14:paraId="0000003B">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métodos conectan el generador mecánico con los pronósticos temporales y su evaluación. Las subsecciones siguientes describen la procedencia de los datos, el acoplamiento de los modelos, la partición y la reproducibilidad.</w:t>
      </w:r>
      <w:r w:rsidDel="00000000" w:rsidR="00000000" w:rsidRPr="00000000">
        <w:rPr>
          <w:rtl w:val="0"/>
        </w:rPr>
      </w:r>
    </w:p>
    <w:p w:rsidR="00000000" w:rsidDel="00000000" w:rsidP="00000000" w:rsidRDefault="00000000" w:rsidRPr="00000000" w14:paraId="0000003C">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2.1. Arquitectura del prototipo y trazabilidad</w:t>
      </w:r>
      <w:r w:rsidDel="00000000" w:rsidR="00000000" w:rsidRPr="00000000">
        <w:rPr>
          <w:rtl w:val="0"/>
        </w:rPr>
      </w:r>
    </w:p>
    <w:p w:rsidR="00000000" w:rsidDel="00000000" w:rsidP="00000000" w:rsidRDefault="00000000" w:rsidRPr="00000000" w14:paraId="0000003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commentRangeStart w:id="0"/>
      <w:r w:rsidDel="00000000" w:rsidR="00000000" w:rsidRPr="00000000">
        <w:rPr>
          <w:rFonts w:ascii="Times New Roman" w:cs="Times New Roman" w:eastAsia="Times New Roman" w:hAnsi="Times New Roman"/>
          <w:b w:val="0"/>
          <w:bCs w:val="0"/>
          <w:i w:val="0"/>
          <w:iCs w:val="0"/>
          <w:color w:val="000000"/>
          <w:sz w:val="20"/>
          <w:szCs w:val="20"/>
          <w:rtl w:val="0"/>
        </w:rPr>
        <w:t>El flujo de trabajo separa la generación de escenarios, la simulación mecánica, la construcción de ventanas, el entrenamiento y la validación. Cada predicción conserva su fecha de lluvia y su identificador de escenario, lo que permite crear particiones sin fechas ni escenarios compartidos y rastrear las métricas informadas hasta los archivos de validación.</w:t>
      </w:r>
      <w:r w:rsidDel="00000000" w:rsidR="00000000" w:rsidRPr="00000000">
        <w:rPr>
          <w:rtl w:val="0"/>
        </w:rPr>
      </w:r>
      <w:commentRangeEnd w:id="0"/>
      <w:r>
        <w:commentReference w:id="0"/>
      </w:r>
    </w:p>
    <w:p w:rsidR="00000000" w:rsidDel="00000000" w:rsidP="00000000" w:rsidRDefault="00000000" w:rsidRPr="00000000" w14:paraId="00000040">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2.2. Diseño del caso y procedencia de los datos</w:t>
      </w:r>
      <w:r w:rsidDel="00000000" w:rsidR="00000000" w:rsidRPr="00000000">
        <w:rPr>
          <w:rtl w:val="0"/>
        </w:rPr>
      </w:r>
    </w:p>
    <w:p w:rsidR="00000000" w:rsidDel="00000000" w:rsidP="00000000" w:rsidRDefault="00000000" w:rsidRPr="00000000" w14:paraId="0000004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TA-01 es un talud experimental definido en el proyecto, no una mina instrumentada. Su sección tiene 100 m de altura y 160 m de ancho, cinco bancos y tres zonas de materiales: suelo, material meteorizado y roca. Las propiedades mecánicas e hidráulicas se muestrearon dentro de rangos supuestos mediante muestreo hipercúbico latino (LHS). El conjunto de datos contiene 500 escenarios con 24 estados horarios cada uno, para un total de 12 000 registros, y utiliza la semilla 20260915. Todos los escenarios comparten la geometría y tienen asignada una fecha de lluvia.</w:t>
      </w:r>
      <w:r w:rsidDel="00000000" w:rsidR="00000000" w:rsidRPr="00000000">
        <w:rPr>
          <w:rtl w:val="0"/>
        </w:rPr>
      </w:r>
    </w:p>
    <w:p w:rsidR="00000000" w:rsidDel="00000000" w:rsidP="00000000" w:rsidRDefault="00000000" w:rsidRPr="00000000" w14:paraId="00000042">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precipitación diaria de reanálisis se obtuvo de NASA POWER/MERRA-2 para el punto 10.68° S, 76.26° O durante 2020–2025 (National Aeronautics and Space Administration [NASA], s. f.). La fuente proporciona únicamente totales diarios y no contiene observaciones horarias. Por ello, el generador distribuyó cada total diario en un perfil de lluvia rectangular supuesto, con una duración de 6, 12 o 24 h. Las presiones de poros, los desplazamientos y los índices de seguridad se simularon; no se midieron con sensores. Su condición simulada se conserva en el almacenamiento y en la interpretación de los datos.</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43">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2.3. Modelo mecánico y objetivo de predicción</w:t>
      </w: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El MEF desarrollado internamente se basa en elementos triangulares de deformación constante bajo condiciones de deformación plana y supone elasticidad lineal isotrópica. Incluye el peso propio y la carga de presión de poros formulada mediante un coeficiente de Biot. La base está fija y el desplazamiento horizontal está restringido en el límite izquierdo. El modelo resuelve un estado cuasiestático en cada hora. La infiltración y el drenaje se representan mediante una aproximación hidrológica; el MEF no resuelve el flujo espacial transitorio. El objetivo de predicción es el desplazamiento máximo inducido por la lluvia, en milímetros, respecto del estado seco inicial. Se almacena como rainfall_induced_max_displacement_mm. La red aprende el cambio entre las horas de origen y de destino y usa ese cambio para reconstruir el valor en la hora de destino. Este objetivo no debe interpretarse como el desplazamiento total de un talud real.</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tl w:val="0"/>
        </w:rPr>
      </w:r>
    </w:p>
    <w:p w:rsidR="00000000" w:rsidDel="00000000" w:rsidP="00000000" w:rsidRDefault="00000000" w:rsidRPr="00000000" w14:paraId="00000045">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visualizador también calcula un índice local a partir de los esfuerzos efectivos y el criterio de Mohr–Coulomb. Este no es un FS obtenido mediante reducción no lineal de la resistencia. Se incluye como referencia un ejercicio externo de reducción de resistencia, que no se utiliza para etiquetar los datos de entrenamiento ni valida el MEF desarrollado internamente.</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46">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2.4. Acoplamiento matemático</w:t>
      </w:r>
      <w:r w:rsidDel="00000000" w:rsidR="00000000" w:rsidRPr="00000000">
        <w:rPr>
          <w:rtl w:val="0"/>
        </w:rPr>
      </w:r>
    </w:p>
    <w:p w:rsidR="00000000" w:rsidDel="00000000" w:rsidP="00000000" w:rsidRDefault="00000000" w:rsidRPr="00000000" w14:paraId="00000047">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La ecuación 1 describe el estado mecánico cuasiestático en la hora t. En ella, θ agrupa las propiedades geométricas y de los materiales; uₜ denota el vector de desplazamiento; f_g representa la carga gravitacional; f_p incorpora la carga asociada a la presión de poros; K es la matriz global de rigidez; y pₜ denota la presión de poros.</w:t>
      </w:r>
      <w:r w:rsidDel="00000000" w:rsidR="00000000" w:rsidRPr="00000000">
        <w:rPr>
          <w:rtl w:val="0"/>
        </w:rPr>
      </w:r>
    </w:p>
    <w:p w:rsidR="00000000" w:rsidDel="00000000" w:rsidP="00000000" w:rsidRDefault="00000000" w:rsidRPr="00000000" w14:paraId="00000048">
      <w:pPr>
        <w:keepNext w:val="0"/>
        <w:keepLines w:val="0"/>
        <w:widowControl w:val="1"/>
        <w:tabs>
          <w:tab w:val="center" w:leader="none" w:pos="4592"/>
          <w:tab w:val="right" w:leader="none" w:pos="9638"/>
        </w:tabs>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tab/>
      </w:r>
      <m:oMath>
        <m:r>
          <w:rPr/>
          <m:t xml:space="preserve">K(θ)</m:t>
        </m:r>
        <m:sSub>
          <m:sSubPr>
            <m:ctrlPr>
              <w:rPr/>
            </m:ctrlPr>
          </m:sSubPr>
          <m:e>
            <m:r>
              <w:rPr/>
              <m:t xml:space="preserve">u</m:t>
            </m:r>
          </m:e>
          <m:sub>
            <m:r>
              <w:rPr/>
              <m:t xml:space="preserve">t</m:t>
            </m:r>
          </m:sub>
        </m:sSub>
        <m:r>
          <w:rPr/>
          <m:t xml:space="preserve"> = </m:t>
        </m:r>
        <m:sSub>
          <m:sSubPr>
            <m:ctrlPr>
              <w:rPr/>
            </m:ctrlPr>
          </m:sSubPr>
          <m:e>
            <m:r>
              <w:rPr/>
              <m:t xml:space="preserve">f</m:t>
            </m:r>
          </m:e>
          <m:sub>
            <m:r>
              <w:rPr/>
              <m:t xml:space="preserve">g</m:t>
            </m:r>
          </m:sub>
        </m:sSub>
        <m:r>
          <w:rPr/>
          <m:t xml:space="preserve">(θ) + </m:t>
        </m:r>
        <m:sSub>
          <m:sSubPr>
            <m:ctrlPr>
              <w:rPr/>
            </m:ctrlPr>
          </m:sSubPr>
          <m:e>
            <m:r>
              <w:rPr/>
              <m:t xml:space="preserve">f</m:t>
            </m:r>
          </m:e>
          <m:sub>
            <m:r>
              <w:rPr/>
              <m:t xml:space="preserve">p</m:t>
            </m:r>
          </m:sub>
        </m:sSub>
        <m:r>
          <w:rPr/>
          <m:t xml:space="preserve">(</m:t>
        </m:r>
        <m:sSub>
          <m:sSubPr>
            <m:ctrlPr>
              <w:rPr/>
            </m:ctrlPr>
          </m:sSubPr>
          <m:e>
            <m:r>
              <w:rPr/>
              <m:t xml:space="preserve">p</m:t>
            </m:r>
          </m:e>
          <m:sub>
            <m:r>
              <w:rPr/>
              <m:t xml:space="preserve">t</m:t>
            </m:r>
          </m:sub>
        </m:sSub>
        <m:r>
          <w:rPr/>
          <m:t xml:space="preserve">, θ)</m:t>
        </m:r>
      </m:oMath>
      <w:r w:rsidDel="00000000" w:rsidR="00000000" w:rsidRPr="00000000">
        <w:rPr>
          <w:rFonts w:ascii="Times New Roman" w:cs="Times New Roman" w:eastAsia="Times New Roman" w:hAnsi="Times New Roman"/>
          <w:sz w:val="20"/>
          <w:szCs w:val="20"/>
          <w:rtl w:val="0"/>
        </w:rPr>
        <w:tab/>
        <w:t xml:space="preserve">(1)</w:t>
      </w:r>
    </w:p>
    <w:p w:rsidR="00000000" w:rsidDel="00000000" w:rsidP="00000000" w:rsidRDefault="00000000" w:rsidRPr="00000000" w14:paraId="00000049">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LSTM recibe seis estados horarios y la precipitación futura conocida en el experimento. El modelo híbrido añade una corrección residual a la salida estandarizada de la LSTM. En las ecuaciones 2 y 3, yₜ es el desplazamiento acumulado actual del objetivo; h, el horizonte de pronóstico; qψ, el cambio estandarizado del objetivo predicho por la LSTM; y cφ, la corrección estandarizada. La media μΔ y la desviación estándar σΔ del cambio del objetivo se estiman únicamente con los datos de entrenamiento. X y Z reúnen las entradas temporales y de corrección, incluida la precipitación futura. El operador máximo impide que el pronóstico final sea inferior a yₜ. En la ecuación 4, r es la precipitación futura acumulada y s, el índice de seguridad simulado; las derivadas se aplican únicamente a cφ, manteniendo constantes las demás entradas.</w:t>
      </w:r>
      <w:r w:rsidDel="00000000" w:rsidR="00000000" w:rsidRPr="00000000">
        <w:rPr>
          <w:rtl w:val="0"/>
        </w:rPr>
      </w:r>
    </w:p>
    <w:p w:rsidR="00000000" w:rsidDel="00000000" w:rsidP="00000000" w:rsidRDefault="00000000" w:rsidRPr="00000000" w14:paraId="0000004A">
      <w:pPr>
        <w:keepNext w:val="0"/>
        <w:keepLines w:val="0"/>
        <w:widowControl w:val="1"/>
        <w:tabs>
          <w:tab w:val="center" w:leader="none" w:pos="4592"/>
          <w:tab w:val="right" w:leader="none" w:pos="9638"/>
        </w:tabs>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tab/>
      </w:r>
      <m:oMath>
        <m:sSub>
          <m:sSubPr>
            <m:ctrlPr>
              <w:rPr/>
            </m:ctrlPr>
          </m:sSubPr>
          <m:e>
            <m:acc>
              <m:accPr>
                <m:chr m:val="̂"/>
                <m:ctrlPr>
                  <w:rPr/>
                </m:ctrlPr>
              </m:accPr>
              <m:e>
                <m:r>
                  <w:rPr/>
                  <m:t xml:space="preserve">y</m:t>
                </m:r>
              </m:e>
            </m:acc>
          </m:e>
          <m:sub>
            <m:r>
              <w:rPr/>
              <m:t xml:space="preserve">LSTM</m:t>
            </m:r>
          </m:sub>
        </m:sSub>
        <m:r>
          <w:rPr/>
          <m:t xml:space="preserve">(t+h) = max{</m:t>
        </m:r>
        <m:sSub>
          <m:sSubPr>
            <m:ctrlPr>
              <w:rPr/>
            </m:ctrlPr>
          </m:sSubPr>
          <m:e>
            <m:r>
              <w:rPr/>
              <m:t xml:space="preserve">y</m:t>
            </m:r>
          </m:e>
          <m:sub>
            <m:r>
              <w:rPr/>
              <m:t xml:space="preserve">t</m:t>
            </m:r>
          </m:sub>
        </m:sSub>
        <m:r>
          <w:rPr/>
          <m:t xml:space="preserve">, </m:t>
        </m:r>
        <m:sSub>
          <m:sSubPr>
            <m:ctrlPr>
              <w:rPr/>
            </m:ctrlPr>
          </m:sSubPr>
          <m:e>
            <m:r>
              <w:rPr/>
              <m:t xml:space="preserve">y</m:t>
            </m:r>
          </m:e>
          <m:sub>
            <m:r>
              <w:rPr/>
              <m:t xml:space="preserve">t</m:t>
            </m:r>
          </m:sub>
        </m:sSub>
        <m:r>
          <w:rPr/>
          <m:t xml:space="preserve"> + </m:t>
        </m:r>
        <m:sSub>
          <m:sSubPr>
            <m:ctrlPr>
              <w:rPr/>
            </m:ctrlPr>
          </m:sSubPr>
          <m:e>
            <m:r>
              <w:rPr/>
              <m:t>μ</m:t>
            </m:r>
          </m:e>
          <m:sub>
            <m:r>
              <w:rPr/>
              <m:t>Δ</m:t>
            </m:r>
          </m:sub>
        </m:sSub>
        <m:r>
          <w:rPr/>
          <m:t xml:space="preserve"> + </m:t>
        </m:r>
        <m:sSub>
          <m:sSubPr>
            <m:ctrlPr>
              <w:rPr/>
            </m:ctrlPr>
          </m:sSubPr>
          <m:e>
            <m:r>
              <w:rPr/>
              <m:t>σ</m:t>
            </m:r>
          </m:e>
          <m:sub>
            <m:r>
              <w:rPr/>
              <m:t>Δ</m:t>
            </m:r>
          </m:sub>
        </m:sSub>
        <m:sSub>
          <m:sSubPr>
            <m:ctrlPr>
              <w:rPr/>
            </m:ctrlPr>
          </m:sSubPr>
          <m:e>
            <m:r>
              <w:rPr/>
              <m:t xml:space="preserve">q</m:t>
            </m:r>
          </m:e>
          <m:sub>
            <m:r>
              <w:rPr/>
              <m:t>ψ</m:t>
            </m:r>
          </m:sub>
        </m:sSub>
        <m:r>
          <w:rPr/>
          <m:t xml:space="preserve">(</m:t>
        </m:r>
        <m:sSub>
          <m:sSubPr>
            <m:ctrlPr>
              <w:rPr/>
            </m:ctrlPr>
          </m:sSubPr>
          <m:e>
            <m:r>
              <w:rPr/>
              <m:t xml:space="preserve">X</m:t>
            </m:r>
          </m:e>
          <m:sub>
            <m:r>
              <w:rPr/>
              <m:t xml:space="preserve">t,h</m:t>
            </m:r>
          </m:sub>
        </m:sSub>
        <m:r>
          <w:rPr/>
          <m:t xml:space="preserve">)}</m:t>
        </m:r>
      </m:oMath>
      <w:r w:rsidDel="00000000" w:rsidR="00000000" w:rsidRPr="00000000">
        <w:rPr>
          <w:rFonts w:ascii="Times New Roman" w:cs="Times New Roman" w:eastAsia="Times New Roman" w:hAnsi="Times New Roman"/>
          <w:sz w:val="20"/>
          <w:szCs w:val="20"/>
          <w:rtl w:val="0"/>
        </w:rPr>
        <w:tab/>
        <w:t xml:space="preserve">(2)</w:t>
      </w:r>
    </w:p>
    <w:p w:rsidR="00000000" w:rsidDel="00000000" w:rsidP="00000000" w:rsidRDefault="00000000" w:rsidRPr="00000000" w14:paraId="0000004B">
      <w:pPr>
        <w:keepNext w:val="0"/>
        <w:keepLines w:val="0"/>
        <w:widowControl w:val="1"/>
        <w:tabs>
          <w:tab w:val="center" w:leader="none" w:pos="4592"/>
          <w:tab w:val="right" w:leader="none" w:pos="9638"/>
        </w:tabs>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tab/>
      </w:r>
      <m:oMath>
        <m:sSub>
          <m:sSubPr>
            <m:ctrlPr>
              <w:rPr/>
            </m:ctrlPr>
          </m:sSubPr>
          <m:e>
            <m:acc>
              <m:accPr>
                <m:chr m:val="̂"/>
                <m:ctrlPr>
                  <w:rPr/>
                </m:ctrlPr>
              </m:accPr>
              <m:e>
                <m:r>
                  <w:rPr/>
                  <m:t xml:space="preserve">y</m:t>
                </m:r>
              </m:e>
            </m:acc>
          </m:e>
          <m:sub>
            <m:r>
              <w:rPr/>
              <m:t xml:space="preserve">H</m:t>
            </m:r>
          </m:sub>
        </m:sSub>
        <m:r>
          <w:rPr/>
          <m:t xml:space="preserve">(t+h) = max{</m:t>
        </m:r>
        <m:sSub>
          <m:sSubPr>
            <m:ctrlPr>
              <w:rPr/>
            </m:ctrlPr>
          </m:sSubPr>
          <m:e>
            <m:r>
              <w:rPr/>
              <m:t xml:space="preserve">y</m:t>
            </m:r>
          </m:e>
          <m:sub>
            <m:r>
              <w:rPr/>
              <m:t xml:space="preserve">t</m:t>
            </m:r>
          </m:sub>
        </m:sSub>
        <m:r>
          <w:rPr/>
          <m:t xml:space="preserve">, </m:t>
        </m:r>
        <m:sSub>
          <m:sSubPr>
            <m:ctrlPr>
              <w:rPr/>
            </m:ctrlPr>
          </m:sSubPr>
          <m:e>
            <m:r>
              <w:rPr/>
              <m:t xml:space="preserve">y</m:t>
            </m:r>
          </m:e>
          <m:sub>
            <m:r>
              <w:rPr/>
              <m:t xml:space="preserve">t</m:t>
            </m:r>
          </m:sub>
        </m:sSub>
        <m:r>
          <w:rPr/>
          <m:t xml:space="preserve"> + </m:t>
        </m:r>
        <m:sSub>
          <m:sSubPr>
            <m:ctrlPr>
              <w:rPr/>
            </m:ctrlPr>
          </m:sSubPr>
          <m:e>
            <m:r>
              <w:rPr/>
              <m:t>μ</m:t>
            </m:r>
          </m:e>
          <m:sub>
            <m:r>
              <w:rPr/>
              <m:t>Δ</m:t>
            </m:r>
          </m:sub>
        </m:sSub>
        <m:r>
          <w:rPr/>
          <m:t xml:space="preserve"> + </m:t>
        </m:r>
        <m:sSub>
          <m:sSubPr>
            <m:ctrlPr>
              <w:rPr/>
            </m:ctrlPr>
          </m:sSubPr>
          <m:e>
            <m:r>
              <w:rPr/>
              <m:t>σ</m:t>
            </m:r>
          </m:e>
          <m:sub>
            <m:r>
              <w:rPr/>
              <m:t>Δ</m:t>
            </m:r>
          </m:sub>
        </m:sSub>
        <m:r>
          <w:rPr/>
          <m:t xml:space="preserve">[</m:t>
        </m:r>
        <m:sSub>
          <m:sSubPr>
            <m:ctrlPr>
              <w:rPr/>
            </m:ctrlPr>
          </m:sSubPr>
          <m:e>
            <m:r>
              <w:rPr/>
              <m:t xml:space="preserve">q</m:t>
            </m:r>
          </m:e>
          <m:sub>
            <m:r>
              <w:rPr/>
              <m:t>ψ</m:t>
            </m:r>
          </m:sub>
        </m:sSub>
        <m:r>
          <w:rPr/>
          <m:t xml:space="preserve">(</m:t>
        </m:r>
        <m:sSub>
          <m:sSubPr>
            <m:ctrlPr>
              <w:rPr/>
            </m:ctrlPr>
          </m:sSubPr>
          <m:e>
            <m:r>
              <w:rPr/>
              <m:t xml:space="preserve">X</m:t>
            </m:r>
          </m:e>
          <m:sub>
            <m:r>
              <w:rPr/>
              <m:t xml:space="preserve">t,h</m:t>
            </m:r>
          </m:sub>
        </m:sSub>
        <m:r>
          <w:rPr/>
          <m:t xml:space="preserve">) + </m:t>
        </m:r>
        <m:sSub>
          <m:sSubPr>
            <m:ctrlPr>
              <w:rPr/>
            </m:ctrlPr>
          </m:sSubPr>
          <m:e>
            <m:r>
              <w:rPr/>
              <m:t xml:space="preserve">c</m:t>
            </m:r>
          </m:e>
          <m:sub>
            <m:r>
              <w:rPr/>
              <m:t>φ</m:t>
            </m:r>
          </m:sub>
        </m:sSub>
        <m:r>
          <w:rPr/>
          <m:t xml:space="preserve">(</m:t>
        </m:r>
        <m:sSub>
          <m:sSubPr>
            <m:ctrlPr>
              <w:rPr/>
            </m:ctrlPr>
          </m:sSubPr>
          <m:e>
            <m:r>
              <w:rPr/>
              <m:t xml:space="preserve">Z</m:t>
            </m:r>
          </m:e>
          <m:sub>
            <m:r>
              <w:rPr/>
              <m:t xml:space="preserve">t,h</m:t>
            </m:r>
          </m:sub>
        </m:sSub>
        <m:r>
          <w:rPr/>
          <m:t xml:space="preserve">)]}</m:t>
        </m:r>
      </m:oMath>
      <w:r w:rsidDel="00000000" w:rsidR="00000000" w:rsidRPr="00000000">
        <w:rPr>
          <w:rFonts w:ascii="Times New Roman" w:cs="Times New Roman" w:eastAsia="Times New Roman" w:hAnsi="Times New Roman"/>
          <w:sz w:val="20"/>
          <w:szCs w:val="20"/>
          <w:rtl w:val="0"/>
        </w:rPr>
        <w:tab/>
        <w:t xml:space="preserve">(3)</w:t>
      </w:r>
    </w:p>
    <w:p w:rsidR="00000000" w:rsidDel="00000000" w:rsidP="00000000" w:rsidRDefault="00000000" w:rsidRPr="00000000" w14:paraId="0000004C">
      <w:pPr>
        <w:keepNext w:val="0"/>
        <w:keepLines w:val="0"/>
        <w:widowControl w:val="1"/>
        <w:tabs>
          <w:tab w:val="center" w:leader="none" w:pos="4592"/>
          <w:tab w:val="right" w:leader="none" w:pos="9638"/>
        </w:tabs>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tab/>
      </w:r>
      <m:oMath>
        <m:f>
          <m:fPr>
            <m:ctrlPr>
              <w:rPr/>
            </m:ctrlPr>
          </m:fPr>
          <m:num>
            <m:r>
              <m:t>∂</m:t>
            </m:r>
            <m:sSub>
              <m:sSubPr>
                <m:ctrlPr>
                  <w:rPr/>
                </m:ctrlPr>
              </m:sSubPr>
              <m:e>
                <m:r>
                  <w:rPr/>
                  <m:t xml:space="preserve">c</m:t>
                </m:r>
              </m:e>
              <m:sub>
                <m:r>
                  <w:rPr/>
                  <m:t>φ</m:t>
                </m:r>
              </m:sub>
            </m:sSub>
          </m:num>
          <m:den>
            <m:r>
              <w:rPr/>
              <m:t xml:space="preserve">∂r</m:t>
            </m:r>
          </m:den>
        </m:f>
        <m:r>
          <w:rPr/>
          <m:t xml:space="preserve"> ≥ 0,    </m:t>
        </m:r>
        <m:f>
          <m:fPr>
            <m:ctrlPr>
              <w:rPr/>
            </m:ctrlPr>
          </m:fPr>
          <m:num>
            <m:r>
              <w:rPr/>
              <m:t>∂</m:t>
            </m:r>
            <m:sSub>
              <m:sSubPr>
                <m:ctrlPr>
                  <w:rPr/>
                </m:ctrlPr>
              </m:sSubPr>
              <m:e>
                <m:r>
                  <w:rPr/>
                  <m:t xml:space="preserve">c</m:t>
                </m:r>
              </m:e>
              <m:sub>
                <m:r>
                  <w:rPr/>
                  <m:t>φ</m:t>
                </m:r>
              </m:sub>
            </m:sSub>
          </m:num>
          <m:den>
            <m:r>
              <w:rPr/>
              <m:t xml:space="preserve">∂s</m:t>
            </m:r>
          </m:den>
        </m:f>
        <m:r>
          <w:rPr/>
          <m:t xml:space="preserve"> ≤ 0</m:t>
        </m:r>
      </m:oMath>
      <w:r w:rsidDel="00000000" w:rsidR="00000000" w:rsidRPr="00000000">
        <w:rPr>
          <w:rFonts w:ascii="Times New Roman" w:cs="Times New Roman" w:eastAsia="Times New Roman" w:hAnsi="Times New Roman"/>
          <w:sz w:val="20"/>
          <w:szCs w:val="20"/>
          <w:rtl w:val="0"/>
        </w:rPr>
        <w:tab/>
        <w:t xml:space="preserve">(4)</w:t>
      </w:r>
    </w:p>
    <w:p w:rsidR="00000000" w:rsidDel="00000000" w:rsidP="00000000" w:rsidRDefault="00000000" w:rsidRPr="00000000" w14:paraId="0000004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Estas expresiones especifican el acoplamiento evaluado. La corrección se guía por relaciones físicas agregadas, pero no resuelve las ecuaciones rectoras de campo ni impone las condiciones de contorno por construcción. Por ello, no se describe como una PINN basada en ecuaciones de campo.</w:t>
      </w:r>
      <w:r w:rsidDel="00000000" w:rsidR="00000000" w:rsidRPr="00000000">
        <w:rPr>
          <w:rtl w:val="0"/>
        </w:rPr>
      </w:r>
    </w:p>
    <w:p w:rsidR="00000000" w:rsidDel="00000000" w:rsidP="00000000" w:rsidRDefault="00000000" w:rsidRPr="00000000" w14:paraId="0000004E">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2.5. Modelos temporales y corrección</w:t>
      </w:r>
      <w:r w:rsidDel="00000000" w:rsidR="00000000" w:rsidRPr="00000000">
        <w:rPr>
          <w:rtl w:val="0"/>
        </w:rPr>
      </w:r>
    </w:p>
    <w:p w:rsidR="00000000" w:rsidDel="00000000" w:rsidP="00000000" w:rsidRDefault="00000000" w:rsidRPr="00000000" w14:paraId="0000004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Se evalúan cuatro alternativas con las mismas ventanas: persistencia del valor actual, regresión ridge autorregresiva, LSTM y un modelo híbrido que añade una corrección residual a la LSTM. Cada entrada de la LSTM contiene seis horas de historial y predice a 1 h o 6 h. El entrenamiento utiliza retropropagación en el tiempo y optimización Adam (Kingma &amp; Ba, 2015), siguiendo el principio de memoria recurrente de Hochreiter y Schmidhuber (1997). En este experimento, la precipitación futura es una entrada exógena conocida, a diferencia de los pronósticos meteorológicos operativos, que son imperfectos. Ridge, LSTM y el modelo híbrido restringen la predicción final para que no sea inferior al valor actual; esta restricción compartida es relevante al interpretar la corrección.</w:t>
      </w:r>
      <w:r w:rsidDel="00000000" w:rsidR="00000000" w:rsidRPr="00000000">
        <w:rPr>
          <w:rtl w:val="0"/>
        </w:rPr>
      </w:r>
    </w:p>
    <w:p w:rsidR="00000000" w:rsidDel="00000000" w:rsidP="00000000" w:rsidRDefault="00000000" w:rsidRPr="00000000" w14:paraId="0000005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corrección residual es un perceptrón multicapa (MLP) ajustado a la salida de la LSTM entrenada. Sus restricciones garantizan que, si las demás entradas se mantienen fijas, un aumento de la precipitación futura no reduzca la corrección y un aumento del índice de seguridad no la eleve. Estas condiciones de monotonía agregada no constituyen una función de pérdida de equilibrio espacial ni una PINN basada en ecuaciones de campo (Raissi et al., 2019; Karniadakis et al., 2021). La monotonía se refiere a las entradas directas de la corrección, con fija la salida de la LSTM base; no establece la monotonía global del modelo híbrido cuando todas las variables cambian simultáneamente. Se evaluó una aproximación espacial PIELM/RBF independiente para un evento semisintético; sus resultados no se atribuyen al predictor temporal.</w:t>
      </w:r>
      <w:r w:rsidDel="00000000" w:rsidR="00000000" w:rsidRPr="00000000">
        <w:rPr>
          <w:rtl w:val="0"/>
        </w:rPr>
      </w:r>
    </w:p>
    <w:p w:rsidR="00000000" w:rsidDel="00000000" w:rsidP="00000000" w:rsidRDefault="00000000" w:rsidRPr="00000000" w14:paraId="0000005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escaladores de entrada y la normalización del cambio del objetivo se estiman únicamente con los datos de entrenamiento. Ridge selecciona la regularización con datos de validación; las redes utilizan detención temprana, con criterios registrados en sus artefactos. No se documenta una búsqueda sistemática de arquitecturas comparable ni el uso de semillas de entrenamiento independientes y repetidas. La corrección se ajusta con la LSTM entrenada y sus predicciones de entrenamiento, sin predicciones fuera de pliegue para esta segunda etapa.</w:t>
      </w:r>
      <w:r w:rsidDel="00000000" w:rsidR="00000000" w:rsidRPr="00000000">
        <w:rPr>
          <w:rtl w:val="0"/>
        </w:rPr>
      </w:r>
    </w:p>
    <w:p w:rsidR="00000000" w:rsidDel="00000000" w:rsidP="00000000" w:rsidRDefault="00000000" w:rsidRPr="00000000" w14:paraId="00000052">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2.6. Configuración experimental</w:t>
      </w:r>
      <w:r w:rsidDel="00000000" w:rsidR="00000000" w:rsidRPr="00000000">
        <w:rPr>
          <w:rtl w:val="0"/>
        </w:rPr>
      </w:r>
    </w:p>
    <w:p w:rsidR="00000000" w:rsidDel="00000000" w:rsidP="00000000" w:rsidRDefault="00000000" w:rsidRPr="00000000" w14:paraId="00000053">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tabla 2 presenta la configuración recuperada de los scripts y los artefactos de los modelos guardados. Las cantidades de épocas son máximos solicitados; la detención temprana puede finalizar el entrenamiento antes.</w:t>
      </w:r>
      <w:r w:rsidDel="00000000" w:rsidR="00000000" w:rsidRPr="00000000">
        <w:rPr>
          <w:rtl w:val="0"/>
        </w:rPr>
      </w:r>
    </w:p>
    <w:p w:rsidR="00000000" w:rsidDel="00000000" w:rsidP="00000000" w:rsidRDefault="00000000" w:rsidRPr="00000000" w14:paraId="00000054">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Tabla 2. Configuración experimental documentada. La arquitectura y los parámetros de entrenamiento corresponden a los artefactos guardados de 1 h; las ejecuciones cronológicas y de 6 h registran las épocas completadas. MSE: error cuadrático medio.</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tbl>
      <w:tblPr>
        <w:tblStyle w:val="Table2"/>
        <w:tblW w:w="9638.0" w:type="dxa"/>
        <w:jc w:val="center"/>
        <w:tblBorders>
          <w:top w:color="000000" w:space="0" w:sz="4" w:val="single"/>
          <w:bottom w:color="000000" w:space="0" w:sz="4" w:val="single"/>
          <w:insideH w:color="000000" w:space="0" w:sz="4" w:val="single"/>
        </w:tblBorders>
        <w:tblLayout w:type="fixed"/>
        <w:tblLook w:val="0400"/>
      </w:tblPr>
      <w:tblGrid>
        <w:gridCol w:w="1701"/>
        <w:gridCol w:w="4989"/>
        <w:gridCol w:w="2948"/>
        <w:tblGridChange w:id="0">
          <w:tblGrid>
            <w:gridCol w:w="1701"/>
            <w:gridCol w:w="4989"/>
            <w:gridCol w:w="2948"/>
          </w:tblGrid>
        </w:tblGridChange>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Componente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Valor documentado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Trazabilidad</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Escenarios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500 escenarios de 24 estados horarios; semilla 20260915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2.2</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Malla MEF</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30 × 20; referencia interna 48 × 32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3.1</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Ventanas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Historial de 6 h; horizontes de 1 h y 6 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2.5</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Optimización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Adam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2.5</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Partición principal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350 para entrenamiento, 75 para validación y 75 para prueba, por fecha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2.7</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Particiones cronológicas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Pruebas de 2024 y 2025 con reentrenamiento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2.7</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Incertidumbre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5000 remuestreos agrupados por fecha; intervalos de confianza del 95%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2.7</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Robustez</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5% de ruido; 30% de datos faltantes con imputación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Sección 3.5</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Arquitectura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LSTM: 15 entradas, 12 unidades ocultas; residual MLP: 19 entradas, 16 unidades ocultas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data/​models/​ta01-​lstm-​1h.json; ta01-physics-guided-1h.json</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Entrenamiento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LSTM: Adam, MSE, máximo de 320 épocas, lote 128, tasa de aprendizaje 0.003, seed 20260916; corrección: Adam, máximo de 360 épocas, lote 128, tasa de aprendizaje 0.0015, seed 20260917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Artefactos de modelos guardados; scripts/​train-​lstm.py; scripts/​train-​physics-​guided.py</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Entorno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557062718"/>
                <w:tag w:val="goog_rdk_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Node.js ≥24; NumPy ≥2, &lt;3; versión de Python y hardware no fijados</w:t>
                </w:r>
              </w:sdtContent>
            </w:sdt>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package.json; requirements-ml.txt</w:t>
            </w:r>
            <w:r w:rsidDel="00000000" w:rsidR="00000000" w:rsidRPr="00000000">
              <w:rPr>
                <w:rtl w:val="0"/>
              </w:rPr>
            </w:r>
          </w:p>
        </w:tc>
      </w:tr>
    </w:tbl>
    <w:p w:rsidR="00000000" w:rsidDel="00000000" w:rsidP="00000000" w:rsidRDefault="00000000" w:rsidRPr="00000000" w14:paraId="00000079">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2.7. Validación y análisis estadístico</w:t>
      </w:r>
      <w:r w:rsidDel="00000000" w:rsidR="00000000" w:rsidRPr="00000000">
        <w:rPr>
          <w:rtl w:val="0"/>
        </w:rPr>
      </w:r>
    </w:p>
    <w:p w:rsidR="00000000" w:rsidDel="00000000" w:rsidP="00000000" w:rsidRDefault="00000000" w:rsidRPr="00000000" w14:paraId="0000007B">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En la primera comparación, los 500 escenarios se asignan a entrenamiento (350), validación (75) y prueba (75) según la fecha de lluvia; los escenarios con una misma fecha nunca se distribuyen entre particiones. Esta partición no es cronológica. Se realizan otras dos pruebas con pesos reentrenados: entrenamiento con 2020–2022, validación con 2023 y prueba con 2024; y entrenamiento con 2020–2023, validación con 2024 y prueba con 2025. El MAE se evalúa con ventanas comparables de 1 h y 6 h. La partición no cronológica reserva para validación y prueba las fechas con mayor precipitación y equilibra la asignación según categorías del índice de seguridad simulado; no es una muestra aleatoria simple de fechas futuras.</w:t>
      </w:r>
      <w:r w:rsidDel="00000000" w:rsidR="00000000" w:rsidRPr="00000000">
        <w:rPr>
          <w:rtl w:val="0"/>
        </w:rPr>
      </w:r>
    </w:p>
    <w:p w:rsidR="00000000" w:rsidDel="00000000" w:rsidP="00000000" w:rsidRDefault="00000000" w:rsidRPr="00000000" w14:paraId="0000007C">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sdt>
        <w:sdtPr>
          <w:id w:val="-885329158"/>
          <w:tag w:val="goog_rdk_1"/>
        </w:sdtPr>
        <w:sdtContent>
          <w:r w:rsidDel="00000000" w:rsidR="00000000" w:rsidRPr="00000000">
            <w:rPr>
              <w:rFonts w:ascii="Cardo" w:cs="Cardo" w:eastAsia="Cardo" w:hAnsi="Cardo"/>
              <w:b w:val="0"/>
              <w:bCs w:val="0"/>
              <w:i w:val="0"/>
              <w:iCs w:val="0"/>
              <w:color w:val="000000"/>
              <w:sz w:val="20"/>
              <w:szCs w:val="20"/>
              <w:rtl w:val="0"/>
            </w:rPr>
            <w:t xml:space="preserve">La diferencia Δ = MAE(LSTM) − MAE(híbrido) se evalúa mediante 5000 remuestreos agrupados por fecha de lluvia e intervalos de confianza percentiles del 95 %. La agrupación por fecha conserva la dependencia entre ventanas de un mismo evento (Field &amp; Welsh, 2007), pero supone una independencia suficiente entre grupos de fechas. No es un bootstrap de bloques móviles de días consecutivos. No se informan pruebas de hipótesis ni valores p porque el archivo experimental no conserva un cálculo reproducible de la prueba de inversión de signos descrita previamente. La prueba de robustez perturba únicamente las entradas retenidas: añade ruido gaussiano equivalente al 5 % de la desviación estándar de entrenamiento y genera un 30 % de datos faltantes al azar, imputados con las medias de entrenamiento. Las métricas describen predicciones guardadas del proyecto, no observaciones de campo.</w:t>
          </w:r>
        </w:sdtContent>
      </w:sdt>
      <w:r w:rsidDel="00000000" w:rsidR="00000000" w:rsidRPr="00000000">
        <w:rPr>
          <w:rtl w:val="0"/>
        </w:rPr>
      </w:r>
    </w:p>
    <w:p w:rsidR="00000000" w:rsidDel="00000000" w:rsidP="00000000" w:rsidRDefault="00000000" w:rsidRPr="00000000" w14:paraId="0000007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intervalos de predicción del modelo híbrido utilizan un cuantil del error absoluto de validación. El mismo conjunto de validación también se usó para seleccionar el modelo y aplicar la detención temprana. Por tanto, los intervalos son empíricos y tienen diagnósticos retrospectivos de cobertura, pero no ofrecen una garantía conformal independiente. La figura 2 contrasta la cobertura global con la cobertura para precipitaciones de al menos 5 mm/día; este último grupo contiene pocas fechas.</w:t>
      </w:r>
      <w:r w:rsidDel="00000000" w:rsidR="00000000" w:rsidRPr="00000000">
        <w:rPr>
          <w:rtl w:val="0"/>
        </w:rPr>
      </w:r>
    </w:p>
    <w:p w:rsidR="00000000" w:rsidDel="00000000" w:rsidP="00000000" w:rsidRDefault="00000000" w:rsidRPr="00000000" w14:paraId="0000007E">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2.8. Procedimiento de reproducción</w:t>
      </w:r>
      <w:r w:rsidDel="00000000" w:rsidR="00000000" w:rsidRPr="00000000">
        <w:rPr>
          <w:rtl w:val="0"/>
        </w:rPr>
      </w:r>
    </w:p>
    <w:p w:rsidR="00000000" w:rsidDel="00000000" w:rsidP="00000000" w:rsidRDefault="00000000" w:rsidRPr="00000000" w14:paraId="0000007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reproducción comienza con el archivo CSV diario archivado de NASA POWER en data/rainfall/. Los 500 escenarios archivados utilizan la semilla 20260915 y una malla de 30 × 20, mientras que los valores predeterminados del generador actual son 14 × 9. Por tanto, para reproducirlos se requieren los argumentos explícitos --scenarios=500, --seed=20260915, --mesh-x=30 y --mesh-y=20 con npm run generate:fem --, además de un nuevo directorio de salida que preserve los artefactos archivados. Luego se construyen las particiones por fecha y cronológicas según lo documentado en docs/CASO_TA01_FEM.md. Se entrenan ridge, la LSTM y la corrección para cada horizonte; se ejecutan las verificaciones del MEF y de robustez, y se consolidan los informes. Los manifiestos registran la procedencia y los parámetros de las ejecuciones archivadas.</w:t>
      </w:r>
      <w:r w:rsidDel="00000000" w:rsidR="00000000" w:rsidRPr="00000000">
        <w:rPr>
          <w:rtl w:val="0"/>
        </w:rPr>
      </w:r>
    </w:p>
    <w:p w:rsidR="00000000" w:rsidDel="00000000" w:rsidP="00000000" w:rsidRDefault="00000000" w:rsidRPr="00000000" w14:paraId="0000008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Para reproducir todas las tablas informadas también se necesitan los prefijos de salida, los horizontes de pronóstico y los pesos guardados para cada partición de datos. Los scripts de npm y el manifiesto de replicación documentan estos parámetros; por ello, generar únicamente los escenarios no es suficiente.</w:t>
      </w:r>
    </w:p>
    <w:p w:rsidR="00000000" w:rsidDel="00000000" w:rsidP="00000000" w:rsidRDefault="00000000" w:rsidRPr="00000000" w14:paraId="0000008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Entre los resultados informados se incluyen data/validation/ta01-model-comparison.csv, ta01-rolling-origin-model-comparison.csv, ta01-rolling-origin-bootstrap.json y ta01-replication-manifest.json, con hashes SHA-256 registrados para las entradas y los resultados. El repositorio público sslope incluye un archivo README y los scripts de npm y la configuración de Docker Compose para su servicio web; sin embargo, este contenedor no proporciona un flujo cerrado de entrenamiento y análisis.</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082">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3. Resultados</w:t>
      </w:r>
      <w:r w:rsidDel="00000000" w:rsidR="00000000" w:rsidRPr="00000000">
        <w:rPr>
          <w:rtl w:val="0"/>
        </w:rPr>
      </w:r>
    </w:p>
    <w:p w:rsidR="00000000" w:rsidDel="00000000" w:rsidP="00000000" w:rsidRDefault="00000000" w:rsidRPr="00000000" w14:paraId="00000083">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resultados se organizan por pregunta de investigación. Las verificaciones de implementación numérica se presentan por separado de la predicción temporal y la robustez ante entradas.</w:t>
      </w:r>
      <w:r w:rsidDel="00000000" w:rsidR="00000000" w:rsidRPr="00000000">
        <w:rPr>
          <w:rtl w:val="0"/>
        </w:rPr>
      </w:r>
    </w:p>
    <w:p w:rsidR="00000000" w:rsidDel="00000000" w:rsidP="00000000" w:rsidRDefault="00000000" w:rsidRPr="00000000" w14:paraId="00000084">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3.1. PI4 Verificación interna del MEF</w:t>
      </w:r>
      <w:r w:rsidDel="00000000" w:rsidR="00000000" w:rsidRPr="00000000">
        <w:rPr>
          <w:rtl w:val="0"/>
        </w:rPr>
      </w:r>
    </w:p>
    <w:p w:rsidR="00000000" w:rsidDel="00000000" w:rsidP="00000000" w:rsidRDefault="00000000" w:rsidRPr="00000000" w14:paraId="00000085">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prueba de parche de deformación constante reprodujo el campo afín con un error máximo de deformación de 1.14 × 10⁻¹⁸. Dos verificaciones analíticas globales dieron errores máximos de desplazamiento de 1.62 × 10⁻¹¹ m para elasticidad lineal y de 1.60 × 10⁻¹¹ m con presión uniforme de Biot. En comparación con la malla interna de 48 × 32, la malla estándar de 30 × 20 presentó una diferencia de desplazamiento del 2.13 %. El refinamiento no fue monótono: las mallas de 36 × 24 y 42 × 28 difirieron de la referencia en 8.49 % y 7.41 %, respectivamente. Estas pruebas verifican partes de la implementación, pero no establecen convergencia de malla ni parámetros geotécnicos válidos para TA-01.</w:t>
      </w:r>
      <w:r w:rsidDel="00000000" w:rsidR="00000000" w:rsidRPr="00000000">
        <w:rPr>
          <w:rtl w:val="0"/>
        </w:rPr>
      </w:r>
    </w:p>
    <w:p w:rsidR="00000000" w:rsidDel="00000000" w:rsidP="00000000" w:rsidRDefault="00000000" w:rsidRPr="00000000" w14:paraId="00000088">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3.2. PI1 Predicción con fechas de lluvia separadas</w:t>
      </w:r>
      <w:r w:rsidDel="00000000" w:rsidR="00000000" w:rsidRPr="00000000">
        <w:rPr>
          <w:rtl w:val="0"/>
        </w:rPr>
      </w:r>
    </w:p>
    <w:p w:rsidR="00000000" w:rsidDel="00000000" w:rsidP="00000000" w:rsidRDefault="00000000" w:rsidRPr="00000000" w14:paraId="00000089">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En la partición con fechas disjuntas, el modelo híbrido obtuvo el MAE más bajo de las cuatro alternativas en ambos horizontes (tabla 3). Respecto de la LSTM, el MAE disminuyó un 6.99 % a 1 h y un 2.46 % a 6 h. Estas magnitudes corresponden al desplazamiento máximo inducido por la lluvia simulado respecto del estado inicial.</w:t>
      </w:r>
      <w:r w:rsidDel="00000000" w:rsidR="00000000" w:rsidRPr="00000000">
        <w:rPr>
          <w:rtl w:val="0"/>
        </w:rPr>
      </w:r>
    </w:p>
    <w:p w:rsidR="00000000" w:rsidDel="00000000" w:rsidP="00000000" w:rsidRDefault="00000000" w:rsidRPr="00000000" w14:paraId="0000008A">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commentRangeStart w:id="1"/>
      <w:r w:rsidDel="00000000" w:rsidR="00000000" w:rsidRPr="00000000">
        <w:rPr>
          <w:rFonts w:ascii="Times New Roman" w:cs="Times New Roman" w:eastAsia="Times New Roman" w:hAnsi="Times New Roman"/>
          <w:b w:val="1"/>
          <w:bCs w:val="1"/>
          <w:sz w:val="20"/>
          <w:szCs w:val="20"/>
          <w:rtl w:val="0"/>
        </w:rPr>
        <w:t>Tabla 3. Desempeño en la prueba con fechas de lluvia separadas. MAE y RMSE en mm; R² adimensional. Los cuatro métodos utilizan las mismas ventanas por horizonte. Fuente: data/validation/ta01-model-comparison.csv.</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commentRangeEnd w:id="1"/>
      <w:r>
        <w:commentReference w:id="1"/>
      </w:r>
    </w:p>
    <w:tbl>
      <w:tblPr>
        <w:tblStyle w:val="Table3"/>
        <w:tblW w:w="9637.0" w:type="dxa"/>
        <w:jc w:val="center"/>
        <w:tblBorders>
          <w:top w:color="000000" w:space="0" w:sz="4" w:val="single"/>
          <w:bottom w:color="000000" w:space="0" w:sz="4" w:val="single"/>
          <w:insideH w:color="000000" w:space="0" w:sz="4" w:val="single"/>
        </w:tblBorders>
        <w:tblLayout w:type="fixed"/>
        <w:tblLook w:val="0400"/>
      </w:tblPr>
      <w:tblGrid>
        <w:gridCol w:w="1100"/>
        <w:gridCol w:w="1700"/>
        <w:gridCol w:w="1050"/>
        <w:gridCol w:w="2100"/>
        <w:gridCol w:w="2100"/>
        <w:gridCol w:w="1588"/>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b/>
              </w:rPr>
              <w:t>Horizonte (h)</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b/>
              </w:rPr>
              <w:t>Modelo</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b/>
              </w:rPr>
              <w:t>Ventanas</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b/>
              </w:rPr>
              <w:t>MAE (mm)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b/>
              </w:rPr>
              <w:t>RMSE (mm)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b/>
              </w:rPr>
              <w:t>R²</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Persistencia</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0.00002081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0.00010999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0.995939</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Ridge</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0.00001181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0.00006266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0.998682</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LSTM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0.00000858</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0.00005466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0.998997</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Híbrido</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0.00000798</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0.00005093</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0.999129</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Persistencia</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0.00013169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0.00065863</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0.884685</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Ridge</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0.00008855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0.00044652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0.946999</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LSTM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0.00006332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0.00042635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0.951680</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1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700" w:type="dxa"/>
          </w:tcPr>
          <w:p>
            <w:pPr>
              <w:jc w:val="left"/>
              <w:spacing w:before="50" w:after="50" w:line="240" w:lineRule="auto"/>
            </w:pPr>
            <w:r>
              <w:rPr>
                <w:rFonts w:ascii="Times New Roman" w:hAnsi="Times New Roman" w:eastAsia="Times New Roman" w:cs="Times New Roman"/>
                <w:sz w:val="19"/>
              </w:rPr>
              <w:t>Híbrido</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0.00006176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100" w:type="dxa"/>
          </w:tcPr>
          <w:p>
            <w:pPr>
              <w:jc w:val="center"/>
              <w:spacing w:before="50" w:after="50" w:line="240" w:lineRule="auto"/>
            </w:pPr>
            <w:r>
              <w:rPr>
                <w:rFonts w:ascii="Times New Roman" w:hAnsi="Times New Roman" w:eastAsia="Times New Roman" w:cs="Times New Roman"/>
                <w:sz w:val="19"/>
              </w:rPr>
              <w:t>0.00041181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588" w:type="dxa"/>
          </w:tcPr>
          <w:p>
            <w:pPr>
              <w:jc w:val="center"/>
              <w:spacing w:before="50" w:after="50" w:line="240" w:lineRule="auto"/>
            </w:pPr>
            <w:r>
              <w:rPr>
                <w:rFonts w:ascii="Times New Roman" w:hAnsi="Times New Roman" w:eastAsia="Times New Roman" w:cs="Times New Roman"/>
                <w:sz w:val="19"/>
              </w:rPr>
              <w:t>0.954919</w:t>
            </w:r>
          </w:p>
        </w:tc>
      </w:tr>
    </w:tbl>
    <w:p w:rsidR="00000000" w:rsidDel="00000000" w:rsidP="00000000" w:rsidRDefault="00000000" w:rsidRPr="00000000" w14:paraId="0000009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3.3. PI1 y PI2 Pruebas cronológicas e incertidumbre</w:t>
      </w:r>
      <w:r w:rsidDel="00000000" w:rsidR="00000000" w:rsidRPr="00000000">
        <w:rPr>
          <w:rtl w:val="0"/>
        </w:rPr>
      </w:r>
    </w:p>
    <w:p w:rsidR="00000000" w:rsidDel="00000000" w:rsidP="00000000" w:rsidRDefault="00000000" w:rsidRPr="00000000" w14:paraId="0000009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orden de la LSTM y el modelo híbrido cambió según el año de prueba (tabla 4). En 2024, el MAE del modelo híbrido fue un 1.15 % mayor a 1 h y un 1.89 % mayor a 6 h; en 2025 fue un 3.89 % menor a 1 h y un 4.63 % menor a 6 h. Los cuatro intervalos del 95 % incluyeron cero. Estas estimaciones no respaldan una ventaja consistente de la corrección ni demuestran equivalencia entre los modelos.</w:t>
      </w:r>
      <w:r w:rsidDel="00000000" w:rsidR="00000000" w:rsidRPr="00000000">
        <w:rPr>
          <w:rtl w:val="0"/>
        </w:rPr>
      </w:r>
    </w:p>
    <w:p w:rsidR="00000000" w:rsidDel="00000000" w:rsidP="00000000" w:rsidRDefault="00000000" w:rsidRPr="00000000" w14:paraId="000000A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sdt>
        <w:sdtPr>
          <w:id w:val="1082579974"/>
          <w:tag w:val="goog_rdk_2"/>
        </w:sdtPr>
        <w:sdtContent>
          <w:r w:rsidDel="00000000" w:rsidR="00000000" w:rsidRPr="00000000">
            <w:rPr>
              <w:rFonts w:ascii="Cardo" w:cs="Cardo" w:eastAsia="Cardo" w:hAnsi="Cardo"/>
              <w:b w:val="0"/>
              <w:bCs w:val="0"/>
              <w:i w:val="0"/>
              <w:iCs w:val="0"/>
              <w:color w:val="000000"/>
              <w:sz w:val="20"/>
              <w:szCs w:val="20"/>
              <w:rtl w:val="0"/>
            </w:rPr>
            <w:t xml:space="preserve">Los intervalos del 95 % para Δ fueron [−1.44 × 10⁻⁷, 4.25 × 10⁻⁸] mm a 1 h y [−1.15 × 10⁻⁶, 6.64 × 10⁻⁸] mm a 6 h en 2024; en 2025 fueron [−2.59 × 10⁻⁷, 6.88 × 10⁻⁷] mm y [−3.83 × 10⁻⁷, 6.25 × 10⁻⁶] mm. El remuestreo utilizó 82 fechas de prueba en 2024 y 76 en 2025. Los intervalos describen la variación entre fechas semisintéticas, no la incertidumbre geotécnica real. La figura 1 muestra las diferencias y los intervalos; los valores positivos favorecen al modelo híbrido.</w:t>
          </w:r>
        </w:sdtContent>
      </w:sdt>
      <w:r w:rsidDel="00000000" w:rsidR="00000000" w:rsidRPr="00000000">
        <w:rPr>
          <w:rtl w:val="0"/>
        </w:rPr>
      </w:r>
    </w:p>
    <w:p w:rsidR="00000000" w:rsidDel="00000000" w:rsidP="00000000" w:rsidRDefault="00000000" w:rsidRPr="00000000" w14:paraId="000000A1">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commentRangeStart w:id="2"/>
      <w:r w:rsidDel="00000000" w:rsidR="00000000" w:rsidRPr="00000000">
        <w:rPr>
          <w:rFonts w:ascii="Times New Roman" w:cs="Times New Roman" w:eastAsia="Times New Roman" w:hAnsi="Times New Roman"/>
          <w:b w:val="1"/>
          <w:bCs w:val="1"/>
          <w:sz w:val="20"/>
          <w:szCs w:val="20"/>
          <w:rtl w:val="0"/>
        </w:rPr>
        <w:t>Tabla 4. MAE de los cuatro modelos en las pruebas cronológicas, en mm. Los métodos comparten las ventanas de prueba de cada año y horizonte. Fuente: data/validation/ta01-rolling-origin-model-comparison.csv.</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commentRangeEnd w:id="2"/>
      <w:r>
        <w:commentReference w:id="2"/>
      </w:r>
    </w:p>
    <w:tbl>
      <w:tblPr>
        <w:tblStyle w:val="Table4"/>
        <w:tblW w:w="9637.0" w:type="dxa"/>
        <w:jc w:val="center"/>
        <w:tblBorders>
          <w:top w:color="000000" w:space="0" w:sz="4" w:val="single"/>
          <w:bottom w:color="000000" w:space="0" w:sz="4" w:val="single"/>
          <w:insideH w:color="000000" w:space="0" w:sz="4" w:val="single"/>
        </w:tblBorders>
        <w:tblLayout w:type="fixed"/>
        <w:tblLook w:val="0400"/>
      </w:tblPr>
      <w:tblGrid>
        <w:gridCol w:w="1050"/>
        <w:gridCol w:w="1000"/>
        <w:gridCol w:w="950"/>
        <w:gridCol w:w="1650"/>
        <w:gridCol w:w="1650"/>
        <w:gridCol w:w="1650"/>
        <w:gridCol w:w="1688"/>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b/>
              </w:rPr>
              <w:t>Año de prueba</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00" w:type="dxa"/>
          </w:tcPr>
          <w:p>
            <w:pPr>
              <w:jc w:val="center"/>
              <w:spacing w:before="50" w:after="50" w:line="240" w:lineRule="auto"/>
            </w:pPr>
            <w:r>
              <w:rPr>
                <w:rFonts w:ascii="Times New Roman" w:hAnsi="Times New Roman" w:eastAsia="Times New Roman" w:cs="Times New Roman"/>
                <w:sz w:val="19"/>
                <w:b/>
              </w:rPr>
              <w:t>Horizonte (h)</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950" w:type="dxa"/>
          </w:tcPr>
          <w:p>
            <w:pPr>
              <w:jc w:val="center"/>
              <w:spacing w:before="50" w:after="50" w:line="240" w:lineRule="auto"/>
            </w:pPr>
            <w:r>
              <w:rPr>
                <w:rFonts w:ascii="Times New Roman" w:hAnsi="Times New Roman" w:eastAsia="Times New Roman" w:cs="Times New Roman"/>
                <w:sz w:val="19"/>
                <w:b/>
              </w:rPr>
              <w:t>Ventanas</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b/>
              </w:rPr>
              <w:t>Persistencia</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b/>
              </w:rPr>
              <w:t>Ridge</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b/>
              </w:rPr>
              <w:t>LSTM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88" w:type="dxa"/>
          </w:tcPr>
          <w:p>
            <w:pPr>
              <w:jc w:val="center"/>
              <w:spacing w:before="50" w:after="50" w:line="240" w:lineRule="auto"/>
            </w:pPr>
            <w:r>
              <w:rPr>
                <w:rFonts w:ascii="Times New Roman" w:hAnsi="Times New Roman" w:eastAsia="Times New Roman" w:cs="Times New Roman"/>
                <w:sz w:val="19"/>
                <w:b/>
              </w:rPr>
              <w:t>Híbrido</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2024</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950" w:type="dxa"/>
          </w:tcPr>
          <w:p>
            <w:pPr>
              <w:jc w:val="center"/>
              <w:spacing w:before="50" w:after="50" w:line="240" w:lineRule="auto"/>
            </w:pPr>
            <w:r>
              <w:rPr>
                <w:rFonts w:ascii="Times New Roman" w:hAnsi="Times New Roman" w:eastAsia="Times New Roman" w:cs="Times New Roman"/>
                <w:sz w:val="19"/>
              </w:rPr>
              <w:t>1476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0.00001049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0.00000662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0.00000435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88" w:type="dxa"/>
          </w:tcPr>
          <w:p>
            <w:pPr>
              <w:jc w:val="center"/>
              <w:spacing w:before="50" w:after="50" w:line="240" w:lineRule="auto"/>
            </w:pPr>
            <w:r>
              <w:rPr>
                <w:rFonts w:ascii="Times New Roman" w:hAnsi="Times New Roman" w:eastAsia="Times New Roman" w:cs="Times New Roman"/>
                <w:sz w:val="19"/>
              </w:rPr>
              <w:t>0.00000440</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2024</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950" w:type="dxa"/>
          </w:tcPr>
          <w:p>
            <w:pPr>
              <w:jc w:val="center"/>
              <w:spacing w:before="50" w:after="50" w:line="240" w:lineRule="auto"/>
            </w:pPr>
            <w:r>
              <w:rPr>
                <w:rFonts w:ascii="Times New Roman" w:hAnsi="Times New Roman" w:eastAsia="Times New Roman" w:cs="Times New Roman"/>
                <w:sz w:val="19"/>
              </w:rPr>
              <w:t>1066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0.00006888</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0.00005232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0.00002909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88" w:type="dxa"/>
          </w:tcPr>
          <w:p>
            <w:pPr>
              <w:jc w:val="center"/>
              <w:spacing w:before="50" w:after="50" w:line="240" w:lineRule="auto"/>
            </w:pPr>
            <w:r>
              <w:rPr>
                <w:rFonts w:ascii="Times New Roman" w:hAnsi="Times New Roman" w:eastAsia="Times New Roman" w:cs="Times New Roman"/>
                <w:sz w:val="19"/>
              </w:rPr>
              <w:t>0.00002964</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2025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950" w:type="dxa"/>
          </w:tcPr>
          <w:p>
            <w:pPr>
              <w:jc w:val="center"/>
              <w:spacing w:before="50" w:after="50" w:line="240" w:lineRule="auto"/>
            </w:pPr>
            <w:r>
              <w:rPr>
                <w:rFonts w:ascii="Times New Roman" w:hAnsi="Times New Roman" w:eastAsia="Times New Roman" w:cs="Times New Roman"/>
                <w:sz w:val="19"/>
              </w:rPr>
              <w:t>1404</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0.00002167</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0.00002055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0.00000540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88" w:type="dxa"/>
          </w:tcPr>
          <w:p>
            <w:pPr>
              <w:jc w:val="center"/>
              <w:spacing w:before="50" w:after="50" w:line="240" w:lineRule="auto"/>
            </w:pPr>
            <w:r>
              <w:rPr>
                <w:rFonts w:ascii="Times New Roman" w:hAnsi="Times New Roman" w:eastAsia="Times New Roman" w:cs="Times New Roman"/>
                <w:sz w:val="19"/>
              </w:rPr>
              <w:t>0.00000519</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50" w:type="dxa"/>
          </w:tcPr>
          <w:p>
            <w:pPr>
              <w:jc w:val="center"/>
              <w:spacing w:before="50" w:after="50" w:line="240" w:lineRule="auto"/>
            </w:pPr>
            <w:r>
              <w:rPr>
                <w:rFonts w:ascii="Times New Roman" w:hAnsi="Times New Roman" w:eastAsia="Times New Roman" w:cs="Times New Roman"/>
                <w:sz w:val="19"/>
              </w:rPr>
              <w:t>2025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0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950" w:type="dxa"/>
          </w:tcPr>
          <w:p>
            <w:pPr>
              <w:jc w:val="center"/>
              <w:spacing w:before="50" w:after="50" w:line="240" w:lineRule="auto"/>
            </w:pPr>
            <w:r>
              <w:rPr>
                <w:rFonts w:ascii="Times New Roman" w:hAnsi="Times New Roman" w:eastAsia="Times New Roman" w:cs="Times New Roman"/>
                <w:sz w:val="19"/>
              </w:rPr>
              <w:t>1014</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0.00014399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0.00015151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50" w:type="dxa"/>
          </w:tcPr>
          <w:p>
            <w:pPr>
              <w:jc w:val="center"/>
              <w:spacing w:before="50" w:after="50" w:line="240" w:lineRule="auto"/>
            </w:pPr>
            <w:r>
              <w:rPr>
                <w:rFonts w:ascii="Times New Roman" w:hAnsi="Times New Roman" w:eastAsia="Times New Roman" w:cs="Times New Roman"/>
                <w:sz w:val="19"/>
              </w:rPr>
              <w:t>0.00005769</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688" w:type="dxa"/>
          </w:tcPr>
          <w:p>
            <w:pPr>
              <w:jc w:val="center"/>
              <w:spacing w:before="50" w:after="50" w:line="240" w:lineRule="auto"/>
            </w:pPr>
            <w:r>
              <w:rPr>
                <w:rFonts w:ascii="Times New Roman" w:hAnsi="Times New Roman" w:eastAsia="Times New Roman" w:cs="Times New Roman"/>
                <w:sz w:val="19"/>
              </w:rPr>
              <w:t>0.00005502</w:t>
            </w:r>
          </w:p>
        </w:tc>
      </w:tr>
    </w:tbl>
    <w:p w:rsidR="00000000" w:rsidDel="00000000" w:rsidP="00000000" w:rsidRDefault="00000000" w:rsidRPr="00000000" w14:paraId="000000BB">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keepNext w:val="1"/>
        <w:keepLines w:val="0"/>
        <w:widowControl w:val="1"/>
        <w:spacing w:after="0" w:before="200" w:line="240" w:lineRule="auto"/>
        <w:ind w:left="0" w:right="0" w:firstLine="0"/>
        <w:jc w:val="center"/>
        <w:rPr>
          <w:rFonts w:ascii="Times New Roman" w:cs="Times New Roman" w:eastAsia="Times New Roman" w:hAnsi="Times New Roman"/>
          <w:sz w:val="20"/>
          <w:szCs w:val="20"/>
        </w:rPr>
      </w:pPr>
      <w:r w:rsidDel="00000000" w:rsidR="00000000" w:rsidRPr="00000000">
        <w:rPr/>
        <w:drawing>
          <wp:inline distB="0" distT="0" distL="0" distR="0">
            <wp:extent cx="6119500" cy="2633176"/>
            <wp:effectExtent b="0" l="0" r="0" t="0"/>
            <wp:docPr id="12" name="image2.jpg" descr="Figura 1. Resultado TA-01 semisintético; data/validation/ta01-rolling-origin-bootstrap.json"/>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119500" cy="263317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1"/>
        <w:widowControl w:val="1"/>
        <w:spacing w:after="200" w:before="200" w:line="240" w:lineRule="auto"/>
        <w:ind w:left="0" w:right="0" w:firstLine="0"/>
        <w:jc w:val="center"/>
        <w:rPr>
          <w:rFonts w:ascii="Times New Roman" w:cs="Times New Roman" w:eastAsia="Times New Roman" w:hAnsi="Times New Roman"/>
          <w:sz w:val="20"/>
          <w:szCs w:val="20"/>
        </w:rPr>
      </w:pPr>
      <w:commentRangeStart w:id="3"/>
      <w:r w:rsidDel="00000000" w:rsidR="00000000" w:rsidRPr="00000000">
        <w:rPr>
          <w:rFonts w:ascii="Times New Roman" w:cs="Times New Roman" w:eastAsia="Times New Roman" w:hAnsi="Times New Roman"/>
          <w:b w:val="1"/>
          <w:bCs w:val="1"/>
          <w:sz w:val="20"/>
          <w:szCs w:val="20"/>
          <w:rtl w:val="0"/>
        </w:rPr>
        <w:t xml:space="preserve">Figura 1. </w:t>
      </w:r>
      <w:sdt>
        <w:sdtPr>
          <w:id w:val="-1266412245"/>
          <w:tag w:val="goog_rdk_3"/>
        </w:sdtPr>
        <w:sdtContent>
          <w:r w:rsidDel="00000000" w:rsidR="00000000" w:rsidRPr="00000000">
            <w:rPr>
              <w:rFonts w:ascii="Cardo" w:cs="Cardo" w:eastAsia="Cardo" w:hAnsi="Cardo"/>
              <w:b w:val="0"/>
              <w:bCs w:val="0"/>
              <w:sz w:val="20"/>
              <w:szCs w:val="20"/>
              <w:rtl w:val="0"/>
            </w:rPr>
            <w:t xml:space="preserve">Diferencias pareadas del MAE, Δ = MAE(LSTM) − MAE(híbrido), e intervalos percentiles del 95 % agrupados por fecha de lluvia. Los valores positivos favorecen al modelo híbrido. Las escalas horizontales difieren; no se muestran valores p. Fuente: ta01-rolling-origin-bootstrap.json.</w:t>
          </w:r>
        </w:sdtContent>
      </w:sdt>
      <w:r w:rsidDel="00000000" w:rsidR="00000000" w:rsidRPr="00000000">
        <w:rPr>
          <w:rtl w:val="0"/>
        </w:rPr>
      </w:r>
      <w:commentRangeEnd w:id="3"/>
      <w:r>
        <w:commentReference w:id="3"/>
      </w:r>
    </w:p>
    <w:p w:rsidR="00000000" w:rsidDel="00000000" w:rsidP="00000000" w:rsidRDefault="00000000" w:rsidRPr="00000000" w14:paraId="000000BE">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LSTM y el modelo híbrido superaron la persistencia y ridge en las cuatro combinaciones de año y horizonte (tabla 4), aunque su orden relativo cambió. Esta comparación es retrospectiva y describe el banco de pruebas semisintético, sin demostrar transferencia a una mina real.</w:t>
      </w:r>
      <w:r w:rsidDel="00000000" w:rsidR="00000000" w:rsidRPr="00000000">
        <w:rPr>
          <w:rtl w:val="0"/>
        </w:rPr>
      </w:r>
    </w:p>
    <w:p w:rsidR="00000000" w:rsidDel="00000000" w:rsidP="00000000" w:rsidRDefault="00000000" w:rsidRPr="00000000" w14:paraId="000000B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selección según el menor MAE de validación no identificó el modelo con el menor MAE de prueba en tres de las cuatro combinaciones de año y horizonte. Para precipitaciones de al menos 5 mm/día, la cobertura nominal de los intervalos del 95 % fue del 33.3 % y 76.9 % a 1 h y 6 h en 2024, y del 59.3 % y 43.6 % en 2025. Solo hubo dos y tres fechas que cumplieran ese criterio, respectivamente. Estos diagnósticos indican inestabilidad en la selección de modelos y la calibración condicional dentro del banco de pruebas, pero no proporcionan una estimación fiable de cobertura para tormentas reales. La figura 2 muestra que la cobertura global no garantiza cobertura con lluvias más intensas.</w:t>
      </w:r>
      <w:r w:rsidDel="00000000" w:rsidR="00000000" w:rsidRPr="00000000">
        <w:rPr>
          <w:rtl w:val="0"/>
        </w:rPr>
      </w:r>
    </w:p>
    <w:p w:rsidR="00000000" w:rsidDel="00000000" w:rsidP="00000000" w:rsidRDefault="00000000" w:rsidRPr="00000000" w14:paraId="000000C0">
      <w:pPr>
        <w:keepNext w:val="1"/>
        <w:keepLines w:val="0"/>
        <w:widowControl w:val="1"/>
        <w:spacing w:after="0" w:before="200" w:line="240" w:lineRule="auto"/>
        <w:ind w:left="0" w:right="0" w:firstLine="0"/>
        <w:jc w:val="center"/>
        <w:rPr>
          <w:rFonts w:ascii="Times New Roman" w:cs="Times New Roman" w:eastAsia="Times New Roman" w:hAnsi="Times New Roman"/>
          <w:sz w:val="20"/>
          <w:szCs w:val="20"/>
        </w:rPr>
      </w:pPr>
      <w:r w:rsidDel="00000000" w:rsidR="00000000" w:rsidRPr="00000000">
        <w:rPr/>
        <w:drawing>
          <wp:inline distB="0" distT="0" distL="0" distR="0">
            <wp:extent cx="6119500" cy="2748460"/>
            <wp:effectExtent b="0" l="0" r="0" t="0"/>
            <wp:docPr id="15" name="image4.jpg" descr="Figura 2. Resultado TA-01 semisintético; data/validation/ta01-rolling-interval-coverage.csv"/>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6119500" cy="274846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 </w:t>
      </w:r>
      <w:sdt>
        <w:sdtPr>
          <w:id w:val="1841617126"/>
          <w:tag w:val="goog_rdk_4"/>
        </w:sdtPr>
        <w:sdtContent>
          <w:r w:rsidDel="00000000" w:rsidR="00000000" w:rsidRPr="00000000">
            <w:rPr>
              <w:rFonts w:ascii="Gungsuh" w:cs="Gungsuh" w:eastAsia="Gungsuh" w:hAnsi="Gungsuh"/>
              <w:b w:val="0"/>
              <w:bCs w:val="0"/>
              <w:sz w:val="20"/>
              <w:szCs w:val="20"/>
              <w:rtl w:val="0"/>
            </w:rPr>
            <w:t xml:space="preserve">Cobertura retrospectiva de los intervalos de predicción del modelo híbrido. La cobertura global se compara con la de precipitaciones ≥5 mm/día. La línea discontinua marca la cobertura nominal del 95 %. Para lluvias intensas, solo se incluyen dos fechas de 2024 y tres de 2025; las ventanas están correlacionadas. Fuente: ta01-rolling-interval-coverage.csv.</w:t>
          </w:r>
        </w:sdtContent>
      </w:sdt>
      <w:r w:rsidDel="00000000" w:rsidR="00000000" w:rsidRPr="00000000">
        <w:rPr>
          <w:rtl w:val="0"/>
        </w:rPr>
      </w:r>
    </w:p>
    <w:p w:rsidR="00000000" w:rsidDel="00000000" w:rsidP="00000000" w:rsidRDefault="00000000" w:rsidRPr="00000000" w14:paraId="000000C2">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3.4. PI4 Aproximación espacial del equilibrio discreto</w:t>
      </w:r>
      <w:r w:rsidDel="00000000" w:rsidR="00000000" w:rsidRPr="00000000">
        <w:rPr>
          <w:rtl w:val="0"/>
        </w:rPr>
      </w:r>
    </w:p>
    <w:p w:rsidR="00000000" w:rsidDel="00000000" w:rsidP="00000000" w:rsidRDefault="00000000" w:rsidRPr="00000000" w14:paraId="000000C3">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Para un evento semisintético, la aproximación espacial PIELM/RBF del sistema incremental del MEF produjo un error relativo L2 del desplazamiento del 12.57 % en 354 nodos, sin supervisión del desplazamiento, y un residuo relativo de equilibrio discreto del 14.39 %. El entrenamiento y la referencia compartieron la matriz de rigidez y la carga. Por ello, estos porcentajes miden concordancia interna, no validación independiente ni transferencia a otra geometría. Los sensores usados en la aproximación fueron sintéticos y no corresponden a instrumentación de campo de TA-01. La tabla 5 distingue las verificaciones analíticas de la concordancia bajo el operador compartido.</w:t>
      </w:r>
      <w:r w:rsidDel="00000000" w:rsidR="00000000" w:rsidRPr="00000000">
        <w:rPr>
          <w:rtl w:val="0"/>
        </w:rPr>
      </w:r>
    </w:p>
    <w:p w:rsidR="00000000" w:rsidDel="00000000" w:rsidP="00000000" w:rsidRDefault="00000000" w:rsidRPr="00000000" w14:paraId="000000C4">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Tabla 5. Alcance de la verificación numérica y espacial. Estas magnitudes no son errores de pronóstico temporal. CST: elemento triangular de deformación constante. Fuentes: ta01-fem-mesh-sensitivity.json y ta01-spatial-pinn-validation.json.</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tbl>
      <w:tblPr>
        <w:tblStyle w:val="Table5"/>
        <w:tblW w:w="9638.0" w:type="dxa"/>
        <w:jc w:val="center"/>
        <w:tblBorders>
          <w:top w:color="000000" w:space="0" w:sz="4" w:val="single"/>
          <w:bottom w:color="000000" w:space="0" w:sz="4" w:val="single"/>
          <w:insideH w:color="000000" w:space="0" w:sz="4" w:val="single"/>
        </w:tblBorders>
        <w:tblLayout w:type="fixed"/>
        <w:tblLook w:val="0400"/>
      </w:tblPr>
      <w:tblGrid>
        <w:gridCol w:w="2268"/>
        <w:gridCol w:w="1814"/>
        <w:gridCol w:w="1701"/>
        <w:gridCol w:w="3855"/>
        <w:tblGridChange w:id="0">
          <w:tblGrid>
            <w:gridCol w:w="2268"/>
            <w:gridCol w:w="1814"/>
            <w:gridCol w:w="1701"/>
            <w:gridCol w:w="3855"/>
          </w:tblGrid>
        </w:tblGridChange>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Verificación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Magnitud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Resultado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Alcance</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Prueba de parche CST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Deformación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1.14 × 10⁻¹⁸</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Campo afín; adimensional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Elasticidad global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Desplazamiento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1.62 × 10⁻¹¹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Solución analítica fabricada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Presión uniforme de Biot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Desplazamiento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1.60 × 10⁻¹¹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Solución analítica fabricada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Malla 30 × 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Diferencia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2.13 %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Respecto de la referencia interna de 48 × 32</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PIELM/RBF TA-01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Error relativo L2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12.57 %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354 nodos sin supervisión del desplazamiento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PIELM/RBF TA-01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Residuo relativo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14.39 %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Mismo operador de MEF de referencia</w:t>
            </w:r>
            <w:r w:rsidDel="00000000" w:rsidR="00000000" w:rsidRPr="00000000">
              <w:rPr>
                <w:rtl w:val="0"/>
              </w:rPr>
            </w:r>
          </w:p>
        </w:tc>
      </w:tr>
    </w:tbl>
    <w:p w:rsidR="00000000" w:rsidDel="00000000" w:rsidP="00000000" w:rsidRDefault="00000000" w:rsidRPr="00000000" w14:paraId="000000E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3.5. PI3 Robustez ante perturbaciones de entrada</w:t>
      </w:r>
      <w:r w:rsidDel="00000000" w:rsidR="00000000" w:rsidRPr="00000000">
        <w:rPr>
          <w:rtl w:val="0"/>
        </w:rPr>
      </w:r>
    </w:p>
    <w:p w:rsidR="00000000" w:rsidDel="00000000" w:rsidP="00000000" w:rsidRDefault="00000000" w:rsidRPr="00000000" w14:paraId="000000E3">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Con un 5 % de ruido en las entradas, el MAE de la LSTM aumentó un 5.13 % a 1 h y un 5.97 % a 6 h; el MAE del modelo híbrido aumentó un 53.88 % y un 46.10 %. Con un 30 % de valores faltantes, los aumentos fueron del 102.80 % y el 60.88 % para la LSTM, frente al 133.96 % y el 70.77 % para el modelo híbrido. La pequeña ventaja de la corrección con entradas limpias desapareció con ambas perturbaciones. La prueba utiliza datos faltantes aleatorios e imputación con la media, sin reentrenamiento; no reproduce todas las fallas de sensores ni evalúa el comportamiento en campo. Fuente: data/validation/ta01-model-robustness.json. La tabla 6 presenta los errores absolutos y la figura 3 resume la sensibilidad al ruido y a los datos faltantes.</w:t>
      </w:r>
      <w:r w:rsidDel="00000000" w:rsidR="00000000" w:rsidRPr="00000000">
        <w:rPr>
          <w:rtl w:val="0"/>
        </w:rPr>
      </w:r>
    </w:p>
    <w:p w:rsidR="00000000" w:rsidDel="00000000" w:rsidP="00000000" w:rsidRDefault="00000000" w:rsidRPr="00000000" w14:paraId="000000E4">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Tabla 6. MAE con entradas limpias y perturbadas. Las respuestas son semisintéticas y no se reentrenó con perturbaciones. Fuente: ta01-robustness-summary.csv.</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tbl>
      <w:tblPr>
        <w:tblStyle w:val="Table6"/>
        <w:tblW w:w="9638.0" w:type="dxa"/>
        <w:jc w:val="center"/>
        <w:tblBorders>
          <w:top w:color="000000" w:space="0" w:sz="4" w:val="single"/>
          <w:bottom w:color="000000" w:space="0" w:sz="4" w:val="single"/>
          <w:insideH w:color="000000" w:space="0" w:sz="4" w:val="single"/>
        </w:tblBorders>
        <w:tblLayout w:type="fixed"/>
        <w:tblLook w:val="0400"/>
      </w:tblPr>
      <w:tblGrid>
        <w:gridCol w:w="1200"/>
        <w:gridCol w:w="2350"/>
        <w:gridCol w:w="1300"/>
        <w:gridCol w:w="2400"/>
        <w:gridCol w:w="2388"/>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b/>
              </w:rPr>
              <w:t>Horizonte (h)</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b/>
              </w:rPr>
              <w:t>Condición</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b/>
              </w:rPr>
              <w:t>Ventanas</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b/>
              </w:rPr>
              <w:t>LSTM MAE (mm)</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b/>
              </w:rPr>
              <w:t>Híbrido MAE (mm)</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Limpias</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0.00000858</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0.00000798</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Ruido 5 %</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0.00000902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0.00001228</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1</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Faltantes 30 %</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1350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0.00001740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0.00001867</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Limpias</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0.00006332</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0.00006176</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Ruido 5 %</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0.00006710</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0.00009023</w:t>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200" w:type="dxa"/>
          </w:tcPr>
          <w:p>
            <w:pPr>
              <w:jc w:val="center"/>
              <w:spacing w:before="50" w:after="50" w:line="240" w:lineRule="auto"/>
            </w:pPr>
            <w:r>
              <w:rPr>
                <w:rFonts w:ascii="Times New Roman" w:hAnsi="Times New Roman" w:eastAsia="Times New Roman" w:cs="Times New Roman"/>
                <w:sz w:val="19"/>
              </w:rPr>
              <w:t>6</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50" w:type="dxa"/>
          </w:tcPr>
          <w:p>
            <w:pPr>
              <w:jc w:val="left"/>
              <w:spacing w:before="50" w:after="50" w:line="240" w:lineRule="auto"/>
            </w:pPr>
            <w:r>
              <w:rPr>
                <w:rFonts w:ascii="Times New Roman" w:hAnsi="Times New Roman" w:eastAsia="Times New Roman" w:cs="Times New Roman"/>
                <w:sz w:val="19"/>
              </w:rPr>
              <w:t>Faltantes 30 %</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1300" w:type="dxa"/>
          </w:tcPr>
          <w:p>
            <w:pPr>
              <w:jc w:val="center"/>
              <w:spacing w:before="50" w:after="50" w:line="240" w:lineRule="auto"/>
            </w:pPr>
            <w:r>
              <w:rPr>
                <w:rFonts w:ascii="Times New Roman" w:hAnsi="Times New Roman" w:eastAsia="Times New Roman" w:cs="Times New Roman"/>
                <w:sz w:val="19"/>
              </w:rPr>
              <w:t>975</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400" w:type="dxa"/>
          </w:tcPr>
          <w:p>
            <w:pPr>
              <w:jc w:val="center"/>
              <w:spacing w:before="50" w:after="50" w:line="240" w:lineRule="auto"/>
            </w:pPr>
            <w:r>
              <w:rPr>
                <w:rFonts w:ascii="Times New Roman" w:hAnsi="Times New Roman" w:eastAsia="Times New Roman" w:cs="Times New Roman"/>
                <w:sz w:val="19"/>
              </w:rPr>
              <w:t>0.00010187</w:t>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W w:w="2388" w:type="dxa"/>
          </w:tcPr>
          <w:p>
            <w:pPr>
              <w:jc w:val="center"/>
              <w:spacing w:before="50" w:after="50" w:line="240" w:lineRule="auto"/>
            </w:pPr>
            <w:r>
              <w:rPr>
                <w:rFonts w:ascii="Times New Roman" w:hAnsi="Times New Roman" w:eastAsia="Times New Roman" w:cs="Times New Roman"/>
                <w:sz w:val="19"/>
              </w:rPr>
              <w:t>0.00010547</w:t>
            </w:r>
          </w:p>
        </w:tc>
      </w:tr>
    </w:tbl>
    <w:p w:rsidR="00000000" w:rsidDel="00000000" w:rsidP="00000000" w:rsidRDefault="00000000" w:rsidRPr="00000000" w14:paraId="00000108">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keepNext w:val="1"/>
        <w:keepLines w:val="0"/>
        <w:widowControl w:val="1"/>
        <w:spacing w:after="0" w:before="200" w:line="240" w:lineRule="auto"/>
        <w:ind w:left="0" w:right="0" w:firstLine="0"/>
        <w:jc w:val="center"/>
        <w:rPr>
          <w:rFonts w:ascii="Times New Roman" w:cs="Times New Roman" w:eastAsia="Times New Roman" w:hAnsi="Times New Roman"/>
          <w:sz w:val="20"/>
          <w:szCs w:val="20"/>
        </w:rPr>
      </w:pPr>
      <w:r w:rsidDel="00000000" w:rsidR="00000000" w:rsidRPr="00000000">
        <w:rPr/>
        <w:drawing>
          <wp:inline distB="0" distT="0" distL="0" distR="0">
            <wp:extent cx="6119500" cy="2927642"/>
            <wp:effectExtent b="0" l="0" r="0" t="0"/>
            <wp:docPr id="14" name="image6.jpg" descr="Figura 3. Resultado TA-01 semisintético; data/validation/ta01-robustness-summary.csv"/>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6119500" cy="292764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Figura 3. Sensibilidad predictiva al ruido y a las entradas faltantes al azar. El ruido se expresa en relación con la desviación estándar de entrenamiento; las entradas faltantes se imputan con la media de entrenamiento. Cada punto compara una condición perturbada con el caso limpio del mismo modelo, sin reentrenamiento. Fuente: ta01-robustness-summary.csv.</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p w:rsidR="00000000" w:rsidDel="00000000" w:rsidP="00000000" w:rsidRDefault="00000000" w:rsidRPr="00000000" w14:paraId="0000010B">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commentRangeStart w:id="4"/>
      <w:r w:rsidDel="00000000" w:rsidR="00000000" w:rsidRPr="00000000">
        <w:rPr>
          <w:rFonts w:ascii="Times New Roman" w:cs="Times New Roman" w:eastAsia="Times New Roman" w:hAnsi="Times New Roman"/>
          <w:b w:val="0"/>
          <w:bCs w:val="0"/>
          <w:i w:val="0"/>
          <w:iCs w:val="0"/>
          <w:color w:val="000000"/>
          <w:sz w:val="20"/>
          <w:szCs w:val="20"/>
          <w:rtl w:val="0"/>
        </w:rPr>
        <w:t>Las pruebas complementarias de enmascaramiento reemplazaron las entradas hidrológicas o mecánicas por sus medias de entrenamiento durante la inferencia. Son pruebas de enmascaramiento sin reentrenamiento, no modelos entrenados sin esas variables. No aíslan la contribución causal de términos individuales de la función de corrección; ese análisis de ablación sigue pendiente.</w:t>
      </w:r>
      <w:r w:rsidDel="00000000" w:rsidR="00000000" w:rsidRPr="00000000">
        <w:rPr>
          <w:rtl w:val="0"/>
        </w:rPr>
      </w:r>
      <w:commentRangeEnd w:id="4"/>
      <w:r>
        <w:commentReference w:id="4"/>
      </w:r>
    </w:p>
    <w:p w:rsidR="00000000" w:rsidDel="00000000" w:rsidP="00000000" w:rsidRDefault="00000000" w:rsidRPr="00000000" w14:paraId="0000010E">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4. Discusión</w:t>
      </w:r>
      <w:r w:rsidDel="00000000" w:rsidR="00000000" w:rsidRPr="00000000">
        <w:rPr>
          <w:rtl w:val="0"/>
        </w:rPr>
      </w:r>
    </w:p>
    <w:p w:rsidR="00000000" w:rsidDel="00000000" w:rsidP="00000000" w:rsidRDefault="00000000" w:rsidRPr="00000000" w14:paraId="0000010F">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prototipo combina una sección mecánica reproducible, un modelo temporal entrenado y trazabilidad a nivel de predicción. En estudios con monitoreo de campo, la actualización de parámetros y la comparación con eventos observados son fundamentales para interpretar un gemelo digital (Liu et al., 2022; Piciullo et al., 2025). TA-01 carece de esa comparación: solo la lluvia diaria tiene un origen externo y la respuesta geotécnica sigue los supuestos del modelo. Por tanto, un error de pronóstico bajo mide la reproducción del generador, no la precisión de una alerta minera.</w:t>
      </w:r>
      <w:r w:rsidDel="00000000" w:rsidR="00000000" w:rsidRPr="00000000">
        <w:rPr>
          <w:rtl w:val="0"/>
        </w:rPr>
      </w:r>
    </w:p>
    <w:p w:rsidR="00000000" w:rsidDel="00000000" w:rsidP="00000000" w:rsidRDefault="00000000" w:rsidRPr="00000000" w14:paraId="0000011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Se ha investigado el uso de conocimiento físico en predictores de estabilidad de taludes (Dahal &amp; Lombardo, 2025; Pei et al., 2023). En este estudio, la monotonía confiere a la corrección una propiedad verificable, pero su efecto en el MAE cambia de signo entre los dos años. Esta variación y los intervalos que incluyen cero respaldan tratar ambos predictores como alternativas experimentales. La evaluación espacial incorpora el equilibrio discreto, pero depende del mismo operador del MEF utilizado como referencia; no demuestra una PINN completa de las ecuaciones de campo para TA-01.</w:t>
      </w:r>
      <w:r w:rsidDel="00000000" w:rsidR="00000000" w:rsidRPr="00000000">
        <w:rPr>
          <w:rtl w:val="0"/>
        </w:rPr>
      </w:r>
    </w:p>
    <w:p w:rsidR="00000000" w:rsidDel="00000000" w:rsidP="00000000" w:rsidRDefault="00000000" w:rsidRPr="00000000" w14:paraId="0000011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El estudio no incluyó una evaluación comparable del tiempo de entrenamiento, el tiempo de inferencia, el consumo de energía ni la latencia de extremo a extremo. Aunque algunos artefactos contienen mediciones parciales de inferencia, esos datos no bastan para establecer la eficiencia operativa. Por ello, el experimento evalúa el error de predicción y la robustez interna. La pequeña mejora absoluta del MAE en la partición con fechas separadas también debe considerarse junto con la degradación de la corrección ante entradas perturbadas.</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2">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Los resultados numéricos deben interpretarse con cautela. Antes de construir las ventanas de predicción, el posprocesamiento del MEF redondea las magnitudes nodales en incrementos de 10⁻⁵ mm (10⁻⁸ m). Un MAE promedio inferior a este incremento es matemáticamente posible, pero no demuestra una resolución física ni la precisión de los instrumentos. Antes de evaluar su relevancia geotécnica, debe analizarse la sensibilidad de las diferencias de error a la precisión de almacenamiento y a la tolerancia del solucionador.</w:t>
      </w:r>
    </w:p>
    <w:p w:rsidR="00000000" w:rsidDel="00000000" w:rsidP="00000000" w:rsidRDefault="00000000" w:rsidRPr="00000000" w14:paraId="00000113">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MEF supone deformación plana y elasticidad lineal, mientras que la inestabilidad real puede incluir plasticidad, discontinuidades, heterogeneidad y flujo transitorio. La concordancia con una malla interna más fina no demuestra convergencia monótona; del mismo modo, una referencia externa de reducción de resistencia no valida el MEF lineal desarrollado internamente. El índice calculado por el visualizador no debe tratarse como un FS obtenido mediante reducción de resistencia. La validación de campo requeriría propiedades medidas de los materiales y series temporales de sensores, verificaciones geotécnicas independientes, eventos excluidos del ajuste del modelo, análisis de incertidumbre y criterios de alerta validados. Para evaluar la sensibilidad a la excavación, también sería necesario modelar cambios geométricos y contrastarlos con datos pertinentes.</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tl w:val="0"/>
        </w:rPr>
      </w:r>
    </w:p>
    <w:p w:rsidR="00000000" w:rsidDel="00000000" w:rsidP="00000000" w:rsidRDefault="00000000" w:rsidRPr="00000000" w14:paraId="00000114">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4.1. Amenazas a la validez</w:t>
      </w:r>
      <w:r w:rsidDel="00000000" w:rsidR="00000000" w:rsidRPr="00000000">
        <w:rPr>
          <w:rtl w:val="0"/>
        </w:rPr>
      </w:r>
    </w:p>
    <w:p w:rsidR="00000000" w:rsidDel="00000000" w:rsidP="00000000" w:rsidRDefault="00000000" w:rsidRPr="00000000" w14:paraId="00000115">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Validez interna. El generador y los modelos de aprendizaje utilizan variables derivadas del mismo MEF, lo que puede favorecer la concordancia entre ellos. La separación por fechas, las pruebas cronológicas y la perturbación de entradas retenidas reducen la fuga temporal, pero los resultados siguen dependiendo del generador. En el experimento se conoce la precipitación futura, por lo que se trata de una entrada idealizada y no de información operativa sin error. El reemplazo por la media también puede producir combinaciones fuera de la distribución conjunta del generador.</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6">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Validez de constructo. El objetivo del modelo es el desplazamiento máximo inducido por la lluvia respecto del estado inicial; no es el desplazamiento total ni un FS obtenido mediante reducción de resistencia. La corrección monótona representa conocimiento físico agregado, pero no es una PINN que imponga plenamente las ecuaciones de campo. Las conclusiones se formulan de acuerdo con estas definiciones.</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7">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Validez externa. TA-01 se evaluó con una sola geometría, rangos supuestos de propiedades de materiales y perfiles de lluvia simplificados. El estudio no evaluó otras litologías, condiciones de excavación, configuraciones de sensores ni fallas observadas. Por tanto, estos experimentos no permiten generalizar los resultados a una mina real.</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8">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Validez de las conclusiones. La unidad de remuestreo fue la fecha de lluvia, no la ventana horaria. No se definieron antes del análisis un cálculo de potencia ni un umbral de equivalencia; por ello, los intervalos de confianza que incluyen cero no demuestran equivalencia. Los subconjuntos de lluvia intensa incluyen solo dos fechas en 2024 y tres en 2025, de modo que sus estimaciones de cobertura son inestables. El análisis tampoco evaluó la sensibilidad a la precisión de almacenamiento del MEF ni la variación entre semillas de entrenamiento.</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9">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4.2. Uso responsable</w:t>
      </w:r>
      <w:r w:rsidDel="00000000" w:rsidR="00000000" w:rsidRPr="00000000">
        <w:rPr>
          <w:rtl w:val="0"/>
        </w:rPr>
      </w:r>
    </w:p>
    <w:p w:rsidR="00000000" w:rsidDel="00000000" w:rsidP="00000000" w:rsidRDefault="00000000" w:rsidRPr="00000000" w14:paraId="0000011A">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El prototipo no debe utilizarse para emitir alertas operativas de forma autónoma. Un falso negativo podría retrasar una inspección o evacuación; un falso positivo podría interrumpir innecesariamente las operaciones. Cualquier uso futuro requeriría umbrales validados en campo, sensores redundantes, registros de versiones, revisión por un profesional de geotecnia y un procedimiento de escalamiento definido.</w:t>
      </w:r>
      <w:r w:rsidDel="00000000" w:rsidR="00000000" w:rsidRPr="00000000">
        <w:rPr>
          <w:rFonts w:ascii="Times New Roman" w:cs="Times New Roman" w:eastAsia="Times New Roman" w:hAnsi="Times New Roman"/>
          <w:b w:val="0"/>
          <w:bCs w:val="0"/>
          <w:i w:val="0"/>
          <w:iCs w:val="0"/>
          <w:color w:val="000000"/>
          <w:sz w:val="20"/>
          <w:szCs w:val="20"/>
          <w:rtl w:val="0"/>
        </w:rPr>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11B">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5. Conclusiones</w:t>
      </w:r>
      <w:r w:rsidDel="00000000" w:rsidR="00000000" w:rsidRPr="00000000">
        <w:rPr>
          <w:rtl w:val="0"/>
        </w:rPr>
      </w:r>
    </w:p>
    <w:p w:rsidR="00000000" w:rsidDel="00000000" w:rsidP="00000000" w:rsidRDefault="00000000" w:rsidRPr="00000000" w14:paraId="0000011C">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Para la PI1, el modelo híbrido obtuvo el menor MAE en la partición con fechas separadas, con reducciones relativas del 6.99 % a 1 h y del 2.46 % a 6 h frente a la LSTM. Sin embargo, el orden cambió entre las pruebas cronológicas.</w:t>
      </w:r>
      <w:r w:rsidDel="00000000" w:rsidR="00000000" w:rsidRPr="00000000">
        <w:rPr>
          <w:rtl w:val="0"/>
        </w:rPr>
      </w:r>
    </w:p>
    <w:p w:rsidR="00000000" w:rsidDel="00000000" w:rsidP="00000000" w:rsidRDefault="00000000" w:rsidRPr="00000000" w14:paraId="0000011D">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PI2 no encontró una ventaja consistente de la corrección residual: la LSTM obtuvo mejores resultados en 2024 y el modelo híbrido en 2025; los cuatro intervalos pareados incluyeron cero. Para la PI3, ambos modelos se degradaron ante el ruido y los datos faltantes, pero el modelo híbrido presentó aumentos relativos y absolutos mayores del error en las condiciones evaluadas. Por tanto, la calidad de las entradas es fundamental para este prototipo.</w:t>
      </w:r>
      <w:r w:rsidDel="00000000" w:rsidR="00000000" w:rsidRPr="00000000">
        <w:rPr>
          <w:rtl w:val="0"/>
        </w:rPr>
      </w:r>
    </w:p>
    <w:p w:rsidR="00000000" w:rsidDel="00000000" w:rsidP="00000000" w:rsidRDefault="00000000" w:rsidRPr="00000000" w14:paraId="0000011E">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PI4 verificó partes de la implementación del MEF mediante pruebas internas y encontró concordancia parcial de la aproximación espacial bajo el mismo operador. Estas verificaciones no constituyen una validación geotécnica independiente. TA-01 es una prueba de concepto semisintética para investigar el flujo de trabajo MEF–LSTM; no valida alertas operativas, desempeño en tiempo real, un FS operativo ni una PINN de las ecuaciones rectoras.</w:t>
      </w:r>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Disponibilidad de datos y código</w:t>
      </w:r>
    </w:p>
    <w:p w:rsidR="00000000" w:rsidDel="00000000" w:rsidP="00000000" w:rsidRDefault="00000000" w:rsidRPr="00000000" w14:paraId="00000120">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código, los scripts, los escenarios semisintéticos, los pesos entrenados y los archivos de validación están disponibles en el repositorio público sslope (https://github.com/RobertoA1/sslope). El manifiesto data/validation/ta01-replication-manifest.json registra los hashes SHA-256 de las entradas y salidas. El código y la documentación utilizan la licencia MIT; las contribuciones originales en data/generated/, data/models/ y data/validation/ utilizan CC BY 4.0 (data/LICENSE.md). La precipitación de NASA POWER y otras fuentes externas conservan la procedencia y las condiciones de uso que se documentan por separado. El archivo README explica la ejecución y Docker Compose reproduce el servicio web local. No se fijan las versiones de Python para todos los experimentos y todavía no se ha depositado una versión de publicación inmutable, lo que limita la reproducción exacta. En TA-01 no se procesaron datos personales ni confidenciales.</w:t>
      </w:r>
      <w:r w:rsidDel="00000000" w:rsidR="00000000" w:rsidRPr="00000000">
        <w:rPr>
          <w:rtl w:val="0"/>
        </w:rPr>
      </w:r>
    </w:p>
    <w:p w:rsidR="00000000" w:rsidDel="00000000" w:rsidP="00000000" w:rsidRDefault="00000000" w:rsidRPr="00000000" w14:paraId="00000121">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6. Referencias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Anchiraico Alderete, J. K., Orellana Mendoza, E. E., Ayre Balbin, V., &amp; Toykin Mucha, C. R. (2026).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Tecnologías de la información aplicadas a la simulación probabilística de estabilidad geotécnica mediante Python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Zenodo. https://doi.org/10.5281/zenodo.21273130</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Arias-Valencia, D. C., &amp; Aristizábal-Arias, J. A. (2024). Análisis probabilístico de estabilidad de taludes con falla planar en la Comuna Universitaria de la ciudad de Manizales (Colombia).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Información Tecnológica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1–10. https://doi.org/10.4067/S0718-07642024000300001</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Avellán, E., Carrera, J., &amp; Sánchez, D. (2023). Análisis tenso-deformacional del talud ubicado en la Avenida Mariscal Sucre, sector La Comuna.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Green World Journal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https://doi.org/10.53313/gwj62090</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Blas Cano, J. W., &amp; Milla Vergara, E. A. (2023). Caracterización geotécnica para determinar el modelo de estabilización del talud a escala reducida.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del Instituto de Investigación de la Facultad de Minas, Metalurgia y Ciencias Geográficas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e24403. https://doi.org/10.15381/iigeo.v26i51.24403</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Briceño, J., Guillén, M., Belandria, N., &amp; León, F. (2023). Análisis de estabilidad de taludes de secciones típicas en la construcción de carreteras a través de modelos numéricos. Tekhné, 26(3), 62–72. https://doi.org/10.62876/tekhn.v26i3.6137</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Briceño Balza, J. E., Belandria Rodriguez, N. T., &amp; León Oviedo, F. M. (2022). Ubicación y profundidad de la grieta de tracción en taludes con el empleo de modelos numéricos.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Técnica de la Facultad de Ingeniería Universidad del Zulia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111–121. https://doi.org/10.22209/rt.v45n2a04</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Bustillos Cotrado, J. A. (2024). Análisis bidimensional de estabilidad del talud en una zona de falla geológica en Chinchao, Huánuco, Perú.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Peruana de Ingeniería, Arquitectura y Medio Ambiente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9–17. https://doi.org/10.37711/repiama.2024.1.1.2</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Caballero, C., Castillo, P., Castrellón, J., &amp; Rodríguez, S. (2023). Análisis geomecánico mediante modelo de estabilidad de laderas en la zona de Bambito (Chiriquí).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de Iniciación Científica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91–97. https://doi.org/10.33412/rev-ric.v9.2.3846</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F., Mora, R., Sequeira, J., &amp; Garnier, M. (2022). Aplicación de análisis de admisibilidad cinemática y equilibrio límite para optimizar la geometría de explotación de una cantera en el cantón de León Cortes, San José, Costa Rica.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Geológica de América Central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(66), 1–25. https://doi.org/10.15517/rgac.v66i0.49786</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Catari Colque, P. P., Barriga Paria, C. J., Villanueva Ari, C. R., Gomez Velasquez, J. M., Alvarado Ramirez, H. L., Melgar Raymundo, D. R., &amp; Chirinos Quintanilla, E. A. (2025). Optimización del diseño de talud en minería superficial mediante el método de elementos finitos.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Novasinergia Revista Digital de Ciencia, Ingeniería y Tecnología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33–51. https://doi.org/10.37135/ns.01.15.09</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Chilon Chilon, R. (2025). Análisis de relaves filtrados para la estabilización física en la conformación de una presa.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Aporte Santiaguino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157–168. https://doi.org/10.32911/as.2025.v18.n2.1232</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Cusme Intriago, R. R., Herrera Martínez, Y. A., Lagla Guishcasho, A. E., &amp; Cruz Aguinda, E. A. (2026). Análisis de estabilidad de taludes para el reservorio de la comunidad de Maca Atapulo.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RECIAMUC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especial), 189–197. https://doi.org/10.26820/reciamuc/10.(1).especial.2026.189-197</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Dahal, A., &amp; Lombardo, L. (2025). Towards physics-informed neural networks for landslide prediction.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Engineering Geology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107852. https://doi.org/10.1016/j.enggeo.2024.107852</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Dong, X., Li, S., Ma, R., Tian, W., Zhao, K., Xiang, H., … Qiu, Y. (2025). Cloud-based slope risk monitoring and early warning system for open-pit coal mines: A case study of Zhonglian Runshi.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44396. https://doi.org/10.1038/s41598-025-28190-4</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 K., Li, S., &amp; Li, C. (2026). An integrated simulation–AI framework for fast stability evaluation and risk-control-oriented design of open-pit mine slopes.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4932. https://doi.org/10.3390/app16104932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Field, C. A., &amp; Welsh, A. H. (2007). Bootstrapping clustered data.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the Royal Statistical Society: Series B (Statistical Methodology), 69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369–390. https://doi.org/10.1111/j.1467-9868.2007.00593.x</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González Serrano, D. H. (2025). Metodología aplicada al análisis geotécnico y evaluación de la estabilidad de taludes mediante SIG en entornos mineros.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Científica de Salud y Desarrollo Humano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797–829. https://doi.org/10.61368/r.s.d.h.v6i4.907</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Guan, Z., &amp; Wang, Y. (2024). Fusion of three-dimensional geotechnical and geophysical data for developing digital twin of underground space.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Soils and Foundations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101528. https://doi.org/10.1016/j.sandf.2024.101528</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Gómez Intriago, E. C., Guevara Sánchez, D. F., &amp; Ortiz Hernández, E. (2024). Diseño de estabilidad de talud del sector de la Simbocal, vía Margarita-San Vicente, provincia de Manabí. Polo del Conocimiento, 9(3), 1905–1917. https://doi.org/10.23857/pc.v9i3.6761</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Hamzaban, M.-T., Kanoundoust, S., &amp; Geraili Mikola, R. (2026). Evaluating 2D and 3D slope stability in a complex open-pit mine: A CAD-based numerical study.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28126. https://doi.org/10.1038/s41598-026-58822-2</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Hochreiter, S., &amp; Schmidhuber, J. (1997). Long short-term memory.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Neural Computation, 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1735–1780. https://doi.org/10.1162/neco.1997.9.8.1735</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Karniadakis, G. E., Kevrekidis, I. G., Lu, L., Perdikaris, P., Wang, S., &amp; Yang, L. (2021). Physics-informed machine learning.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Reviews Physics, 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422–440. https://doi.org/10.1038/s42254-021-00314-5</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Kingma, D. P., &amp; Ba, J. (2015).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Adam: A method for stochastic optimization.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International Conference on Learning Representations. https://arxiv.org/abs/1412.6980</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Liu, X., Wang, Y., Koo, R. C. H., &amp; Kwan, J. S. H. (2022). Development of a slope digital twin for predicting temporal variation of rainfall-induced slope instability using past slope performance records and monitoring data.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Engineering Geology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308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106825. https://doi.org/10.1016/j.enggeo.2022.106825</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Liu, Y., &amp; Jia, C. (2026). Integrating deep neural network with elastoplastic analysis: A hybrid approach for slope stability analysis.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Earth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368. https://doi.org/10.1007/s12665-026-13107-9</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Lyu, J., Hu, T., Liu, G., Cao, B., Wang, W., &amp; Li, S. (2024). Stability evaluation of open-pit mine slope based on Bayesian optimization 1D-CNN.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13995. https://doi.org/10.1038/s41598-024-64663-8</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Montúfar Chiriboga, G. J. (2025). Estudio de la estabilidad de taludes en Panamá bajo diferentes condiciones de carga utilizando elementos finitos.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Saberes APUDEP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40–54. https://doi.org/10.48204/j.saberes.v8n1.a6780</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Nanda, S., &amp; Patel, S. (2026). Evaluating LEM, FEM, and DFN approaches for rock slope stability across GSI ranges for open-pit mine.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Advance online publication. https://doi.org/10.1038/s41598-026-62662-5</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Aeronautics and Space Administration. (n.d.).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Prediction Of Worldwide Energy Resources (POWER)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[Dataset]. Retrieved September 22, 2026, from https://power.larc.nasa.gov/</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Oliva González, A. O., Berumen Rodríguez, M. A., &amp; Mascareño Jiménez, D. (2023). Procedimiento práctico para evaluar la estabilidad y probabilidad de falla de taludes de corte en el área urbana de Tijuana, México.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Ingenio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16–23. https://doi.org/10.22463/2011642X.3364</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Pei, T., Qiu, T., &amp; Shen, C. (2023). Applying knowledge-guided machine learning to slope stability prediction.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Geotechnical and Geoenvironmental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04023089. https://doi.org/10.1061/JGGEFK.GTENG-11053</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Peña Anampa, I. V., Vera Teves, R. M., Vasquez Ramirez, A. A., &amp; Gálvez Quintana, M. A. (2023). Evaluación del peligro por inestabilidad de taludes en la ruta PE-3S, Abancay.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Hatun Yachay Wasi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40–51. https://doi.org/10.57107/hyw.v2i2.45</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Piciullo, L., Abraham, M. T., Drøsdal, I. N., &amp; Paulsen, E. S. (2025). An operational IoT-based slope stability forecast using a digital twin.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Environmental Modelling &amp; Software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183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106228. https://doi.org/10.1016/j.envsoft.2024.106228</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Ragam, P., Kushal Kumar, N., Ajith, J. E., Karthik, G., Himanshu, V. K., Sree Machupalli, D., &amp; Ramesh Murlidhar, B. (2024). Estimation of slope stability using ensemble-based hybrid machine learning approaches.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Frontiers in Materials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1330609. https://doi.org/10.3389/fmats.2024.1330609</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Raissi, M., Perdikaris, P., &amp; Karniadakis, G. E. (2019). Physics-informed neural networks: A deep learning framework for solving forward and inverse problems involving nonlinear partial differential equations.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Computational Physics, 378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686–707. https://doi.org/10.1016/j.jcp.2018.10.045</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Sequeira-Arguedas, J. M. (2023). Contexto de inestabilidad de laderas en la Ruta Nacional 613 en 2020, Coto Brus, Costa Rica. Infraestructura Vial, 25(44), 1–14. https://doi.org/10.15517/iv.v25i44.54752</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 W., Wu, S., Li, Y., &amp; Guo, Q. (2025). Digital twins’ application for geotechnical engineering: A review of current status and future directions in China.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8229. https://doi.org/10.3390/app15158229</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Tian, Y., Yang, Y., Ma, L., Qi, X., &amp; Lu, X. (2026). Enhancing the safety assessment of open-pit mine slopes with interpretable, data-driven stacking learning and three-dimensional stability analysis.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Engineering Applications of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114862. https://doi.org/10.1016/j.engappai.2026.114862</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Úcar Navarro, R., Arlegui Crespo, L., Belandria Rodríguez, N., &amp; Toro Mora, R. (2024). Criterios de rotura no lineales para la estabilidad de taludes en macizos rocosos con deslizamiento plano.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Geogaceta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99–102. https://doi.org/10.55407/geogaceta100833</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Wang, S., Zhang, Z., &amp; Wang, C. (2023). Prediction of stability coefficient of open-pit mine slope based on artificial intelligence deep learning algorithm.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12017. https://doi.org/10.1038/s41598-023-38896-y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Yiğit, A. Y., &amp; Şenol, H. İ. (2025). Surface change and stability analysis in open-pit mines using UAV photogrammetric data and geospatial analysis.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Drones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472. https://doi.org/10.3390/drones9070472</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Yin, L., Wang, D., Xing, X., Meng, X., &amp; Wu, Y. (2025). Research on 3D stability algorithm of spatial concave slope.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22656. https://doi.org/10.1038/s41598-025-07733-9</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Yuan, J., Liu, G., &amp; Chai, S. (2024). 3D geological fine modeling and dynamic updating method of fault slope in open-pit coal mine.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29906. https://doi.org/10.1038/s41598-024-81872-3</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Zamora Nevado, R. M., &amp; Medina Vásquez, Y. E. (2023). Diseño de aplicativo en Python como soporte de enseñanza aprendizaje para la estabilidad de taludes.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Revista del Instituto de Investigación de la Facultad de Minas, Metalurgia y Ciencias Geográficas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e25004. https://doi.org/10.15381/iigeo.v26i52.25004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Zhang, S., Ding, L., Xie, M., He, X., Yang, R., &amp; Tong, C. (2024). Reliability analysis of slope stability by neural network, principal component analysis, and transfer learning techniques.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Rock Mechanics and Geotechnical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4034–4045. https://doi.org/10.1016/j.jrmge.2023.06.023</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Zhang, Z., Wang, B., Li, Z., Ye, X., Sun, Z., &amp; Dias, D. (2024). Physics-guided neural network-based framework for 3D modeling of slope stability.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Computers and Geotechnics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176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106801. https://doi.org/10.1016/j.compgeo.2024.106801</w:t>
      </w:r>
    </w:p>
    <w:p w:rsidR="00000000" w:rsidDel="00000000" w:rsidP="00000000" w:rsidRDefault="00000000" w:rsidRPr="00000000" w14:paraId="00000150">
      <w:pPr>
        <w:keepNext w:val="1"/>
        <w:keepLines w:val="0"/>
        <w:widowControl w:val="1"/>
        <w:spacing w:after="200" w:before="20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Apéndice A. Mapa contextual de la literatura</w:t>
      </w:r>
      <w:r w:rsidDel="00000000" w:rsidR="00000000" w:rsidRPr="00000000">
        <w:rPr>
          <w:rtl w:val="0"/>
        </w:rPr>
      </w:r>
    </w:p>
    <w:p w:rsidR="00000000" w:rsidDel="00000000" w:rsidP="00000000" w:rsidRDefault="00000000" w:rsidRPr="00000000" w14:paraId="0000015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La tabla A1 enumera los cuarenta trabajos contextuales conservados en la bibliografía del manuscrito. Los temas se basan en sus objetos de investigación; el inventario no constituye una revisión sistemática y el desempeño informado en esos trabajos no se utiliza como evidencia numérica para TA-01. El subconjunto directamente relacionado se analiza en la tabla 1.</w:t>
      </w:r>
      <w:r w:rsidDel="00000000" w:rsidR="00000000" w:rsidRPr="00000000">
        <w:rPr>
          <w:rtl w:val="0"/>
        </w:rPr>
      </w:r>
    </w:p>
    <w:p w:rsidR="00000000" w:rsidDel="00000000" w:rsidP="00000000" w:rsidRDefault="00000000" w:rsidRPr="00000000" w14:paraId="00000152">
      <w:pPr>
        <w:keepNext w:val="1"/>
        <w:keepLines w:val="1"/>
        <w:widowControl w:val="1"/>
        <w:spacing w:after="200" w:before="20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Tabla A1. Temas metodológicos contextuales y fuentes citadas.</w:t>
      </w:r>
      <w:r w:rsidDel="00000000" w:rsidR="00000000" w:rsidRPr="00000000">
        <w:rPr>
          <w:rFonts w:ascii="Times New Roman" w:cs="Times New Roman" w:eastAsia="Times New Roman" w:hAnsi="Times New Roman"/>
          <w:b w:val="0"/>
          <w:bCs w:val="0"/>
          <w:sz w:val="20"/>
          <w:szCs w:val="20"/>
          <w:rtl w:val="0"/>
        </w:rPr>
      </w:r>
      <w:r w:rsidDel="00000000" w:rsidR="00000000" w:rsidRPr="00000000">
        <w:rPr>
          <w:rtl w:val="0"/>
        </w:rPr>
      </w:r>
    </w:p>
    <w:tbl>
      <w:tblPr>
        <w:tblStyle w:val="Table7"/>
        <w:tblW w:w="9638.0" w:type="dxa"/>
        <w:jc w:val="center"/>
        <w:tblBorders>
          <w:top w:color="000000" w:space="0" w:sz="4" w:val="single"/>
          <w:bottom w:color="000000" w:space="0" w:sz="4" w:val="single"/>
          <w:insideH w:color="000000" w:space="0" w:sz="4" w:val="single"/>
        </w:tblBorders>
        <w:tblLayout w:type="fixed"/>
        <w:tblLook w:val="0400"/>
      </w:tblPr>
      <w:tblGrid>
        <w:gridCol w:w="680"/>
        <w:gridCol w:w="3005"/>
        <w:gridCol w:w="5953"/>
        <w:tblGridChange w:id="0">
          <w:tblGrid>
            <w:gridCol w:w="680"/>
            <w:gridCol w:w="3005"/>
            <w:gridCol w:w="5953"/>
          </w:tblGrid>
        </w:tblGridChange>
      </w:tblGrid>
      <w:tr>
        <w:trPr>
          <w:cantSplit w:val="1"/>
          <w:tblHeader w:val="1"/>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Estudio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Tema metodológico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Liu, X., et al. (2022)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Gemelo digital de talud con registros de desempeño y monitoreo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Liu y Jia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Redes neuronales acopladas al análisis elastoplástico de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Pei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Aprendizaje guiado por conocimiento para la estabilidad de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Wang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Aprendizaje profundo para coeficientes de estabilidad de minas a cielo abierto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Lyu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Optimización bayesiana de clasificadores convolucionales de estabilidad</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Zhang, Z.,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Modelado tridimensional de taludes guiado por la física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Guan y Wang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Fusión de datos geotécnicos y geofísicos para gemelos digitales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Ragam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Aprendizaje en conjunto e híbrido para la estabilidad de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E-09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Zhang, S.,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Confiabilidad, componentes principales y aprendizaje por transferencia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Yuan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Modelado geológico tridimensional dinámico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Yiğit y Şenol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Fotogrametría con UAV y análisis geoespacial de cambios en la superficie</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Dahal y Lombardo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Aprendizaje informado por la física para predecir deslizamientos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Yin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Algoritmos tridimensionales para la estabilidad de taludes cóncavos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Piciullo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Pronóstico operativo de estabilidad mediante gemelo digital basado en IoT</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Tan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Revisión de gemelos digitales geotécnicos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Dong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Monitoreo de taludes y alerta temprana basados en la nube</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Nanda y Patel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Equilibrio límite, MEF y redes de fracturas discretas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Hamzaban et al.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Comparación de estabilidad de minas a cielo abierto en dos y tres dimensiones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E-19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Tian et al.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Ensamblado interpretable y estabilidad tridimensional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 et al.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Simulación e IA para el diseño de minas a cielo abierto orientado al riesgo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Catari Colque et al.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Diseño de taludes de minas superficiales mediante MEF</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Bustillos Cotrado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Análisis bidimensional de taludes en una zona de falla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Cusme Intriago et al.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Estabilidad de taludes en torno a un reservorio comunitario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Peña Anampa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Peligro de inestabilidad de taludes en un corredor vial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Briceño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Comparación numérica de secciones de taludes viales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Gómez Intriago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Diseño geotécnico para estabilizar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Oliva González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Estabilidad y probabilidad de falla de taludes de corte</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Caballero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Evaluación geomecánica de la estabilidad de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S-09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Blas Cano y Milla Vergara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Modelo geotécnico de estabilización a escala reducida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Avellán et al.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Análisis de esfuerzos y deformaciones de un talud urbano</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S-11</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Úcar Navarro et al.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Criterios de falla no lineales para el deslizamiento plano de roca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Montúfar Chiriboga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Análisis de taludes mediante MEF bajo distintas condiciones de carga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Chilon Chilon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Relaves filtrados y estabilidad física de presas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Campos et al. (2022)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Diseño de canteras mediante análisis cinemático y equilibrio límite</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Sequeira-Arguedas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Evaluación regional de la inestabilidad de taludes a lo largo de una vía</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González Serrano (2025)</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Evaluación geotécnica de taludes mineros con apoyo de SIG</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S-17</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Arias-Valencia y Aristizábal-Arias (2024)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Evaluación probabilística del deslizamiento planar</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S-18</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Anchiraico Alderete et al. (2026)</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Simulación geotécnica probabilística en Python</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S-19</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Zamora Nevado y Medina Vásquez (2023)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Aplicación en Python para enseñar estabilidad de taludes</w:t>
            </w:r>
            <w:r w:rsidDel="00000000" w:rsidR="00000000" w:rsidRPr="00000000">
              <w:rPr>
                <w:rtl w:val="0"/>
              </w:rPr>
            </w:r>
          </w:p>
        </w:tc>
      </w:tr>
      <w:tr>
        <w:trPr>
          <w:cantSplit w:val="1"/>
          <w:tblHeader w:val="0"/>
        </w:trPr>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S-20</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Briceño Balza et al. (2022)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55.0" w:type="dxa"/>
              <w:left w:w="75.0" w:type="dxa"/>
              <w:bottom w:w="55.0" w:type="dxa"/>
              <w:right w:w="75.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Ubicación y profundidad de grietas de tracción mediante métodos numéricos</w:t>
            </w:r>
            <w:r w:rsidDel="00000000" w:rsidR="00000000" w:rsidRPr="00000000">
              <w:rPr>
                <w:rtl w:val="0"/>
              </w:rPr>
            </w:r>
          </w:p>
        </w:tc>
      </w:tr>
    </w:tbl>
    <w:p w:rsidR="00000000" w:rsidDel="00000000" w:rsidP="00000000" w:rsidRDefault="00000000" w:rsidRPr="00000000" w14:paraId="000001CE">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RESUMEN</w:t>
      </w:r>
    </w:p>
    <w:p w:rsidR="00000000" w:rsidDel="00000000" w:rsidP="00000000" w:rsidRDefault="00000000" w:rsidRPr="00000000" w14:paraId="000001D0">
      <w:pPr>
        <w:keepNext w:val="1"/>
        <w:keepLines w:val="0"/>
        <w:widowControl w:val="1"/>
        <w:spacing w:after="200" w:before="20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Evaluación semisintética de pronósticos del desplazamiento del talud con MEF y LSTM</w:t>
      </w:r>
      <w:r w:rsidDel="00000000" w:rsidR="00000000" w:rsidRPr="00000000">
        <w:rPr>
          <w:rtl w:val="0"/>
        </w:rPr>
      </w:r>
    </w:p>
    <w:p w:rsidR="00000000" w:rsidDel="00000000" w:rsidP="00000000" w:rsidRDefault="00000000" w:rsidRPr="00000000" w14:paraId="000001D1">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Este estudio evalúa un prototipo semisintético para pronosticar el desplazamiento de taludes mediante un modelo bidimensional de elementos finitos (MEF), una red de memoria a corto y largo plazo (LSTM) y una corrección residual sujeta a monotonía. El talud experimental TA-01 utiliza una geometría y propiedades de materiales supuestas, la precipitación diaria de reanálisis de NASA POWER para un punto cercano a Cerro de Pasco, Perú, durante 2020–2025, y 500 escenarios simulados con 24 estados horarios cada uno. Se simularon las presiones de poros y los desplazamientos. Se compararon la persistencia, la regresión ridge, la LSTM y el modelo híbrido para horizontes de una y seis horas, con fechas de lluvia disjuntas y dos pruebas cronológicas. La incertidumbre se estimó mediante 5000 remuestreos agrupados por fecha de lluvia. En la prueba con fechas separadas, el error absoluto medio del modelo híbrido fue de 0.00000798 mm a una hora y de 0.00006176 mm a seis horas, frente a 0.00000858 mm y 0.00006332 mm para la LSTM. La LSTM obtuvo mejores resultados en 2024 y el modelo híbrido en 2025; los cuatro intervalos de confianza pareados del 95 % incluyeron cero. El modelo híbrido fue más sensible al ruido y a los datos faltantes. El flujo de trabajo permite evaluar de forma controlada la simulación física y el aprendizaje temporal, pero no demuestra una ventaja constante de la corrección residual ni valida alertas operativas para minas. Los errores muy pequeños describen la reproducción del generador numérico y deben evaluarse teniendo en cuenta la precisión de almacenamiento.</w:t>
      </w:r>
      <w:r w:rsidDel="00000000" w:rsidR="00000000" w:rsidRPr="00000000">
        <w:rPr>
          <w:rtl w:val="0"/>
        </w:rPr>
      </w:r>
    </w:p>
    <w:p w:rsidR="00000000" w:rsidDel="00000000" w:rsidP="00000000" w:rsidRDefault="00000000" w:rsidRPr="00000000" w14:paraId="000001D2">
      <w:pPr>
        <w:keepNext w:val="0"/>
        <w:keepLines w:val="0"/>
        <w:widowControl w:val="1"/>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Palabras clave: Estabilidad de taludes, Método de elementos finitos, LSTM, Aprendizaje guiado por la física, Datos semisintéticos</w:t>
      </w:r>
      <w:r w:rsidDel="00000000" w:rsidR="00000000" w:rsidRPr="00000000">
        <w:rPr>
          <w:rtl w:val="0"/>
        </w:rPr>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Contribuciones de los autores</w:t>
      </w:r>
    </w:p>
    <w:p w:rsidR="00000000" w:rsidDel="00000000" w:rsidP="00000000" w:rsidRDefault="00000000" w:rsidRPr="00000000" w14:paraId="000001D4">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Roberto Enrique Quezada-Rodríguez: software, análisis formal y redacción del borrador original. Melanie Celeste Tello Fuentes: análisis formal, validación, redacción del borrador original y revisión y edición del manuscrito.</w:t>
      </w: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Agradecimientos</w:t>
      </w:r>
    </w:p>
    <w:p w:rsidR="00000000" w:rsidDel="00000000" w:rsidP="00000000" w:rsidRDefault="00000000" w:rsidRPr="00000000" w14:paraId="000001D6">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OpenAI Codex colaboró en el desarrollo del software y los scripts, la comparación de las afirmaciones del manuscrito con el código y los archivos de validación archivados, la preparación técnica de figuras y tablas a partir de resultados archivados, la traducción, la revisión editorial y el formato del documento. Los autores siguen siendo responsables de los métodos, los resultados numéricos, las referencias, la interpretación y el manuscrito presentado.</w:t>
      </w:r>
      <w:r w:rsidDel="00000000" w:rsidR="00000000" w:rsidRPr="00000000">
        <w:rPr>
          <w:rtl w:val="0"/>
        </w:rPr>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Financiamiento</w:t>
      </w:r>
    </w:p>
    <w:p w:rsidR="00000000" w:rsidDel="00000000" w:rsidP="00000000" w:rsidRDefault="00000000" w:rsidRPr="00000000" w14:paraId="000001D8">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autores no recibieron financiación, subvenciones ni apoyo financiero institucional específico para este estudio.</w:t>
      </w:r>
      <w:r w:rsidDel="00000000" w:rsidR="00000000" w:rsidRPr="00000000">
        <w:rPr>
          <w:rtl w:val="0"/>
        </w:rPr>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Conflictos de intereses</w:t>
      </w:r>
    </w:p>
    <w:p w:rsidR="00000000" w:rsidDel="00000000" w:rsidP="00000000" w:rsidRDefault="00000000" w:rsidRPr="00000000" w14:paraId="000001DA">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Los autores declaran que no tienen conflictos de intereses relacionados con este trabajo.</w:t>
      </w:r>
      <w:r w:rsidDel="00000000" w:rsidR="00000000" w:rsidRPr="00000000">
        <w:rPr>
          <w:rtl w:val="0"/>
        </w:rPr>
      </w:r>
    </w:p>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s>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Ética</w:t>
      </w:r>
    </w:p>
    <w:p w:rsidR="00000000" w:rsidDel="00000000" w:rsidP="00000000" w:rsidRDefault="00000000" w:rsidRPr="00000000" w14:paraId="000001DC">
      <w:pPr>
        <w:keepNext w:val="0"/>
        <w:keepLines w:val="0"/>
        <w:widowControl w:val="1"/>
        <w:spacing w:after="0" w:before="0" w:line="240" w:lineRule="auto"/>
        <w:ind w:left="0" w:right="0"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El estudio utiliza datos públicos de precipitación de reanálisis y datos geotécnicos simulados. No involucra participantes humanos, animales ni información personal.</w:t>
      </w: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134" w:top="1134" w:left="1134" w:right="1134" w:header="737" w:footer="737"/>
      <w:pgNumType w:start="1"/>
      <w:titlePg w:val="1"/>
    </w:sectPr>
  </w:body>
</w:document>
</file>

<file path=word/comments.xml><?xml version="1.0" encoding="utf-8"?>
<w:comments xmlns:w="http://schemas.openxmlformats.org/wordprocessingml/2006/main">
  <w:comment w:id="0" w:author="Revisión editorial" w:date="2026-10-20T15:00:00Z">
    <w:p>
      <w:r>
        <w:t>Se retiró el esquema anterior: este párrafo conserva el método. Se mantienen únicamente tres figuras de resultados pertinentes al experimento TA-01.</w:t>
      </w:r>
    </w:p>
  </w:comment>
  <w:comment w:id="1" w:author="Revisión editorial" w:date="2026-10-20T15:00:00Z">
    <w:p>
      <w:r>
        <w:t>Tabla reconstruida a partir de ta01-model-comparison.csv. Se incorporan RMSE y R² del mismo archivo, con las mismas ventanas de prueba; no se ejecutó un entrenamiento nuevo.</w:t>
      </w:r>
    </w:p>
  </w:comment>
  <w:comment w:id="2" w:author="Revisión editorial" w:date="2026-10-20T15:00:00Z">
    <w:p>
      <w:r>
        <w:t>Tabla reconstruida a partir de ta01-rolling-origin-model-comparison.csv. Se incorporan persistencia y ridge para comparar los cuatro modelos bajo el mismo protocolo cronológico.</w:t>
      </w:r>
    </w:p>
  </w:comment>
  <w:comment w:id="3" w:author="Revisión editorial" w:date="2026-10-20T15:00:00Z">
    <w:p>
      <w:r>
        <w:t>Antes figura 3; ahora figura 1. Se incorpora la salida PNG de publicación a 400 dpi, contrastada con el SHA-256 de los datos archivados. Las antiguas figuras 4 y 5 pasan a 2 y 3.</w:t>
      </w:r>
    </w:p>
  </w:comment>
  <w:comment w:id="4" w:author="Revisión editorial" w:date="2026-10-20T15:00:00Z">
    <w:p>
      <w:r>
        <w:t>Se retiró la figura complementaria de enmascaramiento para evitar una salida gráfica redundante. Se conserva su limitación metodológica; el resultado sigue disponible en el software y sus archivos.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Rudarsko-geološko-naftni zbornik — manuscrito para revisión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*Autor de correspondencia: Roberto Enrique Quezada-Rodríguez</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Correo electrónico: requezadaro@unitru.edu.pe</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Recibido / Aceptado / Publicado en línea: pendiente de completar por los editores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R. E. Quezada-Rodríguez y M. C. Tello Fuentes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4750998</wp:posOffset>
          </wp:positionH>
          <wp:positionV relativeFrom="paragraph">
            <wp:posOffset>-207763</wp:posOffset>
          </wp:positionV>
          <wp:extent cx="1277620" cy="719455"/>
          <wp:effectExtent b="0" l="0" r="0" t="0"/>
          <wp:wrapNone/>
          <wp:docPr descr="A green and black text&#10;&#10;Description automatically generated" id="17" name="image1.gif"/>
          <a:graphic>
            <a:graphicData uri="http://schemas.openxmlformats.org/drawingml/2006/picture">
              <pic:pic>
                <pic:nvPicPr>
                  <pic:cNvPr descr="A green and black text&#10;&#10;Description automatically generated" id="0" name="image1.gif"/>
                  <pic:cNvPicPr preferRelativeResize="0"/>
                </pic:nvPicPr>
                <pic:blipFill>
                  <a:blip r:embed="rId1"/>
                  <a:srcRect b="0" l="0" r="0" t="0"/>
                  <a:stretch>
                    <a:fillRect/>
                  </a:stretch>
                </pic:blipFill>
                <pic:spPr>
                  <a:xfrm>
                    <a:off x="0" y="0"/>
                    <a:ext cx="1277620" cy="719455"/>
                  </a:xfrm>
                  <a:prstGeom prst="rect"/>
                  <a:ln/>
                </pic:spPr>
              </pic:pic>
            </a:graphicData>
          </a:graphic>
        </wp:anchor>
      </w:drawing>
    </w:r>
  </w:p>
  <w:p w:rsidR="00000000" w:rsidDel="00000000" w:rsidP="00000000" w:rsidRDefault="00000000" w:rsidRPr="00000000" w14:paraId="000001D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71755" distR="17780" hidden="0" layoutInCell="1" locked="0" relativeHeight="0" simplePos="0">
              <wp:simplePos x="0" y="0"/>
              <wp:positionH relativeFrom="column">
                <wp:posOffset>3721526</wp:posOffset>
              </wp:positionH>
              <wp:positionV relativeFrom="paragraph">
                <wp:posOffset>334915</wp:posOffset>
              </wp:positionV>
              <wp:extent cx="2266950" cy="1159510"/>
              <wp:effectExtent b="0" l="0" r="0" t="0"/>
              <wp:wrapSquare wrapText="bothSides" distB="0" distT="0" distL="71755" distR="17780"/>
              <wp:docPr id="10" name=""/>
              <a:graphic>
                <a:graphicData uri="http://schemas.microsoft.com/office/word/2010/wordprocessingShape">
                  <wps:wsp>
                    <wps:cNvSpPr/>
                    <wps:cNvPr id="2" name="Shape 2"/>
                    <wps:spPr>
                      <a:xfrm>
                        <a:off x="4217288" y="3205008"/>
                        <a:ext cx="2257425" cy="1149985"/>
                      </a:xfrm>
                      <a:prstGeom prst="rect">
                        <a:avLst/>
                      </a:prstGeom>
                      <a:solidFill>
                        <a:srgbClr val="FFFFFF"/>
                      </a:solidFill>
                      <a:ln>
                        <a:noFill/>
                      </a:ln>
                    </wps:spPr>
                    <wps:txbx>
                      <w:txbxContent>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Rudarsko-geološko-naftni zbornik</w:t>
                          </w:r>
                        </w:p>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(The Mining-Geology-Petroleum Engineering Bulletin)</w:t>
                          </w:r>
                        </w:p>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DOI: pendiente de asignación por los editores</w:t>
                          </w:r>
                        </w:p>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p>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Categoría del artículo: pendiente de asignación por los editores</w:t>
                          </w:r>
                        </w:p>
                        <w:p w:rsidR="00000000" w:rsidDel="00000000" w:rsidP="00000000" w:rsidRDefault="00000000" w:rsidRPr="00000000">
                          <w:pPr>
                            <w:spacing w:after="0" w:before="0" w:line="240"/>
                            <w:ind w:left="-283.99999618530273" w:right="-397.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p w:rsidR="00000000" w:rsidDel="00000000" w:rsidP="00000000" w:rsidRDefault="00000000" w:rsidRPr="00000000">
                          <w:pPr>
                            <w:spacing w:after="0" w:before="0" w:line="240"/>
                            <w:ind w:left="-283.99999618530273" w:right="27.000000476837158"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365750" spcFirstLastPara="1" rIns="91425" wrap="square" tIns="45700">
                      <a:noAutofit/>
                    </wps:bodyPr>
                  </wps:wsp>
                </a:graphicData>
              </a:graphic>
            </wp:anchor>
          </w:drawing>
        </mc:Choice>
        <mc:Fallback>
          <w:drawing>
            <wp:anchor allowOverlap="1" behindDoc="0" distB="0" distT="0" distL="71755" distR="17780" hidden="0" layoutInCell="1" locked="0" relativeHeight="0" simplePos="0">
              <wp:simplePos x="0" y="0"/>
              <wp:positionH relativeFrom="column">
                <wp:posOffset>3721526</wp:posOffset>
              </wp:positionH>
              <wp:positionV relativeFrom="paragraph">
                <wp:posOffset>334915</wp:posOffset>
              </wp:positionV>
              <wp:extent cx="2266950" cy="1159510"/>
              <wp:effectExtent b="0" l="0" r="0" t="0"/>
              <wp:wrapSquare wrapText="bothSides" distB="0" distT="0" distL="71755" distR="17780"/>
              <wp:docPr id="10"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2266950" cy="1159510"/>
                      </a:xfrm>
                      <a:prstGeom prst="rect"/>
                      <a:ln/>
                    </pic:spPr>
                  </pic:pic>
                </a:graphicData>
              </a:graphic>
            </wp:anchor>
          </w:drawing>
        </mc:Fallback>
      </mc:AlternateConten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13">
    <w:name w:val="Table Grid Light"/>
    <w:basedOn w:val="83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7"/>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7"/>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7"/>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7"/>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19739b"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7"/>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7"/>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196c24"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7"/>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7"/>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7"/>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000034" w:themeTint="000034" w:val="clear"/>
    </w:tblPr>
    <w:tcPr>
      <w:tcBorders/>
    </w:tcPr>
    <w:tblStylePr w:type="band1Horz">
      <w:pPr>
        <w:pBdr/>
        <w:spacing/>
        <w:ind/>
      </w:pPr>
      <w:tblPr>
        <w:tblBorders/>
      </w:tblPr>
      <w:tcPr>
        <w:tcBorders/>
        <w:shd w:color="ffffff" w:fill="71c3e8" w:themeColor="accent1" w:themeFill="accent1" w:themeFillTint="000075" w:themeTint="000075" w:val="clear"/>
      </w:tcPr>
    </w:tblStylePr>
    <w:tblStylePr w:type="band1Vert">
      <w:pPr>
        <w:pBdr/>
        <w:spacing/>
        <w:ind/>
      </w:pPr>
      <w:tblPr>
        <w:tblBorders/>
      </w:tblPr>
      <w:tcPr>
        <w:tcBorders/>
        <w:shd w:color="ffffff" w:fill="71c3e8"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56082" w:themeColor="accent1" w:themeFill="accent1" w:val="clear"/>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rFonts w:ascii="Arial" w:hAnsi="Arial"/>
        <w:b w:val="1"/>
        <w:color w:val="ffffff"/>
        <w:sz w:val="22"/>
      </w:rPr>
      <w:tblPr>
        <w:tblBorders/>
      </w:tblPr>
      <w:tcPr>
        <w:tcBorders/>
        <w:shd w:color="ffffff" w:fill="156082"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56082"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000032" w:themeTint="000032" w:val="clear"/>
    </w:tblPr>
    <w:tcPr>
      <w:tcBorders/>
    </w:tcPr>
    <w:tblStylePr w:type="band1Horz">
      <w:pPr>
        <w:pBdr/>
        <w:spacing/>
        <w:ind/>
      </w:pPr>
      <w:tblPr>
        <w:tblBorders/>
      </w:tblPr>
      <w:tcPr>
        <w:tcBorders/>
        <w:shd w:color="ffffff" w:fill="f5bea1" w:themeColor="accent2" w:themeFill="accent2" w:themeFillTint="000075" w:themeTint="000075" w:val="clear"/>
      </w:tcPr>
    </w:tblStylePr>
    <w:tblStylePr w:type="band1Vert">
      <w:pPr>
        <w:pBdr/>
        <w:spacing/>
        <w:ind/>
      </w:pPr>
      <w:tblPr>
        <w:tblBorders/>
      </w:tblPr>
      <w:tcPr>
        <w:tcBorders/>
        <w:shd w:color="ffffff" w:fill="f5bea1"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97132" w:themeColor="accent2" w:themeFill="accent2" w:val="clear"/>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rFonts w:ascii="Arial" w:hAnsi="Arial"/>
        <w:b w:val="1"/>
        <w:color w:val="ffffff"/>
        <w:sz w:val="22"/>
      </w:rPr>
      <w:tblPr>
        <w:tblBorders/>
      </w:tblPr>
      <w:tcPr>
        <w:tcBorders/>
        <w:shd w:color="ffffff" w:fill="e97132"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97132"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000034" w:themeTint="000034" w:val="clear"/>
    </w:tblPr>
    <w:tcPr>
      <w:tcBorders/>
    </w:tcPr>
    <w:tblStylePr w:type="band1Horz">
      <w:pPr>
        <w:pBdr/>
        <w:spacing/>
        <w:ind/>
      </w:pPr>
      <w:tblPr>
        <w:tblBorders/>
      </w:tblPr>
      <w:tcPr>
        <w:tcBorders/>
        <w:shd w:color="ffffff" w:fill="72de81" w:themeColor="accent3" w:themeFill="accent3" w:themeFillTint="000075" w:themeTint="000075" w:val="clear"/>
      </w:tcPr>
    </w:tblStylePr>
    <w:tblStylePr w:type="band1Vert">
      <w:pPr>
        <w:pBdr/>
        <w:spacing/>
        <w:ind/>
      </w:pPr>
      <w:tblPr>
        <w:tblBorders/>
      </w:tblPr>
      <w:tcPr>
        <w:tcBorders/>
        <w:shd w:color="ffffff" w:fill="72de81"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96b24" w:themeColor="accent3" w:themeFill="accent3" w:val="clear"/>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rFonts w:ascii="Arial" w:hAnsi="Arial"/>
        <w:b w:val="1"/>
        <w:color w:val="ffffff"/>
        <w:sz w:val="22"/>
      </w:rPr>
      <w:tblPr>
        <w:tblBorders/>
      </w:tblPr>
      <w:tcPr>
        <w:tcBorders/>
        <w:shd w:color="ffffff" w:fill="196b24"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96b24"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000034" w:themeTint="000034" w:val="clear"/>
    </w:tblPr>
    <w:tcPr>
      <w:tcBorders/>
    </w:tcPr>
    <w:tblStylePr w:type="band1Horz">
      <w:pPr>
        <w:pBdr/>
        <w:spacing/>
        <w:ind/>
      </w:pPr>
      <w:tblPr>
        <w:tblBorders/>
      </w:tblPr>
      <w:tcPr>
        <w:tcBorders/>
        <w:shd w:color="ffffff" w:fill="86d7f6" w:themeColor="accent4" w:themeFill="accent4" w:themeFillTint="000075" w:themeTint="000075" w:val="clear"/>
      </w:tcPr>
    </w:tblStylePr>
    <w:tblStylePr w:type="band1Vert">
      <w:pPr>
        <w:pBdr/>
        <w:spacing/>
        <w:ind/>
      </w:pPr>
      <w:tblPr>
        <w:tblBorders/>
      </w:tblPr>
      <w:tcPr>
        <w:tcBorders/>
        <w:shd w:color="ffffff" w:fill="86d7f6"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f9ed5" w:themeColor="accent4" w:themeFill="accent4" w:val="clear"/>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rFonts w:ascii="Arial" w:hAnsi="Arial"/>
        <w:b w:val="1"/>
        <w:color w:val="ffffff"/>
        <w:sz w:val="22"/>
      </w:rPr>
      <w:tblPr>
        <w:tblBorders/>
      </w:tblPr>
      <w:tcPr>
        <w:tcBorders/>
        <w:shd w:color="ffffff" w:fill="0f9ed5"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f9ed5"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000034" w:themeTint="000034" w:val="clear"/>
    </w:tblPr>
    <w:tcPr>
      <w:tcBorders/>
    </w:tcPr>
    <w:tblStylePr w:type="band1Horz">
      <w:pPr>
        <w:pBdr/>
        <w:spacing/>
        <w:ind/>
      </w:pPr>
      <w:tblPr>
        <w:tblBorders/>
      </w:tblPr>
      <w:tcPr>
        <w:tcBorders/>
        <w:shd w:color="ffffff" w:fill="e190d8" w:themeColor="accent5" w:themeFill="accent5" w:themeFillTint="000075" w:themeTint="000075" w:val="clear"/>
      </w:tcPr>
    </w:tblStylePr>
    <w:tblStylePr w:type="band1Vert">
      <w:pPr>
        <w:pBdr/>
        <w:spacing/>
        <w:ind/>
      </w:pPr>
      <w:tblPr>
        <w:tblBorders/>
      </w:tblPr>
      <w:tcPr>
        <w:tcBorders/>
        <w:shd w:color="ffffff" w:fill="e190d8"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02b93" w:themeColor="accent5" w:themeFill="accent5" w:val="clear"/>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rFonts w:ascii="Arial" w:hAnsi="Arial"/>
        <w:b w:val="1"/>
        <w:color w:val="ffffff"/>
        <w:sz w:val="22"/>
      </w:rPr>
      <w:tblPr>
        <w:tblBorders/>
      </w:tblPr>
      <w:tcPr>
        <w:tcBorders/>
        <w:shd w:color="ffffff" w:fill="a02b93"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000034" w:themeTint="000034" w:val="clear"/>
    </w:tblPr>
    <w:tcPr>
      <w:tcBorders/>
    </w:tcPr>
    <w:tblStylePr w:type="band1Horz">
      <w:pPr>
        <w:pBdr/>
        <w:spacing/>
        <w:ind/>
      </w:pPr>
      <w:tblPr>
        <w:tblBorders/>
      </w:tblPr>
      <w:tcPr>
        <w:tcBorders/>
        <w:shd w:color="ffffff" w:fill="a9e294" w:themeColor="accent6" w:themeFill="accent6" w:themeFillTint="000075" w:themeTint="000075" w:val="clear"/>
      </w:tcPr>
    </w:tblStylePr>
    <w:tblStylePr w:type="band1Vert">
      <w:pPr>
        <w:pBdr/>
        <w:spacing/>
        <w:ind/>
      </w:pPr>
      <w:tblPr>
        <w:tblBorders/>
      </w:tblPr>
      <w:tcPr>
        <w:tcBorders/>
        <w:shd w:color="ffffff" w:fill="a9e294"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ea72e" w:themeColor="accent6" w:themeFill="accent6" w:val="clear"/>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rFonts w:ascii="Arial" w:hAnsi="Arial"/>
        <w:b w:val="1"/>
        <w:color w:val="ffffff"/>
        <w:sz w:val="22"/>
      </w:rPr>
      <w:tblPr>
        <w:tblBorders/>
      </w:tblPr>
      <w:tcPr>
        <w:tcBorders/>
        <w:shd w:color="ffffff" w:fill="4ea72e"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7"/>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837"/>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1b7ba6" w:themeColor="accent1" w:themeShade="000095" w:themeTint="000080"/>
      </w:rPr>
      <w:tblPr>
        <w:tblBorders/>
      </w:tblPr>
      <w:tcPr>
        <w:tcBorders/>
      </w:tcPr>
    </w:tblStylePr>
    <w:tblStylePr w:type="firstRow">
      <w:pPr>
        <w:pBdr/>
        <w:spacing/>
        <w:ind/>
      </w:pPr>
      <w:rPr>
        <w:b w:val="1"/>
        <w:color w:val="1b7ba6"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1b7ba6" w:themeColor="accent1" w:themeShade="000095" w:themeTint="000080"/>
      </w:rPr>
      <w:tblPr>
        <w:tblBorders/>
      </w:tblPr>
      <w:tcPr>
        <w:tcBorders/>
      </w:tcPr>
    </w:tblStylePr>
    <w:tblStylePr w:type="lastRow">
      <w:pPr>
        <w:pBdr/>
        <w:spacing/>
        <w:ind/>
      </w:pPr>
      <w:rPr>
        <w:b w:val="1"/>
        <w:color w:val="1b7ba6"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83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837"/>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0f3f15" w:themeColor="accent3" w:themeShade="000095" w:themeTint="0000FE"/>
      </w:rPr>
      <w:tblPr>
        <w:tblBorders/>
      </w:tblPr>
      <w:tcPr>
        <w:tcBorders/>
      </w:tcPr>
    </w:tblStylePr>
    <w:tblStylePr w:type="firstRow">
      <w:pPr>
        <w:pBdr/>
        <w:spacing/>
        <w:ind/>
      </w:pPr>
      <w:rPr>
        <w:b w:val="1"/>
        <w:color w:val="0f3f15"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0f3f15" w:themeColor="accent3" w:themeShade="000095" w:themeTint="0000FE"/>
      </w:rPr>
      <w:tblPr>
        <w:tblBorders/>
      </w:tblPr>
      <w:tcPr>
        <w:tcBorders/>
      </w:tcPr>
    </w:tblStylePr>
    <w:tblStylePr w:type="lastRow">
      <w:pPr>
        <w:pBdr/>
        <w:spacing/>
        <w:ind/>
      </w:pPr>
      <w:rPr>
        <w:b w:val="1"/>
        <w:color w:val="0f3f15"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83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837"/>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5"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837"/>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6"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837"/>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7"/>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1b7ba6"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1b7ba6"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1b7ba6"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1b7ba6"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1b7ba6"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1b7ba6"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7"/>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c65215"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c65215"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7"/>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0f3f15"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0f3f15"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f3f15"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0f3f15"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0f3f15"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0f3f15"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7"/>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0d8ab9"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0d8ab9"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7"/>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5d1956"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5d1956"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1956"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5d1956"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5d1956"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5d1956"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7"/>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2e621b" w:themeColor="accent6"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2e621b"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e621b"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2e621b"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2e621b"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2e621b"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7"/>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7"/>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7"/>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7"/>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7"/>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7"/>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7"/>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7"/>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7"/>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8d45b"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7"/>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86dcc"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7"/>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fd974"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7"/>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7"/>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7"/>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7"/>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7"/>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7"/>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7"/>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837"/>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156082"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156082"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837"/>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2ab8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2ab8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2ab8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837"/>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48d45b"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8d45b"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48d45b"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837"/>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60cbf4"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60cbf4"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60cbf4"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837"/>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d86dcc"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86dcc"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d86dcc"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837"/>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8fd974"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fd974"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8fd974"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837"/>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7"/>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0c384c" w:themeColor="accent1" w:themeShade="000095"/>
      </w:rPr>
      <w:tblPr>
        <w:tblBorders/>
      </w:tblPr>
      <w:tcPr>
        <w:tcBorders/>
      </w:tcPr>
    </w:tblStylePr>
    <w:tblStylePr w:type="firstRow">
      <w:pPr>
        <w:pBdr/>
        <w:spacing/>
        <w:ind/>
      </w:pPr>
      <w:rPr>
        <w:b w:val="1"/>
        <w:color w:val="0c384c" w:themeColor="accent1" w:themeShade="000095"/>
      </w:rPr>
      <w:tblPr>
        <w:tblBorders/>
      </w:tblPr>
      <w:tcPr>
        <w:tcBorders>
          <w:bottom w:color="000000" w:space="0" w:sz="4" w:themeColor="accent1" w:val="single"/>
        </w:tcBorders>
      </w:tcPr>
    </w:tblStylePr>
    <w:tblStylePr w:type="lastCol">
      <w:pPr>
        <w:pBdr/>
        <w:spacing/>
        <w:ind/>
      </w:pPr>
      <w:rPr>
        <w:b w:val="1"/>
        <w:color w:val="0c384c" w:themeColor="accent1" w:themeShade="000095"/>
      </w:rPr>
      <w:tblPr>
        <w:tblBorders/>
      </w:tblPr>
      <w:tcPr>
        <w:tcBorders/>
      </w:tcPr>
    </w:tblStylePr>
    <w:tblStylePr w:type="lastRow">
      <w:pPr>
        <w:pBdr/>
        <w:spacing/>
        <w:ind/>
      </w:pPr>
      <w:rPr>
        <w:b w:val="1"/>
        <w:color w:val="0c384c"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7"/>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7"/>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20872d" w:themeColor="accent3" w:themeShade="000095" w:themeTint="000098"/>
      </w:rPr>
      <w:tblPr>
        <w:tblBorders/>
      </w:tblPr>
      <w:tcPr>
        <w:tcBorders/>
      </w:tcPr>
    </w:tblStylePr>
    <w:tblStylePr w:type="firstRow">
      <w:pPr>
        <w:pBdr/>
        <w:spacing/>
        <w:ind/>
      </w:pPr>
      <w:rPr>
        <w:b w:val="1"/>
        <w:color w:val="20872d"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20872d" w:themeColor="accent3" w:themeShade="000095" w:themeTint="000098"/>
      </w:rPr>
      <w:tblPr>
        <w:tblBorders/>
      </w:tblPr>
      <w:tcPr>
        <w:tcBorders/>
      </w:tcPr>
    </w:tblStylePr>
    <w:tblStylePr w:type="lastRow">
      <w:pPr>
        <w:pBdr/>
        <w:spacing/>
        <w:ind/>
      </w:pPr>
      <w:rPr>
        <w:b w:val="1"/>
        <w:color w:val="20872d"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7"/>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7"/>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952889" w:themeColor="accent5" w:themeShade="000095" w:themeTint="00009A"/>
      </w:rPr>
      <w:tblPr>
        <w:tblBorders/>
      </w:tblPr>
      <w:tcPr>
        <w:tcBorders/>
      </w:tcPr>
    </w:tblStylePr>
    <w:tblStylePr w:type="firstRow">
      <w:pPr>
        <w:pBdr/>
        <w:spacing/>
        <w:ind/>
      </w:pPr>
      <w:rPr>
        <w:b w:val="1"/>
        <w:color w:val="952889"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952889" w:themeColor="accent5" w:themeShade="000095" w:themeTint="00009A"/>
      </w:rPr>
      <w:tblPr>
        <w:tblBorders/>
      </w:tblPr>
      <w:tcPr>
        <w:tcBorders/>
      </w:tcPr>
    </w:tblStylePr>
    <w:tblStylePr w:type="lastRow">
      <w:pPr>
        <w:pBdr/>
        <w:spacing/>
        <w:ind/>
      </w:pPr>
      <w:rPr>
        <w:b w:val="1"/>
        <w:color w:val="952889"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7"/>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47992a" w:themeColor="accent6" w:themeShade="000095" w:themeTint="000098"/>
      </w:rPr>
      <w:tblPr>
        <w:tblBorders/>
      </w:tblPr>
      <w:tcPr>
        <w:tcBorders/>
      </w:tcPr>
    </w:tblStylePr>
    <w:tblStylePr w:type="firstRow">
      <w:pPr>
        <w:pBdr/>
        <w:spacing/>
        <w:ind/>
      </w:pPr>
      <w:rPr>
        <w:b w:val="1"/>
        <w:color w:val="47992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47992a" w:themeColor="accent6" w:themeShade="000095" w:themeTint="000098"/>
      </w:rPr>
      <w:tblPr>
        <w:tblBorders/>
      </w:tblPr>
      <w:tcPr>
        <w:tcBorders/>
      </w:tcPr>
    </w:tblStylePr>
    <w:tblStylePr w:type="lastRow">
      <w:pPr>
        <w:pBdr/>
        <w:spacing/>
        <w:ind/>
      </w:pPr>
      <w:rPr>
        <w:b w:val="1"/>
        <w:color w:val="47992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7"/>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837"/>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0c384c"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0c384c"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c384c"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0c384c"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0c384c"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0c384c"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c384c" w:themeColor="accent1" w:themeShade="000095"/>
        <w:sz w:val="22"/>
      </w:rPr>
      <w:tblPr>
        <w:tblBorders/>
      </w:tblPr>
      <w:tcPr>
        <w:tcBorders/>
      </w:tcPr>
    </w:tblStylePr>
  </w:style>
  <w:style w:type="table" w:styleId="112">
    <w:name w:val="List Table 7 Colorful - Accent 2"/>
    <w:basedOn w:val="837"/>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c65215"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c65215"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65215" w:themeColor="accent2" w:themeShade="000095" w:themeTint="000097"/>
        <w:sz w:val="22"/>
      </w:rPr>
      <w:tblPr>
        <w:tblBorders/>
      </w:tblPr>
      <w:tcPr>
        <w:tcBorders/>
      </w:tcPr>
    </w:tblStylePr>
  </w:style>
  <w:style w:type="table" w:styleId="113">
    <w:name w:val="List Table 7 Colorful - Accent 3"/>
    <w:basedOn w:val="837"/>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20872d"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20872d"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0872d"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20872d"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20872d"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20872d"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0872d" w:themeColor="accent3" w:themeShade="000095" w:themeTint="000098"/>
        <w:sz w:val="22"/>
      </w:rPr>
      <w:tblPr>
        <w:tblBorders/>
      </w:tblPr>
      <w:tcPr>
        <w:tcBorders/>
      </w:tcPr>
    </w:tblStylePr>
  </w:style>
  <w:style w:type="table" w:styleId="114">
    <w:name w:val="List Table 7 Colorful - Accent 4"/>
    <w:basedOn w:val="837"/>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0d8ab9"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0d8ab9"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d8ab9" w:themeColor="accent4" w:themeShade="000095" w:themeTint="00009A"/>
        <w:sz w:val="22"/>
      </w:rPr>
      <w:tblPr>
        <w:tblBorders/>
      </w:tblPr>
      <w:tcPr>
        <w:tcBorders/>
      </w:tcPr>
    </w:tblStylePr>
  </w:style>
  <w:style w:type="table" w:styleId="115">
    <w:name w:val="List Table 7 Colorful - Accent 5"/>
    <w:basedOn w:val="837"/>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952889"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952889"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52889"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952889"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952889"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952889"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52889" w:themeColor="accent5" w:themeShade="000095" w:themeTint="00009A"/>
        <w:sz w:val="22"/>
      </w:rPr>
      <w:tblPr>
        <w:tblBorders/>
      </w:tblPr>
      <w:tcPr>
        <w:tcBorders/>
      </w:tcPr>
    </w:tblStylePr>
  </w:style>
  <w:style w:type="table" w:styleId="116">
    <w:name w:val="List Table 7 Colorful - Accent 6"/>
    <w:basedOn w:val="837"/>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47992a"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7992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7992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47992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47992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47992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7992a" w:themeColor="accent6" w:themeShade="000095" w:themeTint="000098"/>
        <w:sz w:val="22"/>
      </w:rPr>
      <w:tblPr>
        <w:tblBorders/>
      </w:tblPr>
      <w:tcPr>
        <w:tcBorders/>
      </w:tcPr>
    </w:tblStylePr>
  </w:style>
  <w:style w:type="table" w:styleId="117">
    <w:name w:val="Lined - Accent"/>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7"/>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7"/>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7"/>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7"/>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7"/>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7"/>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7"/>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7"/>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26"/>
    <w:uiPriority w:val="1"/>
    <w:qFormat w:val="1"/>
    <w:pPr>
      <w:pBdr/>
      <w:spacing w:after="0" w:line="240" w:lineRule="auto"/>
      <w:ind/>
    </w:pPr>
  </w:style>
  <w:style w:type="character" w:styleId="171">
    <w:name w:val="Subtle Emphasis"/>
    <w:basedOn w:val="836"/>
    <w:uiPriority w:val="19"/>
    <w:qFormat w:val="1"/>
    <w:pPr>
      <w:pBdr/>
      <w:spacing/>
      <w:ind/>
    </w:pPr>
    <w:rPr>
      <w:i w:val="1"/>
      <w:iCs w:val="1"/>
      <w:color w:val="404040" w:themeColor="text1" w:themeTint="0000BF"/>
    </w:rPr>
  </w:style>
  <w:style w:type="character" w:styleId="172">
    <w:name w:val="Emphasis"/>
    <w:basedOn w:val="836"/>
    <w:uiPriority w:val="20"/>
    <w:qFormat w:val="1"/>
    <w:pPr>
      <w:pBdr/>
      <w:spacing/>
      <w:ind/>
    </w:pPr>
    <w:rPr>
      <w:i w:val="1"/>
      <w:iCs w:val="1"/>
    </w:rPr>
  </w:style>
  <w:style w:type="character" w:styleId="173">
    <w:name w:val="Strong"/>
    <w:basedOn w:val="836"/>
    <w:uiPriority w:val="22"/>
    <w:qFormat w:val="1"/>
    <w:pPr>
      <w:pBdr/>
      <w:spacing/>
      <w:ind/>
    </w:pPr>
    <w:rPr>
      <w:b w:val="1"/>
      <w:bCs w:val="1"/>
    </w:rPr>
  </w:style>
  <w:style w:type="character" w:styleId="174">
    <w:name w:val="Subtle Reference"/>
    <w:basedOn w:val="836"/>
    <w:uiPriority w:val="31"/>
    <w:qFormat w:val="1"/>
    <w:pPr>
      <w:pBdr/>
      <w:spacing/>
      <w:ind/>
    </w:pPr>
    <w:rPr>
      <w:smallCaps w:val="1"/>
      <w:color w:val="5a5a5a" w:themeColor="text1" w:themeTint="0000A5"/>
    </w:rPr>
  </w:style>
  <w:style w:type="character" w:styleId="175">
    <w:name w:val="Book Title"/>
    <w:basedOn w:val="836"/>
    <w:uiPriority w:val="33"/>
    <w:qFormat w:val="1"/>
    <w:pPr>
      <w:pBdr/>
      <w:spacing/>
      <w:ind/>
    </w:pPr>
    <w:rPr>
      <w:b w:val="1"/>
      <w:bCs w:val="1"/>
      <w:i w:val="1"/>
      <w:iCs w:val="1"/>
      <w:spacing w:val="5"/>
    </w:rPr>
  </w:style>
  <w:style w:type="paragraph" w:styleId="180">
    <w:name w:val="Caption"/>
    <w:basedOn w:val="826"/>
    <w:next w:val="826"/>
    <w:uiPriority w:val="35"/>
    <w:unhideWhenUsed w:val="1"/>
    <w:qFormat w:val="1"/>
    <w:pPr>
      <w:pBdr/>
      <w:spacing w:after="200" w:line="240" w:lineRule="auto"/>
      <w:ind/>
    </w:pPr>
    <w:rPr>
      <w:i w:val="1"/>
      <w:iCs w:val="1"/>
      <w:color w:val="0e2841" w:themeColor="text2"/>
      <w:sz w:val="18"/>
      <w:szCs w:val="18"/>
    </w:rPr>
  </w:style>
  <w:style w:type="paragraph" w:styleId="181">
    <w:name w:val="footnote text"/>
    <w:basedOn w:val="826"/>
    <w:link w:val="182"/>
    <w:uiPriority w:val="99"/>
    <w:semiHidden w:val="1"/>
    <w:unhideWhenUsed w:val="1"/>
    <w:pPr>
      <w:pBdr/>
      <w:spacing w:after="0" w:line="240" w:lineRule="auto"/>
      <w:ind/>
    </w:pPr>
    <w:rPr>
      <w:sz w:val="20"/>
      <w:szCs w:val="20"/>
    </w:rPr>
  </w:style>
  <w:style w:type="character" w:styleId="182">
    <w:name w:val="Footnote Text Char"/>
    <w:basedOn w:val="836"/>
    <w:link w:val="181"/>
    <w:uiPriority w:val="99"/>
    <w:semiHidden w:val="1"/>
    <w:pPr>
      <w:pBdr/>
      <w:spacing/>
      <w:ind/>
    </w:pPr>
    <w:rPr>
      <w:sz w:val="20"/>
      <w:szCs w:val="20"/>
    </w:rPr>
  </w:style>
  <w:style w:type="character" w:styleId="183">
    <w:name w:val="footnote reference"/>
    <w:basedOn w:val="836"/>
    <w:uiPriority w:val="99"/>
    <w:semiHidden w:val="1"/>
    <w:unhideWhenUsed w:val="1"/>
    <w:pPr>
      <w:pBdr/>
      <w:spacing/>
      <w:ind/>
    </w:pPr>
    <w:rPr>
      <w:vertAlign w:val="superscript"/>
    </w:rPr>
  </w:style>
  <w:style w:type="paragraph" w:styleId="184">
    <w:name w:val="endnote text"/>
    <w:basedOn w:val="826"/>
    <w:link w:val="185"/>
    <w:uiPriority w:val="99"/>
    <w:semiHidden w:val="1"/>
    <w:unhideWhenUsed w:val="1"/>
    <w:pPr>
      <w:pBdr/>
      <w:spacing w:after="0" w:line="240" w:lineRule="auto"/>
      <w:ind/>
    </w:pPr>
    <w:rPr>
      <w:sz w:val="20"/>
      <w:szCs w:val="20"/>
    </w:rPr>
  </w:style>
  <w:style w:type="character" w:styleId="185">
    <w:name w:val="Endnote Text Char"/>
    <w:basedOn w:val="836"/>
    <w:link w:val="184"/>
    <w:uiPriority w:val="99"/>
    <w:semiHidden w:val="1"/>
    <w:pPr>
      <w:pBdr/>
      <w:spacing/>
      <w:ind/>
    </w:pPr>
    <w:rPr>
      <w:sz w:val="20"/>
      <w:szCs w:val="20"/>
    </w:rPr>
  </w:style>
  <w:style w:type="character" w:styleId="186">
    <w:name w:val="endnote reference"/>
    <w:basedOn w:val="836"/>
    <w:uiPriority w:val="99"/>
    <w:semiHidden w:val="1"/>
    <w:unhideWhenUsed w:val="1"/>
    <w:pPr>
      <w:pBdr/>
      <w:spacing/>
      <w:ind/>
    </w:pPr>
    <w:rPr>
      <w:vertAlign w:val="superscript"/>
    </w:rPr>
  </w:style>
  <w:style w:type="paragraph" w:styleId="189">
    <w:name w:val="toc 1"/>
    <w:basedOn w:val="826"/>
    <w:next w:val="826"/>
    <w:uiPriority w:val="39"/>
    <w:unhideWhenUsed w:val="1"/>
    <w:pPr>
      <w:pBdr/>
      <w:spacing w:after="100"/>
      <w:ind/>
    </w:pPr>
  </w:style>
  <w:style w:type="paragraph" w:styleId="190">
    <w:name w:val="toc 2"/>
    <w:basedOn w:val="826"/>
    <w:next w:val="826"/>
    <w:uiPriority w:val="39"/>
    <w:unhideWhenUsed w:val="1"/>
    <w:pPr>
      <w:pBdr/>
      <w:spacing w:after="100"/>
      <w:ind w:left="220"/>
    </w:pPr>
  </w:style>
  <w:style w:type="paragraph" w:styleId="191">
    <w:name w:val="toc 3"/>
    <w:basedOn w:val="826"/>
    <w:next w:val="826"/>
    <w:uiPriority w:val="39"/>
    <w:unhideWhenUsed w:val="1"/>
    <w:pPr>
      <w:pBdr/>
      <w:spacing w:after="100"/>
      <w:ind w:left="440"/>
    </w:pPr>
  </w:style>
  <w:style w:type="paragraph" w:styleId="192">
    <w:name w:val="toc 4"/>
    <w:basedOn w:val="826"/>
    <w:next w:val="826"/>
    <w:uiPriority w:val="39"/>
    <w:unhideWhenUsed w:val="1"/>
    <w:pPr>
      <w:pBdr/>
      <w:spacing w:after="100"/>
      <w:ind w:left="660"/>
    </w:pPr>
  </w:style>
  <w:style w:type="paragraph" w:styleId="193">
    <w:name w:val="toc 5"/>
    <w:basedOn w:val="826"/>
    <w:next w:val="826"/>
    <w:uiPriority w:val="39"/>
    <w:unhideWhenUsed w:val="1"/>
    <w:pPr>
      <w:pBdr/>
      <w:spacing w:after="100"/>
      <w:ind w:left="880"/>
    </w:pPr>
  </w:style>
  <w:style w:type="paragraph" w:styleId="194">
    <w:name w:val="toc 6"/>
    <w:basedOn w:val="826"/>
    <w:next w:val="826"/>
    <w:uiPriority w:val="39"/>
    <w:unhideWhenUsed w:val="1"/>
    <w:pPr>
      <w:pBdr/>
      <w:spacing w:after="100"/>
      <w:ind w:left="1100"/>
    </w:pPr>
  </w:style>
  <w:style w:type="paragraph" w:styleId="195">
    <w:name w:val="toc 7"/>
    <w:basedOn w:val="826"/>
    <w:next w:val="826"/>
    <w:uiPriority w:val="39"/>
    <w:unhideWhenUsed w:val="1"/>
    <w:pPr>
      <w:pBdr/>
      <w:spacing w:after="100"/>
      <w:ind w:left="1320"/>
    </w:pPr>
  </w:style>
  <w:style w:type="paragraph" w:styleId="196">
    <w:name w:val="toc 8"/>
    <w:basedOn w:val="826"/>
    <w:next w:val="826"/>
    <w:uiPriority w:val="39"/>
    <w:unhideWhenUsed w:val="1"/>
    <w:pPr>
      <w:pBdr/>
      <w:spacing w:after="100"/>
      <w:ind w:left="1540"/>
    </w:pPr>
  </w:style>
  <w:style w:type="paragraph" w:styleId="197">
    <w:name w:val="toc 9"/>
    <w:basedOn w:val="826"/>
    <w:next w:val="826"/>
    <w:uiPriority w:val="39"/>
    <w:unhideWhenUsed w:val="1"/>
    <w:pPr>
      <w:pBdr/>
      <w:spacing w:after="100"/>
      <w:ind w:left="1760"/>
    </w:pPr>
  </w:style>
  <w:style w:type="paragraph" w:styleId="208">
    <w:name w:val="TOC Heading"/>
    <w:uiPriority w:val="39"/>
    <w:unhideWhenUsed w:val="1"/>
    <w:pPr>
      <w:pBdr/>
      <w:spacing/>
      <w:ind/>
    </w:pPr>
  </w:style>
  <w:style w:type="paragraph" w:styleId="209">
    <w:name w:val="table of figures"/>
    <w:basedOn w:val="826"/>
    <w:next w:val="826"/>
    <w:uiPriority w:val="99"/>
    <w:unhideWhenUsed w:val="1"/>
    <w:pPr>
      <w:pBdr/>
      <w:spacing w:after="0" w:afterAutospacing="0"/>
      <w:ind/>
    </w:pPr>
  </w:style>
  <w:style w:type="paragraph" w:styleId="833">
    <w:name w:val="Heading 7"/>
    <w:basedOn w:val="826"/>
    <w:next w:val="826"/>
    <w:link w:val="845"/>
    <w:uiPriority w:val="9"/>
    <w:semiHidden w:val="1"/>
    <w:unhideWhenUsed w:val="1"/>
    <w:qFormat w:val="1"/>
    <w:pPr>
      <w:keepNext w:val="1"/>
      <w:keepLines w:val="1"/>
      <w:pBdr/>
      <w:spacing w:after="0" w:before="40"/>
      <w:ind/>
      <w:outlineLvl w:val="6"/>
    </w:pPr>
    <w:rPr>
      <w:rFonts w:cstheme="majorBidi" w:eastAsiaTheme="majorEastAsia"/>
      <w:color w:val="595959" w:themeColor="text1" w:themeTint="0000A6"/>
    </w:rPr>
  </w:style>
  <w:style w:type="paragraph" w:styleId="834">
    <w:name w:val="Heading 8"/>
    <w:basedOn w:val="826"/>
    <w:next w:val="826"/>
    <w:link w:val="846"/>
    <w:uiPriority w:val="9"/>
    <w:semiHidden w:val="1"/>
    <w:unhideWhenUsed w:val="1"/>
    <w:qFormat w:val="1"/>
    <w:pPr>
      <w:keepNext w:val="1"/>
      <w:keepLines w:val="1"/>
      <w:pBdr/>
      <w:spacing w:after="0"/>
      <w:ind/>
      <w:outlineLvl w:val="7"/>
    </w:pPr>
    <w:rPr>
      <w:rFonts w:cstheme="majorBidi" w:eastAsiaTheme="majorEastAsia"/>
      <w:i w:val="1"/>
      <w:iCs w:val="1"/>
      <w:color w:val="272727" w:themeColor="text1" w:themeTint="0000D8"/>
    </w:rPr>
  </w:style>
  <w:style w:type="paragraph" w:styleId="835">
    <w:name w:val="Heading 9"/>
    <w:basedOn w:val="826"/>
    <w:next w:val="826"/>
    <w:link w:val="847"/>
    <w:uiPriority w:val="9"/>
    <w:semiHidden w:val="1"/>
    <w:unhideWhenUsed w:val="1"/>
    <w:qFormat w:val="1"/>
    <w:pPr>
      <w:keepNext w:val="1"/>
      <w:keepLines w:val="1"/>
      <w:pBdr/>
      <w:spacing w:after="0"/>
      <w:ind/>
      <w:outlineLvl w:val="8"/>
    </w:pPr>
    <w:rPr>
      <w:rFonts w:cstheme="majorBidi" w:eastAsiaTheme="majorEastAsia"/>
      <w:color w:val="272727" w:themeColor="text1" w:themeTint="0000D8"/>
    </w:rPr>
  </w:style>
  <w:style w:type="character" w:styleId="836" w:default="1">
    <w:name w:val="Default Paragraph Font"/>
    <w:uiPriority w:val="1"/>
    <w:semiHidden w:val="1"/>
    <w:unhideWhenUsed w:val="1"/>
    <w:pPr>
      <w:pBdr/>
      <w:spacing/>
      <w:ind/>
    </w:pPr>
  </w:style>
  <w:style w:type="table" w:styleId="837"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8" w:default="1">
    <w:name w:val="No List"/>
    <w:uiPriority w:val="99"/>
    <w:semiHidden w:val="1"/>
    <w:unhideWhenUsed w:val="1"/>
    <w:pPr>
      <w:pBdr/>
      <w:spacing/>
      <w:ind/>
    </w:pPr>
  </w:style>
  <w:style w:type="character" w:styleId="839" w:customStyle="1">
    <w:name w:val="Heading 1 Char"/>
    <w:basedOn w:val="836"/>
    <w:link w:val="827"/>
    <w:uiPriority w:val="9"/>
    <w:pPr>
      <w:pBdr/>
      <w:spacing/>
      <w:ind/>
    </w:pPr>
    <w:rPr>
      <w:rFonts w:asciiTheme="majorHAnsi" w:cstheme="majorBidi" w:eastAsiaTheme="majorEastAsia" w:hAnsiTheme="majorHAnsi"/>
      <w:color w:val="0f4761" w:themeColor="accent1" w:themeShade="0000BF"/>
      <w:sz w:val="40"/>
      <w:szCs w:val="40"/>
    </w:rPr>
  </w:style>
  <w:style w:type="character" w:styleId="840" w:customStyle="1">
    <w:name w:val="Heading 2 Char"/>
    <w:basedOn w:val="836"/>
    <w:link w:val="828"/>
    <w:uiPriority w:val="9"/>
    <w:semiHidden w:val="1"/>
    <w:pPr>
      <w:pBdr/>
      <w:spacing/>
      <w:ind/>
    </w:pPr>
    <w:rPr>
      <w:rFonts w:asciiTheme="majorHAnsi" w:cstheme="majorBidi" w:eastAsiaTheme="majorEastAsia" w:hAnsiTheme="majorHAnsi"/>
      <w:color w:val="0f4761" w:themeColor="accent1" w:themeShade="0000BF"/>
      <w:sz w:val="32"/>
      <w:szCs w:val="32"/>
    </w:rPr>
  </w:style>
  <w:style w:type="character" w:styleId="841" w:customStyle="1">
    <w:name w:val="Heading 3 Char"/>
    <w:basedOn w:val="836"/>
    <w:link w:val="829"/>
    <w:uiPriority w:val="9"/>
    <w:pPr>
      <w:pBdr/>
      <w:spacing/>
      <w:ind/>
    </w:pPr>
    <w:rPr>
      <w:rFonts w:cstheme="majorBidi" w:eastAsiaTheme="majorEastAsia"/>
      <w:color w:val="0f4761" w:themeColor="accent1" w:themeShade="0000BF"/>
      <w:sz w:val="28"/>
      <w:szCs w:val="28"/>
    </w:rPr>
  </w:style>
  <w:style w:type="character" w:styleId="842" w:customStyle="1">
    <w:name w:val="Heading 4 Char"/>
    <w:basedOn w:val="836"/>
    <w:link w:val="830"/>
    <w:uiPriority w:val="9"/>
    <w:semiHidden w:val="1"/>
    <w:pPr>
      <w:pBdr/>
      <w:spacing/>
      <w:ind/>
    </w:pPr>
    <w:rPr>
      <w:rFonts w:cstheme="majorBidi" w:eastAsiaTheme="majorEastAsia"/>
      <w:i w:val="1"/>
      <w:iCs w:val="1"/>
      <w:color w:val="0f4761" w:themeColor="accent1" w:themeShade="0000BF"/>
    </w:rPr>
  </w:style>
  <w:style w:type="character" w:styleId="843" w:customStyle="1">
    <w:name w:val="Heading 5 Char"/>
    <w:basedOn w:val="836"/>
    <w:link w:val="831"/>
    <w:uiPriority w:val="9"/>
    <w:semiHidden w:val="1"/>
    <w:pPr>
      <w:pBdr/>
      <w:spacing/>
      <w:ind/>
    </w:pPr>
    <w:rPr>
      <w:rFonts w:cstheme="majorBidi" w:eastAsiaTheme="majorEastAsia"/>
      <w:color w:val="0f4761" w:themeColor="accent1" w:themeShade="0000BF"/>
    </w:rPr>
  </w:style>
  <w:style w:type="character" w:styleId="844" w:customStyle="1">
    <w:name w:val="Heading 6 Char"/>
    <w:basedOn w:val="836"/>
    <w:link w:val="832"/>
    <w:uiPriority w:val="9"/>
    <w:semiHidden w:val="1"/>
    <w:pPr>
      <w:pBdr/>
      <w:spacing/>
      <w:ind/>
    </w:pPr>
    <w:rPr>
      <w:rFonts w:cstheme="majorBidi" w:eastAsiaTheme="majorEastAsia"/>
      <w:i w:val="1"/>
      <w:iCs w:val="1"/>
      <w:color w:val="595959" w:themeColor="text1" w:themeTint="0000A6"/>
    </w:rPr>
  </w:style>
  <w:style w:type="character" w:styleId="845" w:customStyle="1">
    <w:name w:val="Heading 7 Char"/>
    <w:basedOn w:val="836"/>
    <w:link w:val="833"/>
    <w:uiPriority w:val="9"/>
    <w:semiHidden w:val="1"/>
    <w:pPr>
      <w:pBdr/>
      <w:spacing/>
      <w:ind/>
    </w:pPr>
    <w:rPr>
      <w:rFonts w:cstheme="majorBidi" w:eastAsiaTheme="majorEastAsia"/>
      <w:color w:val="595959" w:themeColor="text1" w:themeTint="0000A6"/>
    </w:rPr>
  </w:style>
  <w:style w:type="character" w:styleId="846" w:customStyle="1">
    <w:name w:val="Heading 8 Char"/>
    <w:basedOn w:val="836"/>
    <w:link w:val="834"/>
    <w:uiPriority w:val="9"/>
    <w:semiHidden w:val="1"/>
    <w:pPr>
      <w:pBdr/>
      <w:spacing/>
      <w:ind/>
    </w:pPr>
    <w:rPr>
      <w:rFonts w:cstheme="majorBidi" w:eastAsiaTheme="majorEastAsia"/>
      <w:i w:val="1"/>
      <w:iCs w:val="1"/>
      <w:color w:val="272727" w:themeColor="text1" w:themeTint="0000D8"/>
    </w:rPr>
  </w:style>
  <w:style w:type="character" w:styleId="847" w:customStyle="1">
    <w:name w:val="Heading 9 Char"/>
    <w:basedOn w:val="836"/>
    <w:link w:val="835"/>
    <w:uiPriority w:val="9"/>
    <w:semiHidden w:val="1"/>
    <w:pPr>
      <w:pBdr/>
      <w:spacing/>
      <w:ind/>
    </w:pPr>
    <w:rPr>
      <w:rFonts w:cstheme="majorBidi" w:eastAsiaTheme="majorEastAsia"/>
      <w:color w:val="272727" w:themeColor="text1" w:themeTint="0000D8"/>
    </w:rPr>
  </w:style>
  <w:style w:type="character" w:styleId="849" w:customStyle="1">
    <w:name w:val="Title Char"/>
    <w:basedOn w:val="836"/>
    <w:link w:val="848"/>
    <w:uiPriority w:val="10"/>
    <w:pPr>
      <w:pBdr/>
      <w:spacing/>
      <w:ind/>
    </w:pPr>
    <w:rPr>
      <w:rFonts w:asciiTheme="majorHAnsi" w:cstheme="majorBidi" w:eastAsiaTheme="majorEastAsia" w:hAnsiTheme="majorHAnsi"/>
      <w:spacing w:val="-10"/>
      <w:sz w:val="56"/>
      <w:szCs w:val="56"/>
    </w:rPr>
  </w:style>
  <w:style w:type="character" w:styleId="851" w:customStyle="1">
    <w:name w:val="Subtitle Char"/>
    <w:basedOn w:val="836"/>
    <w:link w:val="850"/>
    <w:uiPriority w:val="11"/>
    <w:pPr>
      <w:pBdr/>
      <w:spacing/>
      <w:ind/>
    </w:pPr>
    <w:rPr>
      <w:rFonts w:cstheme="majorBidi" w:eastAsiaTheme="majorEastAsia"/>
      <w:color w:val="595959" w:themeColor="text1" w:themeTint="0000A6"/>
      <w:spacing w:val="15"/>
      <w:sz w:val="28"/>
      <w:szCs w:val="28"/>
    </w:rPr>
  </w:style>
  <w:style w:type="paragraph" w:styleId="852">
    <w:name w:val="Quote"/>
    <w:basedOn w:val="826"/>
    <w:next w:val="826"/>
    <w:link w:val="853"/>
    <w:uiPriority w:val="29"/>
    <w:qFormat w:val="1"/>
    <w:pPr>
      <w:pBdr/>
      <w:spacing w:before="160"/>
      <w:ind/>
      <w:jc w:val="center"/>
    </w:pPr>
    <w:rPr>
      <w:i w:val="1"/>
      <w:iCs w:val="1"/>
      <w:color w:val="404040" w:themeColor="text1" w:themeTint="0000BF"/>
    </w:rPr>
  </w:style>
  <w:style w:type="character" w:styleId="853" w:customStyle="1">
    <w:name w:val="Quote Char"/>
    <w:basedOn w:val="836"/>
    <w:link w:val="852"/>
    <w:uiPriority w:val="29"/>
    <w:pPr>
      <w:pBdr/>
      <w:spacing/>
      <w:ind/>
    </w:pPr>
    <w:rPr>
      <w:i w:val="1"/>
      <w:iCs w:val="1"/>
      <w:color w:val="404040" w:themeColor="text1" w:themeTint="0000BF"/>
    </w:rPr>
  </w:style>
  <w:style w:type="paragraph" w:styleId="854">
    <w:name w:val="List Paragraph"/>
    <w:basedOn w:val="826"/>
    <w:uiPriority w:val="34"/>
    <w:qFormat w:val="1"/>
    <w:pPr>
      <w:pBdr/>
      <w:spacing/>
      <w:ind w:left="720"/>
      <w:contextualSpacing w:val="1"/>
    </w:pPr>
  </w:style>
  <w:style w:type="character" w:styleId="855">
    <w:name w:val="Intense Emphasis"/>
    <w:basedOn w:val="836"/>
    <w:uiPriority w:val="21"/>
    <w:qFormat w:val="1"/>
    <w:pPr>
      <w:pBdr/>
      <w:spacing/>
      <w:ind/>
    </w:pPr>
    <w:rPr>
      <w:i w:val="1"/>
      <w:iCs w:val="1"/>
      <w:color w:val="0f4761" w:themeColor="accent1" w:themeShade="0000BF"/>
    </w:rPr>
  </w:style>
  <w:style w:type="paragraph" w:styleId="856">
    <w:name w:val="Intense Quote"/>
    <w:basedOn w:val="826"/>
    <w:next w:val="826"/>
    <w:link w:val="85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857" w:customStyle="1">
    <w:name w:val="Intense Quote Char"/>
    <w:basedOn w:val="836"/>
    <w:link w:val="856"/>
    <w:uiPriority w:val="30"/>
    <w:pPr>
      <w:pBdr/>
      <w:spacing/>
      <w:ind/>
    </w:pPr>
    <w:rPr>
      <w:i w:val="1"/>
      <w:iCs w:val="1"/>
      <w:color w:val="0f4761" w:themeColor="accent1" w:themeShade="0000BF"/>
    </w:rPr>
  </w:style>
  <w:style w:type="character" w:styleId="858">
    <w:name w:val="Intense Reference"/>
    <w:basedOn w:val="836"/>
    <w:uiPriority w:val="32"/>
    <w:qFormat w:val="1"/>
    <w:pPr>
      <w:pBdr/>
      <w:spacing/>
      <w:ind/>
    </w:pPr>
    <w:rPr>
      <w:b w:val="1"/>
      <w:bCs w:val="1"/>
      <w:smallCaps w:val="1"/>
      <w:color w:val="0f4761" w:themeColor="accent1" w:themeShade="0000BF"/>
      <w:spacing w:val="5"/>
    </w:rPr>
  </w:style>
  <w:style w:type="paragraph" w:styleId="859">
    <w:name w:val="Header"/>
    <w:basedOn w:val="826"/>
    <w:link w:val="860"/>
    <w:uiPriority w:val="99"/>
    <w:unhideWhenUsed w:val="1"/>
    <w:pPr>
      <w:pBdr/>
      <w:tabs>
        <w:tab w:val="center" w:leader="none" w:pos="4513"/>
        <w:tab w:val="right" w:leader="none" w:pos="9026"/>
      </w:tabs>
      <w:spacing w:after="0" w:line="240" w:lineRule="auto"/>
      <w:ind/>
    </w:pPr>
  </w:style>
  <w:style w:type="character" w:styleId="860" w:customStyle="1">
    <w:name w:val="Header Char"/>
    <w:basedOn w:val="836"/>
    <w:link w:val="859"/>
    <w:uiPriority w:val="99"/>
    <w:pPr>
      <w:pBdr/>
      <w:spacing/>
      <w:ind/>
    </w:pPr>
  </w:style>
  <w:style w:type="paragraph" w:styleId="861">
    <w:name w:val="Footer"/>
    <w:basedOn w:val="826"/>
    <w:link w:val="862"/>
    <w:uiPriority w:val="99"/>
    <w:unhideWhenUsed w:val="1"/>
    <w:pPr>
      <w:pBdr/>
      <w:tabs>
        <w:tab w:val="center" w:leader="none" w:pos="4513"/>
        <w:tab w:val="right" w:leader="none" w:pos="9026"/>
      </w:tabs>
      <w:spacing w:after="0" w:line="240" w:lineRule="auto"/>
      <w:ind/>
    </w:pPr>
  </w:style>
  <w:style w:type="character" w:styleId="862" w:customStyle="1">
    <w:name w:val="Footer Char"/>
    <w:basedOn w:val="836"/>
    <w:link w:val="861"/>
    <w:uiPriority w:val="99"/>
    <w:pPr>
      <w:pBdr/>
      <w:spacing/>
      <w:ind/>
    </w:pPr>
  </w:style>
  <w:style w:type="paragraph" w:styleId="863" w:customStyle="1">
    <w:name w:val="imprint"/>
    <w:semiHidden w:val="1"/>
    <w:qFormat w:val="1"/>
    <w:pPr>
      <w:pBdr/>
      <w:spacing w:after="0" w:line="240" w:lineRule="auto"/>
      <w:ind/>
    </w:pPr>
    <w:rPr>
      <w:rFonts w:ascii="Gill Sans Std" w:cs="Times New Roman" w:eastAsia="Calibri" w:hAnsi="Gill Sans Std"/>
      <w:sz w:val="14"/>
      <w:szCs w:val="14"/>
      <w:lang w:val="en-US"/>
    </w:rPr>
  </w:style>
  <w:style w:type="paragraph" w:styleId="864" w:customStyle="1">
    <w:name w:val="Text"/>
    <w:basedOn w:val="826"/>
    <w:next w:val="826"/>
    <w:link w:val="865"/>
    <w:qFormat w:val="1"/>
    <w:pPr>
      <w:pBdr/>
      <w:spacing w:after="0" w:line="240" w:lineRule="exact"/>
      <w:ind/>
      <w:jc w:val="both"/>
    </w:pPr>
    <w:rPr>
      <w:rFonts w:ascii="Times New Roman" w:cs="Times New Roman" w:eastAsia="Calibri" w:hAnsi="Times New Roman"/>
      <w:color w:val="000000"/>
      <w:sz w:val="20"/>
      <w:szCs w:val="20"/>
    </w:rPr>
  </w:style>
  <w:style w:type="character" w:styleId="865" w:customStyle="1">
    <w:name w:val="Text Char"/>
    <w:link w:val="864"/>
    <w:pPr>
      <w:pBdr/>
      <w:spacing/>
      <w:ind/>
    </w:pPr>
    <w:rPr>
      <w:rFonts w:ascii="Times New Roman" w:cs="Times New Roman" w:eastAsia="Calibri" w:hAnsi="Times New Roman"/>
      <w:color w:val="000000"/>
      <w:sz w:val="20"/>
      <w:szCs w:val="20"/>
    </w:rPr>
  </w:style>
  <w:style w:type="paragraph" w:styleId="866" w:customStyle="1">
    <w:name w:val="TEXT IND"/>
    <w:basedOn w:val="826"/>
    <w:pPr>
      <w:pBdr/>
      <w:spacing w:after="0" w:line="240" w:lineRule="exact"/>
      <w:ind w:firstLine="240"/>
      <w:jc w:val="both"/>
    </w:pPr>
    <w:rPr>
      <w:rFonts w:ascii="Times New Roman" w:cs="Times New Roman" w:eastAsia="Calibri" w:hAnsi="Times New Roman"/>
      <w:sz w:val="20"/>
      <w:szCs w:val="20"/>
    </w:rPr>
  </w:style>
  <w:style w:type="table" w:styleId="867">
    <w:name w:val="Table Grid"/>
    <w:basedOn w:val="837"/>
    <w:uiPriority w:val="39"/>
    <w:pPr>
      <w:pBdr/>
      <w:spacing w:after="0" w:line="240" w:lineRule="auto"/>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yperlink"/>
    <w:basedOn w:val="836"/>
    <w:uiPriority w:val="99"/>
    <w:unhideWhenUsed w:val="1"/>
    <w:pPr>
      <w:pBdr/>
      <w:spacing/>
      <w:ind/>
    </w:pPr>
    <w:rPr>
      <w:color w:val="467886" w:themeColor="hyperlink"/>
      <w:u w:val="single"/>
    </w:rPr>
  </w:style>
  <w:style w:type="character" w:styleId="869">
    <w:name w:val="Unresolved Mention"/>
    <w:basedOn w:val="836"/>
    <w:uiPriority w:val="99"/>
    <w:semiHidden w:val="1"/>
    <w:unhideWhenUsed w:val="1"/>
    <w:pPr>
      <w:pBdr/>
      <w:spacing/>
      <w:ind/>
    </w:pPr>
    <w:rPr>
      <w:color w:val="605e5c"/>
      <w:shd w:color="auto" w:fill="e1dfdd" w:val="clear"/>
    </w:rPr>
  </w:style>
  <w:style w:type="character" w:styleId="870">
    <w:name w:val="line number"/>
    <w:basedOn w:val="836"/>
    <w:uiPriority w:val="99"/>
    <w:semiHidden w:val="1"/>
    <w:unhideWhenUsed w:val="1"/>
    <w:pPr>
      <w:pBdr/>
      <w:spacing/>
      <w:ind/>
    </w:pPr>
  </w:style>
  <w:style w:type="character" w:styleId="871" w:customStyle="1">
    <w:name w:val="hps"/>
    <w:pPr>
      <w:pBdr/>
      <w:spacing/>
      <w:ind/>
    </w:pPr>
  </w:style>
  <w:style w:type="character" w:styleId="872">
    <w:name w:val="Placeholder Text"/>
    <w:basedOn w:val="836"/>
    <w:uiPriority w:val="99"/>
    <w:semiHidden w:val="1"/>
    <w:pPr>
      <w:pBdr/>
      <w:spacing/>
      <w:ind/>
    </w:pPr>
    <w:rPr>
      <w:color w:val="666666"/>
    </w:rPr>
  </w:style>
  <w:style w:type="paragraph" w:styleId="873" w:customStyle="1">
    <w:name w:val="Ref"/>
    <w:basedOn w:val="826"/>
    <w:qFormat w:val="1"/>
    <w:pPr>
      <w:pBdr/>
      <w:tabs>
        <w:tab w:val="left" w:leader="none" w:pos="357"/>
      </w:tabs>
      <w:spacing w:after="0" w:line="240" w:lineRule="auto"/>
      <w:ind w:left="357" w:hanging="357"/>
      <w:jc w:val="both"/>
    </w:pPr>
    <w:rPr>
      <w:rFonts w:ascii="Times New Roman" w:cs="Times New Roman" w:eastAsia="Calibri" w:hAnsi="Times New Roman"/>
      <w:color w:val="000000"/>
      <w:sz w:val="20"/>
      <w:szCs w:val="20"/>
    </w:rPr>
  </w:style>
  <w:style w:type="character" w:styleId="874">
    <w:name w:val="FollowedHyperlink"/>
    <w:basedOn w:val="836"/>
    <w:uiPriority w:val="99"/>
    <w:semiHidden w:val="1"/>
    <w:unhideWhenUsed w:val="1"/>
    <w:pPr>
      <w:pBdr/>
      <w:spacing/>
      <w:ind/>
    </w:pPr>
    <w:rPr>
      <w:color w:val="96607d" w:themeColor="followedHyperlink"/>
      <w:u w:val="single"/>
    </w:rPr>
  </w:style>
  <w:style w:type="character" w:styleId="875">
    <w:name w:val="annotation reference"/>
    <w:basedOn w:val="836"/>
    <w:uiPriority w:val="99"/>
    <w:semiHidden w:val="1"/>
    <w:unhideWhenUsed w:val="1"/>
    <w:pPr>
      <w:pBdr/>
      <w:spacing/>
      <w:ind/>
    </w:pPr>
    <w:rPr>
      <w:sz w:val="16"/>
      <w:szCs w:val="16"/>
    </w:rPr>
  </w:style>
  <w:style w:type="paragraph" w:styleId="876">
    <w:name w:val="annotation text"/>
    <w:basedOn w:val="826"/>
    <w:link w:val="877"/>
    <w:uiPriority w:val="99"/>
    <w:unhideWhenUsed w:val="1"/>
    <w:pPr>
      <w:pBdr/>
      <w:spacing w:line="240" w:lineRule="auto"/>
      <w:ind/>
    </w:pPr>
    <w:rPr>
      <w:sz w:val="20"/>
      <w:szCs w:val="20"/>
    </w:rPr>
  </w:style>
  <w:style w:type="character" w:styleId="877" w:customStyle="1">
    <w:name w:val="Comment Text Char"/>
    <w:basedOn w:val="836"/>
    <w:link w:val="876"/>
    <w:uiPriority w:val="99"/>
    <w:pPr>
      <w:pBdr/>
      <w:spacing/>
      <w:ind/>
    </w:pPr>
    <w:rPr>
      <w:sz w:val="20"/>
      <w:szCs w:val="20"/>
    </w:rPr>
  </w:style>
  <w:style w:type="paragraph" w:styleId="878">
    <w:name w:val="annotation subject"/>
    <w:basedOn w:val="876"/>
    <w:next w:val="876"/>
    <w:link w:val="879"/>
    <w:uiPriority w:val="99"/>
    <w:semiHidden w:val="1"/>
    <w:unhideWhenUsed w:val="1"/>
    <w:pPr>
      <w:pBdr/>
      <w:spacing/>
      <w:ind/>
    </w:pPr>
    <w:rPr>
      <w:b w:val="1"/>
      <w:bCs w:val="1"/>
    </w:rPr>
  </w:style>
  <w:style w:type="character" w:styleId="879" w:customStyle="1">
    <w:name w:val="Comment Subject Char"/>
    <w:basedOn w:val="877"/>
    <w:link w:val="878"/>
    <w:uiPriority w:val="99"/>
    <w:semiHidden w:val="1"/>
    <w:pPr>
      <w:pBdr/>
      <w:spacing/>
      <w:ind/>
    </w:pPr>
    <w:rPr>
      <w:b w:val="1"/>
      <w:bCs w:val="1"/>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ta01-figura-1.png"/><Relationship Id="rId13" Type="http://schemas.openxmlformats.org/officeDocument/2006/relationships/image" Target="media/ta01-figura-3.png"/><Relationship Id="rId12" Type="http://schemas.openxmlformats.org/officeDocument/2006/relationships/image" Target="media/ta01-figura-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5"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orcid.org/0009-0004-0869-3881" TargetMode="External"/><Relationship Id="rId8" Type="http://schemas.openxmlformats.org/officeDocument/2006/relationships/hyperlink" Target="https://orcid.org/0009-0007-4728-138X" TargetMode="External"/><Relationship Id="rIdArticleComments" Type="http://schemas.openxmlformats.org/officeDocument/2006/relationships/comments" Target="comment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 Id="rId2"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HM5YpHqoPxc90XkyJYDXNKguQ==">CgMxLjAaJQoBMBIgCh4IB0IaCg9UaW1lcyBOZXcgUm9tYW4SB0d1bmdzdWgaIwoBMRIeChwIB0IYCg9UaW1lcyBOZXcgUm9tYW4SBUNhcmRvGiMKATISHgocCAdCGAoPVGltZXMgTmV3IFJvbWFuEgVDYXJkbxojCgEzEh4KHAgHQhgKD1RpbWVzIE5ldyBSb21hbhIFQ2FyZG8aJQoBNBIgCh4IB0IaCg9UaW1lcyBOZXcgUm9tYW4SB0d1bmdzdWg4AHIhMXJicUg4V1B6ZWdQLVFHalRyU1NJWVRBZllCVzgyRW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2025-03-25T09:42:00Z</dcterms:created>
  <dc:creator>Roberto Enrique Quezada-Rodríguez; Melanie Celeste Tello Fuentes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0x010100E2A5FDBDACA4AD44B71A4852710633C5</vt:lpwstr>
  </property>
</Properties>
</file>