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96"/>
        <w:widowControl w:val="true"/>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32"/>
        </w:rPr>
        <w:t xml:space="preserve">Prototipo semisintético FEM LSTM con corrección guiada por física para pronosticar desplazamientos en taludes</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00000002">
      <w:pPr>
        <w:pStyle w:val="897"/>
        <w:widowControl w:val="true"/>
        <w:pBdr/>
        <w:spacing w:after="80" w:line="480" w:lineRule="auto"/>
        <w:ind/>
        <w:jc w:val="center"/>
        <w:rPr>
          <w:rFonts w:ascii="Times New Roman" w:hAnsi="Times New Roman" w:eastAsia="Times New Roman" w:cs="Times New Roman"/>
          <w:b/>
          <w:bCs/>
          <w:sz w:val="28"/>
          <w:szCs w:val="28"/>
        </w:rPr>
      </w:pPr>
      <w:r>
        <w:rPr>
          <w:rFonts w:ascii="Times New Roman" w:hAnsi="Times New Roman"/>
          <w:color w:val="000000"/>
          <w:sz w:val="24"/>
        </w:rPr>
        <w:t xml:space="preserve">Semisynthetic FEM LSTM prototype with physics guided correction for slope displacement forecasting</w:t>
        <w:br/>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pPr>
        <w:pBdr/>
        <w:spacing/>
        <w:ind/>
        <w:rPr/>
      </w:pPr>
      <w:r>
        <w:t xml:space="preserve">Título abreviado: Pronóstico semisintético FEM–LSTM en taludes</w:t>
      </w:r>
      <w:r/>
    </w:p>
    <w:p w14:paraId="00000003">
      <w:pPr>
        <w:widowControl w:val="true"/>
        <w:pBdr/>
        <w:spacing w:after="80" w:line="480" w:lineRule="auto"/>
        <w:ind w:firstLine="283" w:left="0"/>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Roberto Enrique Quezada-Rodríguez. Universidad Nacional de Trujillo. Trujillo, Perú.</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4">
      <w:pPr>
        <w:widowControl w:val="true"/>
        <w:pBdr/>
        <w:spacing w:after="80" w:line="480" w:lineRule="auto"/>
        <w:ind w:firstLine="283" w:left="0"/>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requezadaro@unitru.edu.pe. ORCID 0009-0004-0869-3881 </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5">
      <w:pPr>
        <w:widowControl w:val="true"/>
        <w:pBdr/>
        <w:spacing w:after="80" w:line="480" w:lineRule="auto"/>
        <w:ind w:firstLine="283" w:left="0"/>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Melanie Celeste Tello Fuentes. Universidad Nacional de Trujillo. Trujillo, Perú.</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6">
      <w:pPr>
        <w:widowControl w:val="true"/>
        <w:pBdr/>
        <w:spacing w:after="80" w:line="480" w:lineRule="auto"/>
        <w:ind w:firstLine="283" w:left="0"/>
        <w:jc w:val="left"/>
        <w:rPr>
          <w:rFonts w:ascii="Times New Roman" w:hAnsi="Times New Roman" w:eastAsia="Times New Roman" w:cs="Times New Roman"/>
          <w:b/>
          <w:bCs/>
          <w:sz w:val="24"/>
          <w:szCs w:val="24"/>
        </w:rPr>
      </w:pPr>
      <w:r>
        <w:rPr>
          <w:rFonts w:ascii="Times New Roman" w:hAnsi="Times New Roman"/>
          <w:color w:val="000000"/>
          <w:sz w:val="24"/>
        </w:rPr>
      </w:r>
      <w:hyperlink r:id="rId8" w:tooltip="mailto:mctellofu@unitru.edu.pe" w:history="1">
        <w:r>
          <w:rPr>
            <w:rFonts w:ascii="Times New Roman" w:hAnsi="Times New Roman" w:eastAsia="Times New Roman" w:cs="Times New Roman"/>
            <w:b/>
            <w:bCs/>
            <w:sz w:val="24"/>
            <w:szCs w:val="24"/>
            <w:rtl w:val="0"/>
          </w:rPr>
          <w:t xml:space="preserve">mctellofu@unitru.edu.pe</w:t>
        </w:r>
      </w:hyperlink>
      <w:r>
        <w:rPr>
          <w:rFonts w:ascii="Times New Roman" w:hAnsi="Times New Roman" w:eastAsia="Times New Roman" w:cs="Times New Roman"/>
          <w:b/>
          <w:bCs/>
          <w:color w:val="000000"/>
          <w:sz w:val="24"/>
          <w:szCs w:val="24"/>
          <w:rtl w:val="0"/>
        </w:rPr>
        <w:t xml:space="preserve">.</w:t>
      </w:r>
      <w:r>
        <w:rPr>
          <w:rFonts w:ascii="Times New Roman" w:hAnsi="Times New Roman" w:eastAsia="Times New Roman" w:cs="Times New Roman"/>
          <w:b/>
          <w:bCs/>
          <w:color w:val="000000"/>
          <w:sz w:val="24"/>
          <w:szCs w:val="24"/>
          <w:rtl w:val="0"/>
          <w:lang w:val="es-ES"/>
        </w:rPr>
        <w:t xml:space="preserve"> ORCID </w:t>
      </w:r>
      <w:r>
        <w:rPr>
          <w:rFonts w:ascii="Times New Roman" w:hAnsi="Times New Roman" w:eastAsia="Times New Roman" w:cs="Times New Roman"/>
          <w:b/>
          <w:bCs/>
          <w:color w:val="000000"/>
          <w:sz w:val="24"/>
          <w:szCs w:val="24"/>
          <w:rtl w:val="0"/>
          <w:lang w:val="es-ES"/>
        </w:rPr>
        <w:t xml:space="preserve">0009-0007-4728-138X</w:t>
      </w:r>
      <w:r>
        <w:rPr>
          <w:rFonts w:ascii="Times New Roman" w:hAnsi="Times New Roman" w:eastAsia="Times New Roman" w:cs="Times New Roman"/>
          <w:b/>
          <w:bCs/>
          <w:color w:val="000000"/>
          <w:sz w:val="24"/>
          <w:szCs w:val="24"/>
          <w:rtl w:val="0"/>
          <w:lang w:val="es-ES"/>
        </w:rPr>
      </w:r>
      <w:r>
        <w:rPr>
          <w:rFonts w:ascii="Times New Roman" w:hAnsi="Times New Roman" w:eastAsia="Times New Roman" w:cs="Times New Roman"/>
          <w:b/>
          <w:bCs/>
          <w:color w:val="000000"/>
          <w:sz w:val="24"/>
          <w:szCs w:val="24"/>
          <w:rtl w:val="0"/>
        </w:rPr>
        <w:b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7">
      <w:pPr>
        <w:keepNext w:val="true"/>
        <w:widowControl w:val="true"/>
        <w:pBdr/>
        <w:spacing w:after="80" w:before="160" w:line="480" w:lineRule="auto"/>
        <w:ind w:firstLine="283"/>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RESUMEN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8">
      <w:pPr>
        <w:widowControl w:val="true"/>
        <w:pBdr/>
        <w:spacing w:after="80" w:line="480" w:lineRule="auto"/>
        <w:ind w:firstLine="283"/>
        <w:jc w:val="both"/>
        <w:rPr>
          <w:rFonts w:ascii="Times New Roman" w:hAnsi="Times New Roman" w:eastAsia="Times New Roman" w:cs="Times New Roman"/>
          <w:b/>
          <w:bCs/>
          <w:sz w:val="24"/>
          <w:szCs w:val="24"/>
        </w:rPr>
      </w:pPr>
      <w:r>
        <w:rPr>
          <w:rFonts w:ascii="Times New Roman" w:hAnsi="Times New Roman"/>
          <w:color w:val="000000"/>
          <w:sz w:val="24"/>
        </w:rPr>
        <w:t xml:space="preserve">Introducción. La actualización frecuente de modelos de taludes exige relacionar lluvia, respuesta mecánica y series temporales sin confundir una demostración computacional con un sis</w:t>
      </w:r>
      <w:r>
        <w:rPr>
          <w:rFonts w:ascii="Times New Roman" w:hAnsi="Times New Roman"/>
          <w:color w:val="000000"/>
          <w:sz w:val="24"/>
        </w:rPr>
        <w:t xml:space="preserve">tema validado en campo. Objetivo. Evaluar un prototipo semisintético que combina un modelo de elementos finitos bidimensional (FEM), una red de memoria a corto y largo plazo (LSTM) y un corrector residual con restricciones de monotonía para pronosticar el </w:t>
      </w:r>
      <w:r>
        <w:rPr>
          <w:rFonts w:ascii="Times New Roman" w:hAnsi="Times New Roman"/>
          <w:color w:val="000000"/>
          <w:sz w:val="24"/>
        </w:rPr>
        <w:t xml:space="preserve">desplazamient</w:t>
      </w:r>
      <w:r>
        <w:rPr>
          <w:rFonts w:ascii="Times New Roman" w:hAnsi="Times New Roman"/>
          <w:color w:val="000000"/>
          <w:sz w:val="24"/>
        </w:rPr>
        <w:t xml:space="preserve">o máxim</w:t>
      </w:r>
      <w:r>
        <w:rPr>
          <w:rFonts w:ascii="Times New Roman" w:hAnsi="Times New Roman"/>
          <w:color w:val="000000"/>
          <w:sz w:val="24"/>
        </w:rPr>
        <w:t xml:space="preserve">o inducido por lluvia</w:t>
      </w:r>
      <w:r>
        <w:rPr>
          <w:rFonts w:ascii="Times New Roman" w:hAnsi="Times New Roman"/>
          <w:color w:val="000000"/>
          <w:sz w:val="24"/>
        </w:rPr>
        <w:t xml:space="preserve"> respecto del estado inicial</w:t>
      </w:r>
      <w:r>
        <w:rPr>
          <w:rFonts w:ascii="Times New Roman" w:hAnsi="Times New Roman"/>
          <w:color w:val="000000"/>
          <w:sz w:val="24"/>
        </w:rPr>
        <w:t xml:space="preserve">. Métodos. El caso TA-01 empleó geometría supuesta, precipitación</w:t>
      </w:r>
      <w:r>
        <w:rPr>
          <w:rFonts w:ascii="Times New Roman" w:hAnsi="Times New Roman"/>
          <w:color w:val="000000"/>
          <w:sz w:val="24"/>
        </w:rPr>
        <w:t xml:space="preserve"> diaria de reanálisis NASA POWER de 2020 a 2025 y 500 escenarios horarios de 24 h. Persistencia, regresión ridge, LSTM e híbrido se compararon mediante una partición por fechas y dos cortes cronológicos; la incertidumbre se estimó con 5000 remuestreos por </w:t>
      </w:r>
      <w:r>
        <w:rPr>
          <w:rFonts w:ascii="Times New Roman" w:hAnsi="Times New Roman"/>
          <w:color w:val="000000"/>
          <w:sz w:val="24"/>
        </w:rPr>
        <w:t xml:space="preserve">cong</w:t>
      </w:r>
      <w:r>
        <w:rPr>
          <w:rFonts w:ascii="Times New Roman" w:hAnsi="Times New Roman"/>
          <w:color w:val="000000"/>
          <w:sz w:val="24"/>
        </w:rPr>
        <w:t xml:space="preserve">lo</w:t>
      </w:r>
      <w:r>
        <w:rPr>
          <w:rFonts w:ascii="Times New Roman" w:hAnsi="Times New Roman"/>
          <w:color w:val="000000"/>
          <w:sz w:val="24"/>
        </w:rPr>
        <w:t xml:space="preserve">m</w:t>
      </w:r>
      <w:r>
        <w:rPr>
          <w:rFonts w:ascii="Times New Roman" w:hAnsi="Times New Roman"/>
          <w:color w:val="000000"/>
          <w:sz w:val="24"/>
        </w:rPr>
        <w:t xml:space="preserve">e</w:t>
      </w:r>
      <w:r>
        <w:rPr>
          <w:rFonts w:ascii="Times New Roman" w:hAnsi="Times New Roman"/>
          <w:color w:val="000000"/>
          <w:sz w:val="24"/>
        </w:rPr>
        <w:t xml:space="preserve">rado</w:t>
      </w:r>
      <w:r>
        <w:rPr>
          <w:rFonts w:ascii="Times New Roman" w:hAnsi="Times New Roman"/>
          <w:color w:val="000000"/>
          <w:sz w:val="24"/>
        </w:rPr>
        <w:t xml:space="preserve">s de fecha. Resultados. En</w:t>
      </w:r>
      <w:r>
        <w:rPr>
          <w:rFonts w:ascii="Times New Roman" w:hAnsi="Times New Roman"/>
          <w:color w:val="000000"/>
          <w:sz w:val="24"/>
        </w:rPr>
        <w:t xml:space="preserve"> la partición por fecha, el error absoluto medio (MAE) del híbrido fue 0.00000798 mm a 1 h y 0.00006176 mm a 6 h, frente a 0.00000858 y 0.00006332 mm de la LSTM. La LSTM obtuvo menor MAE en 2024 y el híbrido en 2025. Los cuatro intervalos de confianza del </w:t>
      </w:r>
      <w:r>
        <w:rPr>
          <w:rFonts w:ascii="Times New Roman" w:hAnsi="Times New Roman"/>
          <w:color w:val="000000"/>
          <w:sz w:val="24"/>
        </w:rPr>
        <w:t xml:space="preserve">95 % de la diferencia incluyeron cero. Conclusiones. El flujo permite estudiar el acoplamiento FEM y aprendizaje temporal bajo condiciones controladas, pero la evidencia no demuestra superioridad general del corrector ni validez para alertas operacionales.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9">
      <w:pPr>
        <w:widowControl w:val="true"/>
        <w:pBdr/>
        <w:spacing w:after="80" w:line="480" w:lineRule="auto"/>
        <w:ind/>
        <w:rPr>
          <w:rFonts w:ascii="Times New Roman" w:hAnsi="Times New Roman" w:eastAsia="Times New Roman" w:cs="Times New Roman"/>
          <w:sz w:val="24"/>
          <w:szCs w:val="24"/>
        </w:rPr>
      </w:pPr>
      <w:r>
        <w:t xml:space="preserve">Palabras clave: Estabilidad de taludes; Elementos finitos; LSTM; Aprendizaje guiado por física; Datos semisintéticos.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0A">
      <w:pPr>
        <w:keepNext w:val="true"/>
        <w:widowControl w:val="true"/>
        <w:pBdr/>
        <w:spacing w:after="80" w:before="160" w:line="480" w:lineRule="auto"/>
        <w:ind w:firstLine="283"/>
        <w:jc w:val="center"/>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ABSTRACT</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B">
      <w:pPr>
        <w:widowControl w:val="true"/>
        <w:pBdr/>
        <w:spacing w:after="80" w:line="480" w:lineRule="auto"/>
        <w:ind w:firstLine="283"/>
        <w:jc w:val="both"/>
        <w:rPr>
          <w:rFonts w:ascii="Times New Roman" w:hAnsi="Times New Roman" w:eastAsia="Times New Roman" w:cs="Times New Roman"/>
          <w:b/>
          <w:bCs/>
          <w:sz w:val="24"/>
          <w:szCs w:val="24"/>
        </w:rPr>
      </w:pPr>
      <w:r>
        <w:rPr>
          <w:rFonts w:ascii="Times New Roman" w:hAnsi="Times New Roman"/>
          <w:color w:val="000000"/>
          <w:sz w:val="24"/>
        </w:rPr>
        <w:t xml:space="preserve">Introduction. Frequent slope-model updates require rainfall, mechanical response, and time-series information to be related without confusing a computa</w:t>
      </w:r>
      <w:r>
        <w:rPr>
          <w:rFonts w:ascii="Times New Roman" w:hAnsi="Times New Roman"/>
          <w:color w:val="000000"/>
          <w:sz w:val="24"/>
        </w:rPr>
        <w:t xml:space="preserve">tional demonstration with a field-validated system. Objective. To evaluate a semisynthetic prototype combining a two-dimensional finite element model (FEM), a long short-term memory network (LSTM), and a residual correction constrained by monotonicity for </w:t>
      </w:r>
      <w:r>
        <w:rPr>
          <w:rFonts w:ascii="Times New Roman" w:hAnsi="Times New Roman"/>
          <w:color w:val="000000"/>
          <w:sz w:val="24"/>
        </w:rPr>
        <w:t xml:space="preserve">forecasting maximum </w:t>
      </w:r>
      <w:r>
        <w:rPr>
          <w:rFonts w:ascii="Times New Roman" w:hAnsi="Times New Roman"/>
          <w:color w:val="000000"/>
          <w:sz w:val="24"/>
        </w:rPr>
        <w:t xml:space="preserve">rainfall-induced displacement</w:t>
      </w:r>
      <w:r>
        <w:rPr>
          <w:rFonts w:ascii="Times New Roman" w:hAnsi="Times New Roman"/>
          <w:color w:val="000000"/>
          <w:sz w:val="24"/>
        </w:rPr>
        <w:t xml:space="preserve"> relative to the </w:t>
      </w:r>
      <w:r>
        <w:rPr>
          <w:rFonts w:ascii="Times New Roman" w:hAnsi="Times New Roman"/>
          <w:color w:val="000000"/>
          <w:sz w:val="24"/>
        </w:rPr>
        <w:t xml:space="preserve">in</w:t>
      </w:r>
      <w:r>
        <w:rPr>
          <w:rFonts w:ascii="Times New Roman" w:hAnsi="Times New Roman"/>
          <w:color w:val="000000"/>
          <w:sz w:val="24"/>
        </w:rPr>
        <w:t xml:space="preserve">i</w:t>
      </w:r>
      <w:r>
        <w:rPr>
          <w:rFonts w:ascii="Times New Roman" w:hAnsi="Times New Roman"/>
          <w:color w:val="000000"/>
          <w:sz w:val="24"/>
        </w:rPr>
        <w:t xml:space="preserve">t</w:t>
      </w:r>
      <w:r>
        <w:rPr>
          <w:rFonts w:ascii="Times New Roman" w:hAnsi="Times New Roman"/>
          <w:color w:val="000000"/>
          <w:sz w:val="24"/>
        </w:rPr>
        <w:t xml:space="preserve">ial</w:t>
      </w:r>
      <w:r>
        <w:rPr>
          <w:rFonts w:ascii="Times New Roman" w:hAnsi="Times New Roman"/>
          <w:color w:val="000000"/>
          <w:sz w:val="24"/>
        </w:rPr>
        <w:t xml:space="preserve"> </w:t>
      </w:r>
      <w:r>
        <w:rPr>
          <w:rFonts w:ascii="Times New Roman" w:hAnsi="Times New Roman"/>
          <w:color w:val="000000"/>
          <w:sz w:val="24"/>
        </w:rPr>
        <w:t xml:space="preserve">st</w:t>
      </w:r>
      <w:r>
        <w:rPr>
          <w:rFonts w:ascii="Times New Roman" w:hAnsi="Times New Roman"/>
          <w:color w:val="000000"/>
          <w:sz w:val="24"/>
        </w:rPr>
        <w:t xml:space="preserve">ate</w:t>
      </w:r>
      <w:r>
        <w:rPr>
          <w:rFonts w:ascii="Times New Roman" w:hAnsi="Times New Roman"/>
          <w:color w:val="000000"/>
          <w:sz w:val="24"/>
        </w:rPr>
        <w:t xml:space="preserve">. Methods. The TA-01 case used assumed geometry, da</w:t>
      </w:r>
      <w:r>
        <w:rPr>
          <w:rFonts w:ascii="Times New Roman" w:hAnsi="Times New Roman"/>
          <w:color w:val="000000"/>
          <w:sz w:val="24"/>
        </w:rPr>
        <w:t xml:space="preserve">ily NASA POWER reanalysis precipitation from 2020 to 2025, and 500 simulated 24-hour scenarios. Persistence, ridge regression, LSTM, and the hybrid were compared using a rainfall-date split and two chronological tests; uncertainty was estimated with 5.000 </w:t>
      </w:r>
      <w:r>
        <w:rPr>
          <w:rFonts w:ascii="Times New Roman" w:hAnsi="Times New Roman"/>
          <w:color w:val="000000"/>
          <w:sz w:val="24"/>
        </w:rPr>
        <w:t xml:space="preserve">rainfall-</w:t>
      </w:r>
      <w:r>
        <w:rPr>
          <w:rFonts w:ascii="Times New Roman" w:hAnsi="Times New Roman"/>
          <w:color w:val="000000"/>
          <w:sz w:val="24"/>
        </w:rPr>
        <w:t xml:space="preserve">date</w:t>
      </w:r>
      <w:r>
        <w:rPr>
          <w:rFonts w:ascii="Times New Roman" w:hAnsi="Times New Roman"/>
          <w:color w:val="000000"/>
          <w:sz w:val="24"/>
        </w:rPr>
        <w:t xml:space="preserve"> c</w:t>
      </w:r>
      <w:r>
        <w:rPr>
          <w:rFonts w:ascii="Times New Roman" w:hAnsi="Times New Roman"/>
          <w:color w:val="000000"/>
          <w:sz w:val="24"/>
        </w:rPr>
        <w:t xml:space="preserve">l</w:t>
      </w:r>
      <w:r>
        <w:rPr>
          <w:rFonts w:ascii="Times New Roman" w:hAnsi="Times New Roman"/>
          <w:color w:val="000000"/>
          <w:sz w:val="24"/>
        </w:rPr>
        <w:t xml:space="preserve">uster</w:t>
      </w:r>
      <w:r>
        <w:rPr>
          <w:rFonts w:ascii="Times New Roman" w:hAnsi="Times New Roman"/>
          <w:color w:val="000000"/>
          <w:sz w:val="24"/>
        </w:rPr>
        <w:t xml:space="preserve"> resamples</w:t>
      </w:r>
      <w:r>
        <w:rPr>
          <w:rFonts w:ascii="Times New Roman" w:hAnsi="Times New Roman"/>
          <w:color w:val="000000"/>
          <w:sz w:val="24"/>
        </w:rPr>
        <w:t xml:space="preserve">. Results. In the date-separated test, hybrid mean absolute error (MAE) was 0.00000798 mm at 1 h and 0.00006176 mm at 6 h, compared with 0.00000858 and 0.00006332 mm for LSTM. LSTM had lower MAE in 2024, whereas the hybrid had lower MAE in 2025. All four 9</w:t>
      </w:r>
      <w:r>
        <w:rPr>
          <w:rFonts w:ascii="Times New Roman" w:hAnsi="Times New Roman"/>
          <w:color w:val="000000"/>
          <w:sz w:val="24"/>
        </w:rPr>
        <w:t xml:space="preserve">5% confidence intervals for the difference included zero. Conclusions. The workflow supports controlled study of FEM and temporal learning, but the evidence does not establish a general advantage for the correction model or validity for operational alerts.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C">
      <w:pPr>
        <w:widowControl w:val="true"/>
        <w:pBdr/>
        <w:spacing w:after="80" w:line="480" w:lineRule="auto"/>
        <w:ind/>
        <w:rPr>
          <w:rFonts w:ascii="Times New Roman" w:hAnsi="Times New Roman" w:eastAsia="Times New Roman" w:cs="Times New Roman"/>
          <w:sz w:val="24"/>
          <w:szCs w:val="24"/>
        </w:rPr>
      </w:pPr>
      <w:r>
        <w:t xml:space="preserve">Keywords: Slope stability; Finite elements; LSTM; Physics-guided learning; Semisynthetic data.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firstLine="283"/>
        <w:rPr/>
      </w:pPr>
      <w:r>
        <w:t xml:space="preserve">Puntos clave</w:t>
      </w:r>
      <w:r/>
    </w:p>
    <w:p>
      <w:pPr>
        <w:pBdr/>
        <w:spacing/>
        <w:ind/>
        <w:rPr/>
      </w:pPr>
      <w:r>
        <w:t xml:space="preserve">• Se evalúa un prototipo FEM–LSTM sobre un talud y desplazamientos semisintéticos.</w:t>
      </w:r>
      <w:r/>
    </w:p>
    <w:p>
      <w:pPr>
        <w:pBdr/>
        <w:spacing/>
        <w:ind/>
        <w:rPr/>
      </w:pPr>
      <w:r>
        <w:t xml:space="preserve">• La ventaja del corrector cambia entre las pruebas cronológicas de 2024 y 2025.</w:t>
      </w:r>
      <w:r/>
    </w:p>
    <w:p>
      <w:pPr>
        <w:pBdr/>
        <w:spacing/>
        <w:ind/>
        <w:rPr/>
      </w:pPr>
      <w:r>
        <w:t xml:space="preserve">• La consistencia interna no equivale a validación geotécnica de campo.</w:t>
      </w:r>
      <w:r/>
    </w:p>
    <w:p>
      <w:pPr>
        <w:pBdr/>
        <w:spacing/>
        <w:ind w:firstLine="283"/>
        <w:rPr/>
      </w:pPr>
      <w:r>
        <w:t xml:space="preserve">Key points</w:t>
      </w:r>
      <w:r/>
    </w:p>
    <w:p>
      <w:pPr>
        <w:pBdr/>
        <w:spacing/>
        <w:ind/>
        <w:rPr/>
      </w:pPr>
      <w:r>
        <w:t xml:space="preserve">• A FEM–LSTM prototype is evaluated on a semisynthetic slope and displacement series.</w:t>
      </w:r>
      <w:r/>
    </w:p>
    <w:p>
      <w:pPr>
        <w:pBdr/>
        <w:spacing/>
        <w:ind/>
        <w:rPr/>
      </w:pPr>
      <w:r>
        <w:t xml:space="preserve">• The correction's advantage changes between the 2024 and 2025 chronological tests.</w:t>
      </w:r>
      <w:r/>
    </w:p>
    <w:p>
      <w:pPr>
        <w:pBdr/>
        <w:spacing/>
        <w:ind/>
        <w:rPr/>
      </w:pPr>
      <w:r>
        <w:t xml:space="preserve">• Internal consistency does not constitute field geotechnical validation.</w:t>
      </w:r>
      <w:r/>
    </w:p>
    <w:p>
      <w:pPr>
        <w:pStyle w:val="891"/>
        <w:keepNext w:val="true"/>
        <w:widowControl w:val="true"/>
        <w:pBdr/>
        <w:spacing w:after="80" w:line="480" w:lineRule="auto"/>
        <w:ind/>
        <w:rPr/>
      </w:pPr>
      <w:r>
        <w:rPr>
          <w:rFonts w:ascii="Times New Roman" w:hAnsi="Times New Roman"/>
          <w:color w:val="000000"/>
          <w:sz w:val="24"/>
        </w:rPr>
        <w:t xml:space="preserve">Siglas y abreviaturas</w:t>
      </w:r>
      <w:r>
        <w:rPr>
          <w:rFonts w:ascii="Times New Roman" w:hAnsi="Times New Roman"/>
          <w:color w:val="000000"/>
          <w:sz w:val="24"/>
        </w:rPr>
      </w:r>
      <w:r/>
    </w:p>
    <w:p>
      <w:pPr>
        <w:widowControl w:val="true"/>
        <w:pBdr/>
        <w:spacing w:after="80" w:line="480" w:lineRule="auto"/>
        <w:ind w:firstLine="283"/>
        <w:rPr/>
      </w:pPr>
      <w:r>
        <w:rPr>
          <w:rFonts w:ascii="Times New Roman" w:hAnsi="Times New Roman"/>
          <w:color w:val="000000"/>
          <w:sz w:val="24"/>
        </w:rPr>
        <w:t xml:space="preserve">FEM: método de elementos finitos; FoS: factor de seguridad; </w:t>
      </w:r>
      <w:r>
        <w:rPr>
          <w:rFonts w:ascii="Times New Roman" w:hAnsi="Times New Roman"/>
          <w:color w:val="000000"/>
          <w:sz w:val="24"/>
        </w:rPr>
        <w:t xml:space="preserve">IC: intervalo de confianza; IoT: internet de las cosas; </w:t>
      </w:r>
      <w:r>
        <w:rPr>
          <w:rFonts w:ascii="Times New Roman" w:hAnsi="Times New Roman"/>
          <w:color w:val="000000"/>
          <w:sz w:val="24"/>
        </w:rPr>
        <w:t xml:space="preserve">LHS: muestreo </w:t>
      </w:r>
      <w:r>
        <w:rPr>
          <w:rFonts w:ascii="Times New Roman" w:hAnsi="Times New Roman"/>
          <w:color w:val="000000"/>
          <w:sz w:val="24"/>
        </w:rPr>
        <w:t xml:space="preserve">por h</w:t>
      </w:r>
      <w:r>
        <w:rPr>
          <w:rFonts w:ascii="Times New Roman" w:hAnsi="Times New Roman"/>
          <w:color w:val="000000"/>
          <w:sz w:val="24"/>
        </w:rPr>
        <w:t xml:space="preserve">i</w:t>
      </w:r>
      <w:r>
        <w:rPr>
          <w:rFonts w:ascii="Times New Roman" w:hAnsi="Times New Roman"/>
          <w:color w:val="000000"/>
          <w:sz w:val="24"/>
        </w:rPr>
        <w:t xml:space="preserve">percub</w:t>
      </w:r>
      <w:r>
        <w:rPr>
          <w:rFonts w:ascii="Times New Roman" w:hAnsi="Times New Roman"/>
          <w:color w:val="000000"/>
          <w:sz w:val="24"/>
        </w:rPr>
        <w:t xml:space="preserve">o latino</w:t>
      </w:r>
      <w:r>
        <w:rPr>
          <w:rFonts w:ascii="Times New Roman" w:hAnsi="Times New Roman"/>
          <w:color w:val="000000"/>
          <w:sz w:val="24"/>
        </w:rPr>
        <w:t xml:space="preserve">; LSTM: red de memoria a corto y largo plazo; MAE: error absoluto medio; </w:t>
      </w:r>
      <w:r>
        <w:rPr>
          <w:rFonts w:ascii="Times New Roman" w:hAnsi="Times New Roman"/>
          <w:color w:val="000000"/>
          <w:sz w:val="24"/>
        </w:rPr>
        <w:t xml:space="preserve">MLP: perceptrón multicapa; MSE: error cuadrático medio; </w:t>
      </w:r>
      <w:r>
        <w:rPr>
          <w:rFonts w:ascii="Times New Roman" w:hAnsi="Times New Roman"/>
          <w:color w:val="000000"/>
          <w:sz w:val="24"/>
        </w:rPr>
        <w:t xml:space="preserve">PIELM</w:t>
      </w:r>
      <w:r>
        <w:rPr>
          <w:rFonts w:ascii="Times New Roman" w:hAnsi="Times New Roman"/>
          <w:color w:val="000000"/>
          <w:sz w:val="24"/>
        </w:rPr>
        <w:t xml:space="preserve">: modelo de aprendizaje extremo informado por física</w:t>
      </w:r>
      <w:r>
        <w:rPr>
          <w:rFonts w:ascii="Times New Roman" w:hAnsi="Times New Roman"/>
          <w:color w:val="000000"/>
          <w:sz w:val="24"/>
        </w:rPr>
        <w:t xml:space="preserve">; PINN: red neuronal informada por la física</w:t>
      </w:r>
      <w:r>
        <w:rPr>
          <w:rFonts w:ascii="Times New Roman" w:hAnsi="Times New Roman"/>
          <w:color w:val="000000"/>
          <w:sz w:val="24"/>
        </w:rPr>
        <w:t xml:space="preserve">; RBF: función de base radial; RMSE: raíz del error cuadrático medio; RQ: pregunta de investigación</w:t>
      </w:r>
      <w:r>
        <w:rPr>
          <w:rFonts w:ascii="Times New Roman" w:hAnsi="Times New Roman"/>
          <w:color w:val="000000"/>
          <w:sz w:val="24"/>
        </w:rPr>
        <w:t xml:space="preserve">.</w:t>
      </w:r>
      <w:r/>
    </w:p>
    <w:p w14:paraId="0000000D">
      <w:pPr>
        <w:pStyle w:val="890"/>
        <w:keepNext w:val="true"/>
        <w:widowControl w:val="true"/>
        <w:pBdr/>
        <w:spacing w:after="80" w:before="160" w:line="480" w:lineRule="auto"/>
        <w:ind/>
        <w:jc w:val="center"/>
        <w:rPr>
          <w:rFonts w:ascii="Times New Roman" w:hAnsi="Times New Roman" w:eastAsia="Times New Roman" w:cs="Times New Roman"/>
          <w:b/>
          <w:bCs/>
          <w:sz w:val="24"/>
          <w:szCs w:val="24"/>
        </w:rPr>
      </w:pPr>
      <w:r>
        <w:t xml:space="preserve">1. Introducción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0E">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La e</w:t>
      </w:r>
      <w:r>
        <w:rPr>
          <w:rFonts w:ascii="Times New Roman" w:hAnsi="Times New Roman"/>
          <w:color w:val="000000"/>
          <w:sz w:val="24"/>
        </w:rPr>
        <w:t xml:space="preserve">stabilidad de los taludes constituye una condición crítica para la continuidad y seguridad de las operaciones en minas a cielo abierto. La excavación modifica de manera progresiva la geometría del macizo rocoso, el estado tensional y los regímenes de infil</w:t>
      </w:r>
      <w:r>
        <w:rPr>
          <w:rFonts w:ascii="Times New Roman" w:hAnsi="Times New Roman"/>
          <w:color w:val="000000"/>
          <w:sz w:val="24"/>
        </w:rPr>
        <w:t xml:space="preserve">tración y presión de poros. En consecuencia, una estimación aislada del factor de seguridad (FoS) resulta insuficiente cuando las condiciones geotécnicas y operacionales cambian a lo largo del tiempo. Wang et al. (2023) señalan que el aprendizaje profundo </w:t>
      </w:r>
      <w:r>
        <w:rPr>
          <w:rFonts w:ascii="Times New Roman" w:hAnsi="Times New Roman"/>
          <w:color w:val="000000"/>
          <w:sz w:val="24"/>
        </w:rPr>
        <w:t xml:space="preserve">pu</w:t>
      </w:r>
      <w:r>
        <w:rPr>
          <w:rFonts w:ascii="Times New Roman" w:hAnsi="Times New Roman"/>
          <w:color w:val="000000"/>
          <w:sz w:val="24"/>
        </w:rPr>
        <w:t xml:space="preserve">e</w:t>
      </w:r>
      <w:r>
        <w:rPr>
          <w:rFonts w:ascii="Times New Roman" w:hAnsi="Times New Roman"/>
          <w:color w:val="000000"/>
          <w:sz w:val="24"/>
        </w:rPr>
        <w:t xml:space="preserve">de f</w:t>
      </w:r>
      <w:r>
        <w:rPr>
          <w:rFonts w:ascii="Times New Roman" w:hAnsi="Times New Roman"/>
          <w:color w:val="000000"/>
          <w:sz w:val="24"/>
        </w:rPr>
        <w:t xml:space="preserve">a</w:t>
      </w:r>
      <w:r>
        <w:rPr>
          <w:rFonts w:ascii="Times New Roman" w:hAnsi="Times New Roman"/>
          <w:color w:val="000000"/>
          <w:sz w:val="24"/>
        </w:rPr>
        <w:t xml:space="preserve">ci</w:t>
      </w:r>
      <w:r>
        <w:rPr>
          <w:rFonts w:ascii="Times New Roman" w:hAnsi="Times New Roman"/>
          <w:color w:val="000000"/>
          <w:sz w:val="24"/>
        </w:rPr>
        <w:t xml:space="preserve">l</w:t>
      </w:r>
      <w:r>
        <w:rPr>
          <w:rFonts w:ascii="Times New Roman" w:hAnsi="Times New Roman"/>
          <w:color w:val="000000"/>
          <w:sz w:val="24"/>
        </w:rPr>
        <w:t xml:space="preserve">i</w:t>
      </w:r>
      <w:r>
        <w:rPr>
          <w:rFonts w:ascii="Times New Roman" w:hAnsi="Times New Roman"/>
          <w:color w:val="000000"/>
          <w:sz w:val="24"/>
        </w:rPr>
        <w:t xml:space="preserve">t</w:t>
      </w:r>
      <w:r>
        <w:rPr>
          <w:rFonts w:ascii="Times New Roman" w:hAnsi="Times New Roman"/>
          <w:color w:val="000000"/>
          <w:sz w:val="24"/>
        </w:rPr>
        <w:t xml:space="preserve">a</w:t>
      </w:r>
      <w:r>
        <w:rPr>
          <w:rFonts w:ascii="Times New Roman" w:hAnsi="Times New Roman"/>
          <w:color w:val="000000"/>
          <w:sz w:val="24"/>
        </w:rPr>
        <w:t xml:space="preserve">r</w:t>
      </w:r>
      <w:r>
        <w:rPr>
          <w:rFonts w:ascii="Times New Roman" w:hAnsi="Times New Roman"/>
          <w:color w:val="000000"/>
          <w:sz w:val="24"/>
        </w:rPr>
        <w:t xml:space="preserve"> la predicción del factor de estabilidad </w:t>
      </w:r>
      <w:r>
        <w:rPr>
          <w:rFonts w:ascii="Times New Roman" w:hAnsi="Times New Roman"/>
          <w:color w:val="000000"/>
          <w:sz w:val="24"/>
        </w:rPr>
        <w:t xml:space="preserve">e</w:t>
      </w:r>
      <w:r>
        <w:rPr>
          <w:rFonts w:ascii="Times New Roman" w:hAnsi="Times New Roman"/>
          <w:color w:val="000000"/>
          <w:sz w:val="24"/>
        </w:rPr>
        <w:t xml:space="preserve">n</w:t>
      </w:r>
      <w:r>
        <w:rPr>
          <w:rFonts w:ascii="Times New Roman" w:hAnsi="Times New Roman"/>
          <w:color w:val="000000"/>
          <w:sz w:val="24"/>
        </w:rPr>
        <w:t xml:space="preserve"> el </w:t>
      </w:r>
      <w:r>
        <w:rPr>
          <w:rFonts w:ascii="Times New Roman" w:hAnsi="Times New Roman"/>
          <w:color w:val="000000"/>
          <w:sz w:val="24"/>
        </w:rPr>
        <w:t xml:space="preserve">caso </w:t>
      </w:r>
      <w:r>
        <w:rPr>
          <w:rFonts w:ascii="Times New Roman" w:hAnsi="Times New Roman"/>
          <w:color w:val="000000"/>
          <w:sz w:val="24"/>
        </w:rPr>
        <w:t xml:space="preserve">es</w:t>
      </w:r>
      <w:r>
        <w:rPr>
          <w:rFonts w:ascii="Times New Roman" w:hAnsi="Times New Roman"/>
          <w:color w:val="000000"/>
          <w:sz w:val="24"/>
        </w:rPr>
        <w:t xml:space="preserve">tudi</w:t>
      </w:r>
      <w:r>
        <w:rPr>
          <w:rFonts w:ascii="Times New Roman" w:hAnsi="Times New Roman"/>
          <w:color w:val="000000"/>
          <w:sz w:val="24"/>
        </w:rPr>
        <w:t xml:space="preserve">a</w:t>
      </w:r>
      <w:r>
        <w:rPr>
          <w:rFonts w:ascii="Times New Roman" w:hAnsi="Times New Roman"/>
          <w:color w:val="000000"/>
          <w:sz w:val="24"/>
        </w:rPr>
        <w:t xml:space="preserve">d</w:t>
      </w:r>
      <w:r>
        <w:rPr>
          <w:rFonts w:ascii="Times New Roman" w:hAnsi="Times New Roman"/>
          <w:color w:val="000000"/>
          <w:sz w:val="24"/>
        </w:rPr>
        <w:t xml:space="preserve">o. Por ello, una capacidad de previsión que anticipe la tendencia de desplazamientos, las variaciones de presión de poros y la reducción del FoS p</w:t>
      </w:r>
      <w:r>
        <w:rPr>
          <w:rFonts w:ascii="Times New Roman" w:hAnsi="Times New Roman"/>
          <w:color w:val="000000"/>
          <w:sz w:val="24"/>
        </w:rPr>
        <w:t xml:space="preserve">o</w:t>
      </w:r>
      <w:r>
        <w:rPr>
          <w:rFonts w:ascii="Times New Roman" w:hAnsi="Times New Roman"/>
          <w:color w:val="000000"/>
          <w:sz w:val="24"/>
        </w:rPr>
        <w:t xml:space="preserve">d</w:t>
      </w:r>
      <w:r>
        <w:rPr>
          <w:rFonts w:ascii="Times New Roman" w:hAnsi="Times New Roman"/>
          <w:color w:val="000000"/>
          <w:sz w:val="24"/>
        </w:rPr>
        <w:t xml:space="preserve">ría</w:t>
      </w:r>
      <w:r>
        <w:rPr>
          <w:rFonts w:ascii="Times New Roman" w:hAnsi="Times New Roman"/>
          <w:color w:val="000000"/>
          <w:sz w:val="24"/>
        </w:rPr>
        <w:t xml:space="preserve"> apoyar decisiones de alerta, evacuación, rediseño de bancos y control de producción</w:t>
      </w:r>
      <w:r>
        <w:rPr>
          <w:rFonts w:ascii="Times New Roman" w:hAnsi="Times New Roman"/>
          <w:color w:val="000000"/>
          <w:sz w:val="24"/>
        </w:rPr>
        <w:t xml:space="preserve">, siempre que su desempeño y sus umbrales se validen para el sitio</w:t>
      </w:r>
      <w:r>
        <w:rPr>
          <w:rFonts w:ascii="Times New Roman" w:hAnsi="Times New Roman"/>
          <w:color w:val="000000"/>
          <w:sz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0F">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Los enfoques convencionales de análisis de estabilidad, incluidos los modelos de equilibrio límite y de elementos finitos (FEM), representan de forma explícita la geometría, la resistencia y las condiciones de frontera. Esta base física </w:t>
      </w:r>
      <w:r>
        <w:rPr>
          <w:rFonts w:ascii="Times New Roman" w:hAnsi="Times New Roman"/>
          <w:color w:val="000000"/>
          <w:sz w:val="24"/>
        </w:rPr>
        <w:t xml:space="preserve">pe</w:t>
      </w:r>
      <w:r>
        <w:rPr>
          <w:rFonts w:ascii="Times New Roman" w:hAnsi="Times New Roman"/>
          <w:color w:val="000000"/>
          <w:sz w:val="24"/>
        </w:rPr>
        <w:t xml:space="preserve">rmit</w:t>
      </w:r>
      <w:r>
        <w:rPr>
          <w:rFonts w:ascii="Times New Roman" w:hAnsi="Times New Roman"/>
          <w:color w:val="000000"/>
          <w:sz w:val="24"/>
        </w:rPr>
        <w:t xml:space="preserve">e</w:t>
      </w:r>
      <w:r>
        <w:rPr>
          <w:rFonts w:ascii="Times New Roman" w:hAnsi="Times New Roman"/>
          <w:color w:val="000000"/>
          <w:sz w:val="24"/>
        </w:rPr>
        <w:t xml:space="preserve"> interpretar mecanismos de falla y evaluar escenarios de lluvia, excavación o cambios en las propiedades del material. Sin embargo, sus resultados </w:t>
      </w:r>
      <w:r>
        <w:rPr>
          <w:rFonts w:ascii="Times New Roman" w:hAnsi="Times New Roman"/>
          <w:color w:val="000000"/>
          <w:sz w:val="24"/>
        </w:rPr>
        <w:t xml:space="preserve">depende</w:t>
      </w:r>
      <w:r>
        <w:rPr>
          <w:rFonts w:ascii="Times New Roman" w:hAnsi="Times New Roman"/>
          <w:color w:val="000000"/>
          <w:sz w:val="24"/>
        </w:rPr>
        <w:t xml:space="preserve">n</w:t>
      </w:r>
      <w:r>
        <w:rPr>
          <w:rFonts w:ascii="Times New Roman" w:hAnsi="Times New Roman"/>
          <w:color w:val="000000"/>
          <w:sz w:val="24"/>
        </w:rPr>
        <w:t xml:space="preserve"> de parámetros </w:t>
      </w:r>
      <w:r>
        <w:rPr>
          <w:rFonts w:ascii="Times New Roman" w:hAnsi="Times New Roman"/>
          <w:color w:val="000000"/>
          <w:sz w:val="24"/>
        </w:rPr>
        <w:t xml:space="preserve">inc</w:t>
      </w:r>
      <w:r>
        <w:rPr>
          <w:rFonts w:ascii="Times New Roman" w:hAnsi="Times New Roman"/>
          <w:color w:val="000000"/>
          <w:sz w:val="24"/>
        </w:rPr>
        <w:t xml:space="preserve">i</w:t>
      </w:r>
      <w:r>
        <w:rPr>
          <w:rFonts w:ascii="Times New Roman" w:hAnsi="Times New Roman"/>
          <w:color w:val="000000"/>
          <w:sz w:val="24"/>
        </w:rPr>
        <w:t xml:space="preserve">ert</w:t>
      </w:r>
      <w:r>
        <w:rPr>
          <w:rFonts w:ascii="Times New Roman" w:hAnsi="Times New Roman"/>
          <w:color w:val="000000"/>
          <w:sz w:val="24"/>
        </w:rPr>
        <w:t xml:space="preserve">os</w:t>
      </w:r>
      <w:r>
        <w:rPr>
          <w:rFonts w:ascii="Times New Roman" w:hAnsi="Times New Roman"/>
          <w:color w:val="000000"/>
          <w:sz w:val="24"/>
        </w:rPr>
        <w:t xml:space="preserve"> y de actualizaciones que no siempre acompañan la velocidad del monitoreo en campo. </w:t>
      </w:r>
      <w:r>
        <w:rPr>
          <w:rFonts w:ascii="Times New Roman" w:hAnsi="Times New Roman"/>
          <w:color w:val="000000"/>
          <w:sz w:val="24"/>
        </w:rPr>
        <w:t xml:space="preserve">Liu et al. (2022) contrastaro</w:t>
      </w:r>
      <w:r>
        <w:rPr>
          <w:rFonts w:ascii="Times New Roman" w:hAnsi="Times New Roman"/>
          <w:color w:val="000000"/>
          <w:sz w:val="24"/>
        </w:rPr>
        <w:t xml:space="preserve">n </w:t>
      </w:r>
      <w:r>
        <w:rPr>
          <w:rFonts w:ascii="Times New Roman" w:hAnsi="Times New Roman"/>
          <w:color w:val="000000"/>
          <w:sz w:val="24"/>
        </w:rPr>
        <w:t xml:space="preserve">l</w:t>
      </w:r>
      <w:r>
        <w:rPr>
          <w:rFonts w:ascii="Times New Roman" w:hAnsi="Times New Roman"/>
          <w:color w:val="000000"/>
          <w:sz w:val="24"/>
        </w:rPr>
        <w:t xml:space="preserve">a </w:t>
      </w:r>
      <w:r>
        <w:rPr>
          <w:rFonts w:ascii="Times New Roman" w:hAnsi="Times New Roman"/>
          <w:color w:val="000000"/>
          <w:sz w:val="24"/>
        </w:rPr>
        <w:t xml:space="preserve">evo</w:t>
      </w:r>
      <w:r>
        <w:rPr>
          <w:rFonts w:ascii="Times New Roman" w:hAnsi="Times New Roman"/>
          <w:color w:val="000000"/>
          <w:sz w:val="24"/>
        </w:rPr>
        <w:t xml:space="preserve">l</w:t>
      </w:r>
      <w:r>
        <w:rPr>
          <w:rFonts w:ascii="Times New Roman" w:hAnsi="Times New Roman"/>
          <w:color w:val="000000"/>
          <w:sz w:val="24"/>
        </w:rPr>
        <w:t xml:space="preserve">u</w:t>
      </w:r>
      <w:r>
        <w:rPr>
          <w:rFonts w:ascii="Times New Roman" w:hAnsi="Times New Roman"/>
          <w:color w:val="000000"/>
          <w:sz w:val="24"/>
        </w:rPr>
        <w:t xml:space="preserve">ción de</w:t>
      </w:r>
      <w:r>
        <w:rPr>
          <w:rFonts w:ascii="Times New Roman" w:hAnsi="Times New Roman"/>
          <w:color w:val="000000"/>
          <w:sz w:val="24"/>
        </w:rPr>
        <w:t xml:space="preserve"> la estabilidad de un</w:t>
      </w:r>
      <w:r>
        <w:rPr>
          <w:rFonts w:ascii="Times New Roman" w:hAnsi="Times New Roman"/>
          <w:color w:val="000000"/>
          <w:sz w:val="24"/>
        </w:rPr>
        <w:t xml:space="preserve"> gemelo digital de talud</w:t>
      </w:r>
      <w:r>
        <w:rPr>
          <w:rFonts w:ascii="Times New Roman" w:hAnsi="Times New Roman"/>
          <w:color w:val="000000"/>
          <w:sz w:val="24"/>
        </w:rPr>
        <w:t xml:space="preserve"> con </w:t>
      </w:r>
      <w:r>
        <w:rPr>
          <w:rFonts w:ascii="Times New Roman" w:hAnsi="Times New Roman"/>
          <w:color w:val="000000"/>
          <w:sz w:val="24"/>
        </w:rPr>
        <w:t xml:space="preserve">un</w:t>
      </w:r>
      <w:r>
        <w:rPr>
          <w:rFonts w:ascii="Times New Roman" w:hAnsi="Times New Roman"/>
          <w:color w:val="000000"/>
          <w:sz w:val="24"/>
        </w:rPr>
        <w:t xml:space="preserve">a falla observada</w:t>
      </w:r>
      <w:r>
        <w:rPr>
          <w:rFonts w:ascii="Times New Roman" w:hAnsi="Times New Roman"/>
          <w:color w:val="000000"/>
          <w:sz w:val="24"/>
        </w:rPr>
        <w:t xml:space="preserve"> </w:t>
      </w:r>
      <w:r>
        <w:rPr>
          <w:rFonts w:ascii="Times New Roman" w:hAnsi="Times New Roman"/>
          <w:color w:val="000000"/>
          <w:sz w:val="24"/>
        </w:rPr>
        <w:t xml:space="preserve">aso</w:t>
      </w:r>
      <w:r>
        <w:rPr>
          <w:rFonts w:ascii="Times New Roman" w:hAnsi="Times New Roman"/>
          <w:color w:val="000000"/>
          <w:sz w:val="24"/>
        </w:rPr>
        <w:t xml:space="preserve">ci</w:t>
      </w:r>
      <w:r>
        <w:rPr>
          <w:rFonts w:ascii="Times New Roman" w:hAnsi="Times New Roman"/>
          <w:color w:val="000000"/>
          <w:sz w:val="24"/>
        </w:rPr>
        <w:t xml:space="preserve">a</w:t>
      </w:r>
      <w:r>
        <w:rPr>
          <w:rFonts w:ascii="Times New Roman" w:hAnsi="Times New Roman"/>
          <w:color w:val="000000"/>
          <w:sz w:val="24"/>
        </w:rPr>
        <w:t xml:space="preserve">da </w:t>
      </w:r>
      <w:r>
        <w:rPr>
          <w:rFonts w:ascii="Times New Roman" w:hAnsi="Times New Roman"/>
          <w:color w:val="000000"/>
          <w:sz w:val="24"/>
        </w:rPr>
        <w:t xml:space="preserve">a </w:t>
      </w:r>
      <w:r>
        <w:rPr>
          <w:rFonts w:ascii="Times New Roman" w:hAnsi="Times New Roman"/>
          <w:color w:val="000000"/>
          <w:sz w:val="24"/>
        </w:rPr>
        <w:t xml:space="preserve">lluvi</w:t>
      </w:r>
      <w:r>
        <w:rPr>
          <w:rFonts w:ascii="Times New Roman" w:hAnsi="Times New Roman"/>
          <w:color w:val="000000"/>
          <w:sz w:val="24"/>
        </w:rPr>
        <w:t xml:space="preserve">a extrema</w:t>
      </w:r>
      <w:r>
        <w:rPr>
          <w:rFonts w:ascii="Times New Roman" w:hAnsi="Times New Roman"/>
          <w:color w:val="000000"/>
          <w:sz w:val="24"/>
        </w:rPr>
        <w:t xml:space="preserve">. Este antecedente muestra </w:t>
      </w:r>
      <w:r>
        <w:rPr>
          <w:rFonts w:ascii="Times New Roman" w:hAnsi="Times New Roman"/>
          <w:color w:val="000000"/>
          <w:sz w:val="24"/>
        </w:rPr>
        <w:t xml:space="preserve">l</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imp</w:t>
      </w:r>
      <w:r>
        <w:rPr>
          <w:rFonts w:ascii="Times New Roman" w:hAnsi="Times New Roman"/>
          <w:color w:val="000000"/>
          <w:sz w:val="24"/>
        </w:rPr>
        <w:t xml:space="preserve">or</w:t>
      </w:r>
      <w:r>
        <w:rPr>
          <w:rFonts w:ascii="Times New Roman" w:hAnsi="Times New Roman"/>
          <w:color w:val="000000"/>
          <w:sz w:val="24"/>
        </w:rPr>
        <w:t xml:space="preserve">tancia</w:t>
      </w:r>
      <w:r>
        <w:rPr>
          <w:rFonts w:ascii="Times New Roman" w:hAnsi="Times New Roman"/>
          <w:color w:val="000000"/>
          <w:sz w:val="24"/>
        </w:rPr>
        <w:t xml:space="preserve"> de actualiz</w:t>
      </w:r>
      <w:r>
        <w:rPr>
          <w:rFonts w:ascii="Times New Roman" w:hAnsi="Times New Roman"/>
          <w:color w:val="000000"/>
          <w:sz w:val="24"/>
        </w:rPr>
        <w:t xml:space="preserve">ar y contrast</w:t>
      </w:r>
      <w:r>
        <w:rPr>
          <w:rFonts w:ascii="Times New Roman" w:hAnsi="Times New Roman"/>
          <w:color w:val="000000"/>
          <w:sz w:val="24"/>
        </w:rPr>
        <w:t xml:space="preserve">ar el modelo con registros de desempeño y observaciones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TA-01 n</w:t>
      </w:r>
      <w:r>
        <w:rPr>
          <w:rFonts w:ascii="Times New Roman" w:hAnsi="Times New Roman"/>
          <w:color w:val="000000"/>
          <w:sz w:val="24"/>
        </w:rPr>
        <w:t xml:space="preserve">o </w:t>
      </w:r>
      <w:r>
        <w:rPr>
          <w:rFonts w:ascii="Times New Roman" w:hAnsi="Times New Roman"/>
          <w:color w:val="000000"/>
          <w:sz w:val="24"/>
        </w:rPr>
        <w:t xml:space="preserve">d</w:t>
      </w:r>
      <w:r>
        <w:rPr>
          <w:rFonts w:ascii="Times New Roman" w:hAnsi="Times New Roman"/>
          <w:color w:val="000000"/>
          <w:sz w:val="24"/>
        </w:rPr>
        <w:t xml:space="preserve">i</w:t>
      </w:r>
      <w:r>
        <w:rPr>
          <w:rFonts w:ascii="Times New Roman" w:hAnsi="Times New Roman"/>
          <w:color w:val="000000"/>
          <w:sz w:val="24"/>
        </w:rPr>
        <w:t xml:space="preserve">s</w:t>
      </w:r>
      <w:r>
        <w:rPr>
          <w:rFonts w:ascii="Times New Roman" w:hAnsi="Times New Roman"/>
          <w:color w:val="000000"/>
          <w:sz w:val="24"/>
        </w:rPr>
        <w:t xml:space="preserve">p</w:t>
      </w:r>
      <w:r>
        <w:rPr>
          <w:rFonts w:ascii="Times New Roman" w:hAnsi="Times New Roman"/>
          <w:color w:val="000000"/>
          <w:sz w:val="24"/>
        </w:rPr>
        <w:t xml:space="preserve">o</w:t>
      </w:r>
      <w:r>
        <w:rPr>
          <w:rFonts w:ascii="Times New Roman" w:hAnsi="Times New Roman"/>
          <w:color w:val="000000"/>
          <w:sz w:val="24"/>
        </w:rPr>
        <w:t xml:space="preserve">ne</w:t>
      </w:r>
      <w:r>
        <w:rPr>
          <w:rFonts w:ascii="Times New Roman" w:hAnsi="Times New Roman"/>
          <w:color w:val="000000"/>
          <w:sz w:val="24"/>
        </w:rPr>
        <w:t xml:space="preserve"> de </w:t>
      </w:r>
      <w:r>
        <w:rPr>
          <w:rFonts w:ascii="Times New Roman" w:hAnsi="Times New Roman"/>
          <w:color w:val="000000"/>
          <w:sz w:val="24"/>
        </w:rPr>
        <w:t xml:space="preserve">es</w:t>
      </w:r>
      <w:r>
        <w:rPr>
          <w:rFonts w:ascii="Times New Roman" w:hAnsi="Times New Roman"/>
          <w:color w:val="000000"/>
          <w:sz w:val="24"/>
        </w:rPr>
        <w:t xml:space="preserve">e con</w:t>
      </w:r>
      <w:r>
        <w:rPr>
          <w:rFonts w:ascii="Times New Roman" w:hAnsi="Times New Roman"/>
          <w:color w:val="000000"/>
          <w:sz w:val="24"/>
        </w:rPr>
        <w:t xml:space="preserve">t</w:t>
      </w:r>
      <w:r>
        <w:rPr>
          <w:rFonts w:ascii="Times New Roman" w:hAnsi="Times New Roman"/>
          <w:color w:val="000000"/>
          <w:sz w:val="24"/>
        </w:rPr>
        <w:t xml:space="preserve">r</w:t>
      </w:r>
      <w:r>
        <w:rPr>
          <w:rFonts w:ascii="Times New Roman" w:hAnsi="Times New Roman"/>
          <w:color w:val="000000"/>
          <w:sz w:val="24"/>
        </w:rPr>
        <w:t xml:space="preserve">a</w:t>
      </w:r>
      <w:r>
        <w:rPr>
          <w:rFonts w:ascii="Times New Roman" w:hAnsi="Times New Roman"/>
          <w:color w:val="000000"/>
          <w:sz w:val="24"/>
        </w:rPr>
        <w:t xml:space="preserve">st</w:t>
      </w:r>
      <w:r>
        <w:rPr>
          <w:rFonts w:ascii="Times New Roman" w:hAnsi="Times New Roman"/>
          <w:color w:val="000000"/>
          <w:sz w:val="24"/>
        </w:rPr>
        <w:t xml:space="preserve">e</w:t>
      </w:r>
      <w:r>
        <w:rPr>
          <w:rFonts w:ascii="Times New Roman" w:hAnsi="Times New Roman"/>
          <w:color w:val="000000"/>
          <w:sz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0">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desarrollo de sensores geotécnicos, estaciones meteorológicas, sistemas IoT y</w:t>
      </w:r>
      <w:r>
        <w:rPr>
          <w:rFonts w:ascii="Times New Roman" w:hAnsi="Times New Roman"/>
          <w:color w:val="000000"/>
          <w:sz w:val="24"/>
        </w:rPr>
        <w:t xml:space="preserve"> fotogrametría ha ampliado la disponibilidad de series temporales para este propósito. No obstante, el uso exclusivo de aprendizaje automático puede producir predicciones difíciles de interpretar o físicamente inconsistentes, especialmente ante escenarios </w:t>
      </w:r>
      <w:r>
        <w:rPr>
          <w:rFonts w:ascii="Times New Roman" w:hAnsi="Times New Roman"/>
          <w:color w:val="000000"/>
          <w:sz w:val="24"/>
        </w:rPr>
        <w:t xml:space="preserve">p</w:t>
      </w:r>
      <w:r>
        <w:rPr>
          <w:rFonts w:ascii="Times New Roman" w:hAnsi="Times New Roman"/>
          <w:color w:val="000000"/>
          <w:sz w:val="24"/>
        </w:rPr>
        <w:t xml:space="preserve">o</w:t>
      </w:r>
      <w:r>
        <w:rPr>
          <w:rFonts w:ascii="Times New Roman" w:hAnsi="Times New Roman"/>
          <w:color w:val="000000"/>
          <w:sz w:val="24"/>
        </w:rPr>
        <w:t xml:space="preserve">co</w:t>
      </w:r>
      <w:r>
        <w:rPr>
          <w:rFonts w:ascii="Times New Roman" w:hAnsi="Times New Roman"/>
          <w:color w:val="000000"/>
          <w:sz w:val="24"/>
        </w:rPr>
        <w:t xml:space="preserve"> representados en los datos históricos. Pei et al. (2023</w:t>
      </w:r>
      <w:r>
        <w:rPr>
          <w:rFonts w:ascii="Times New Roman" w:hAnsi="Times New Roman"/>
          <w:color w:val="000000"/>
          <w:sz w:val="24"/>
        </w:rPr>
        <w:t xml:space="preserve">) e</w:t>
      </w:r>
      <w:r>
        <w:rPr>
          <w:rFonts w:ascii="Times New Roman" w:hAnsi="Times New Roman"/>
          <w:color w:val="000000"/>
          <w:sz w:val="24"/>
        </w:rPr>
        <w:t xml:space="preserve">valu</w:t>
      </w:r>
      <w:r>
        <w:rPr>
          <w:rFonts w:ascii="Times New Roman" w:hAnsi="Times New Roman"/>
          <w:color w:val="000000"/>
          <w:sz w:val="24"/>
        </w:rPr>
        <w:t xml:space="preserve">aron</w:t>
      </w:r>
      <w:r>
        <w:rPr>
          <w:rFonts w:ascii="Times New Roman" w:hAnsi="Times New Roman"/>
          <w:color w:val="000000"/>
          <w:sz w:val="24"/>
        </w:rPr>
        <w:t xml:space="preserve"> métodos </w:t>
      </w:r>
      <w:r>
        <w:rPr>
          <w:rFonts w:ascii="Times New Roman" w:hAnsi="Times New Roman"/>
          <w:color w:val="000000"/>
          <w:sz w:val="24"/>
        </w:rPr>
        <w:t xml:space="preserve">q</w:t>
      </w:r>
      <w:r>
        <w:rPr>
          <w:rFonts w:ascii="Times New Roman" w:hAnsi="Times New Roman"/>
          <w:color w:val="000000"/>
          <w:sz w:val="24"/>
        </w:rPr>
        <w:t xml:space="preserve">ue</w:t>
      </w:r>
      <w:r>
        <w:rPr>
          <w:rFonts w:ascii="Times New Roman" w:hAnsi="Times New Roman"/>
          <w:color w:val="000000"/>
          <w:sz w:val="24"/>
        </w:rPr>
        <w:t xml:space="preserve"> inc</w:t>
      </w:r>
      <w:r>
        <w:rPr>
          <w:rFonts w:ascii="Times New Roman" w:hAnsi="Times New Roman"/>
          <w:color w:val="000000"/>
          <w:sz w:val="24"/>
        </w:rPr>
        <w:t xml:space="preserve">o</w:t>
      </w:r>
      <w:r>
        <w:rPr>
          <w:rFonts w:ascii="Times New Roman" w:hAnsi="Times New Roman"/>
          <w:color w:val="000000"/>
          <w:sz w:val="24"/>
        </w:rPr>
        <w:t xml:space="preserve">r</w:t>
      </w:r>
      <w:r>
        <w:rPr>
          <w:rFonts w:ascii="Times New Roman" w:hAnsi="Times New Roman"/>
          <w:color w:val="000000"/>
          <w:sz w:val="24"/>
        </w:rPr>
        <w:t xml:space="preserve">p</w:t>
      </w:r>
      <w:r>
        <w:rPr>
          <w:rFonts w:ascii="Times New Roman" w:hAnsi="Times New Roman"/>
          <w:color w:val="000000"/>
          <w:sz w:val="24"/>
        </w:rPr>
        <w:t xml:space="preserve">o</w:t>
      </w:r>
      <w:r>
        <w:rPr>
          <w:rFonts w:ascii="Times New Roman" w:hAnsi="Times New Roman"/>
          <w:color w:val="000000"/>
          <w:sz w:val="24"/>
        </w:rPr>
        <w:t xml:space="preserve">ra</w:t>
      </w:r>
      <w:r>
        <w:rPr>
          <w:rFonts w:ascii="Times New Roman" w:hAnsi="Times New Roman"/>
          <w:color w:val="000000"/>
          <w:sz w:val="24"/>
        </w:rPr>
        <w:t xml:space="preserve">n conocimiento del dominio </w:t>
      </w:r>
      <w:r>
        <w:rPr>
          <w:rFonts w:ascii="Times New Roman" w:hAnsi="Times New Roman"/>
          <w:color w:val="000000"/>
          <w:sz w:val="24"/>
        </w:rPr>
        <w:t xml:space="preserve">y do</w:t>
      </w:r>
      <w:r>
        <w:rPr>
          <w:rFonts w:ascii="Times New Roman" w:hAnsi="Times New Roman"/>
          <w:color w:val="000000"/>
          <w:sz w:val="24"/>
        </w:rPr>
        <w:t xml:space="preserve">c</w:t>
      </w:r>
      <w:r>
        <w:rPr>
          <w:rFonts w:ascii="Times New Roman" w:hAnsi="Times New Roman"/>
          <w:color w:val="000000"/>
          <w:sz w:val="24"/>
        </w:rPr>
        <w:t xml:space="preserve">u</w:t>
      </w:r>
      <w:r>
        <w:rPr>
          <w:rFonts w:ascii="Times New Roman" w:hAnsi="Times New Roman"/>
          <w:color w:val="000000"/>
          <w:sz w:val="24"/>
        </w:rPr>
        <w:t xml:space="preserve">ment</w:t>
      </w:r>
      <w:r>
        <w:rPr>
          <w:rFonts w:ascii="Times New Roman" w:hAnsi="Times New Roman"/>
          <w:color w:val="000000"/>
          <w:sz w:val="24"/>
        </w:rPr>
        <w:t xml:space="preserve">a</w:t>
      </w:r>
      <w:r>
        <w:rPr>
          <w:rFonts w:ascii="Times New Roman" w:hAnsi="Times New Roman"/>
          <w:color w:val="000000"/>
          <w:sz w:val="24"/>
        </w:rPr>
        <w:t xml:space="preserve">r</w:t>
      </w:r>
      <w:r>
        <w:rPr>
          <w:rFonts w:ascii="Times New Roman" w:hAnsi="Times New Roman"/>
          <w:color w:val="000000"/>
          <w:sz w:val="24"/>
        </w:rPr>
        <w:t xml:space="preserve">o</w:t>
      </w:r>
      <w:r>
        <w:rPr>
          <w:rFonts w:ascii="Times New Roman" w:hAnsi="Times New Roman"/>
          <w:color w:val="000000"/>
          <w:sz w:val="24"/>
        </w:rPr>
        <w:t xml:space="preserve">n </w:t>
      </w:r>
      <w:r>
        <w:rPr>
          <w:rFonts w:ascii="Times New Roman" w:hAnsi="Times New Roman"/>
          <w:color w:val="000000"/>
          <w:sz w:val="24"/>
        </w:rPr>
        <w:t xml:space="preserve">v</w:t>
      </w:r>
      <w:r>
        <w:rPr>
          <w:rFonts w:ascii="Times New Roman" w:hAnsi="Times New Roman"/>
          <w:color w:val="000000"/>
          <w:sz w:val="24"/>
        </w:rPr>
        <w:t xml:space="preserve">ent</w:t>
      </w:r>
      <w:r>
        <w:rPr>
          <w:rFonts w:ascii="Times New Roman" w:hAnsi="Times New Roman"/>
          <w:color w:val="000000"/>
          <w:sz w:val="24"/>
        </w:rPr>
        <w:t xml:space="preserve">a</w:t>
      </w:r>
      <w:r>
        <w:rPr>
          <w:rFonts w:ascii="Times New Roman" w:hAnsi="Times New Roman"/>
          <w:color w:val="000000"/>
          <w:sz w:val="24"/>
        </w:rPr>
        <w:t xml:space="preserve">ja</w:t>
      </w:r>
      <w:r>
        <w:rPr>
          <w:rFonts w:ascii="Times New Roman" w:hAnsi="Times New Roman"/>
          <w:color w:val="000000"/>
          <w:sz w:val="24"/>
        </w:rPr>
        <w:t xml:space="preserve">s predictiv</w:t>
      </w:r>
      <w:r>
        <w:rPr>
          <w:rFonts w:ascii="Times New Roman" w:hAnsi="Times New Roman"/>
          <w:color w:val="000000"/>
          <w:sz w:val="24"/>
        </w:rPr>
        <w:t xml:space="preserve">a</w:t>
      </w:r>
      <w:r>
        <w:rPr>
          <w:rFonts w:ascii="Times New Roman" w:hAnsi="Times New Roman"/>
          <w:color w:val="000000"/>
          <w:sz w:val="24"/>
        </w:rPr>
        <w:t xml:space="preserve">s</w:t>
      </w:r>
      <w:r>
        <w:rPr>
          <w:rFonts w:ascii="Times New Roman" w:hAnsi="Times New Roman"/>
          <w:color w:val="000000"/>
          <w:sz w:val="24"/>
        </w:rPr>
        <w:t xml:space="preserve"> en l</w:t>
      </w:r>
      <w:r>
        <w:rPr>
          <w:rFonts w:ascii="Times New Roman" w:hAnsi="Times New Roman"/>
          <w:color w:val="000000"/>
          <w:sz w:val="24"/>
        </w:rPr>
        <w:t xml:space="preserve">os conjuntos analizados. Ese resultado motiv</w:t>
      </w:r>
      <w:r>
        <w:rPr>
          <w:rFonts w:ascii="Times New Roman" w:hAnsi="Times New Roman"/>
          <w:color w:val="000000"/>
          <w:sz w:val="24"/>
        </w:rPr>
        <w:t xml:space="preserve">a </w:t>
      </w:r>
      <w:r>
        <w:rPr>
          <w:rFonts w:ascii="Times New Roman" w:hAnsi="Times New Roman"/>
          <w:color w:val="000000"/>
          <w:sz w:val="24"/>
        </w:rPr>
        <w:t xml:space="preserve">exami</w:t>
      </w:r>
      <w:r>
        <w:rPr>
          <w:rFonts w:ascii="Times New Roman" w:hAnsi="Times New Roman"/>
          <w:color w:val="000000"/>
          <w:sz w:val="24"/>
        </w:rPr>
        <w:t xml:space="preserve">n</w:t>
      </w:r>
      <w:r>
        <w:rPr>
          <w:rFonts w:ascii="Times New Roman" w:hAnsi="Times New Roman"/>
          <w:color w:val="000000"/>
          <w:sz w:val="24"/>
        </w:rPr>
        <w:t xml:space="preserve">ar restric</w:t>
      </w:r>
      <w:r>
        <w:rPr>
          <w:rFonts w:ascii="Times New Roman" w:hAnsi="Times New Roman"/>
          <w:color w:val="000000"/>
          <w:sz w:val="24"/>
        </w:rPr>
        <w:t xml:space="preserve">ci</w:t>
      </w:r>
      <w:r>
        <w:rPr>
          <w:rFonts w:ascii="Times New Roman" w:hAnsi="Times New Roman"/>
          <w:color w:val="000000"/>
          <w:sz w:val="24"/>
        </w:rPr>
        <w:t xml:space="preserve">ones geotécnicas e</w:t>
      </w:r>
      <w:r>
        <w:rPr>
          <w:rFonts w:ascii="Times New Roman" w:hAnsi="Times New Roman"/>
          <w:color w:val="000000"/>
          <w:sz w:val="24"/>
        </w:rPr>
        <w:t xml:space="preserve">n </w:t>
      </w:r>
      <w:r>
        <w:rPr>
          <w:rFonts w:ascii="Times New Roman" w:hAnsi="Times New Roman"/>
          <w:color w:val="000000"/>
          <w:sz w:val="24"/>
        </w:rPr>
        <w:t xml:space="preserve">e</w:t>
      </w:r>
      <w:r>
        <w:rPr>
          <w:rFonts w:ascii="Times New Roman" w:hAnsi="Times New Roman"/>
          <w:color w:val="000000"/>
          <w:sz w:val="24"/>
        </w:rPr>
        <w:t xml:space="preserve">l</w:t>
      </w:r>
      <w:r>
        <w:rPr>
          <w:rFonts w:ascii="Times New Roman" w:hAnsi="Times New Roman"/>
          <w:color w:val="000000"/>
          <w:sz w:val="24"/>
        </w:rPr>
        <w:t xml:space="preserve"> aprendizaje</w:t>
      </w:r>
      <w:r>
        <w:rPr>
          <w:rFonts w:ascii="Times New Roman" w:hAnsi="Times New Roman"/>
          <w:color w:val="000000"/>
          <w:sz w:val="24"/>
        </w:rPr>
        <w:t xml:space="preserve">, pero no garantiza que cualquier corrector físico mejore cualquier predictor</w:t>
      </w:r>
      <w:r>
        <w:rPr>
          <w:rFonts w:ascii="Times New Roman" w:hAnsi="Times New Roman"/>
          <w:color w:val="000000"/>
          <w:sz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1">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Los gemelos digitales</w:t>
      </w:r>
      <w:r>
        <w:rPr>
          <w:rFonts w:ascii="Times New Roman" w:hAnsi="Times New Roman"/>
          <w:color w:val="000000"/>
          <w:sz w:val="24"/>
        </w:rPr>
        <w:t xml:space="preserve"> vinculan una representación computacional del talud con </w:t>
      </w:r>
      <w:r>
        <w:rPr>
          <w:rFonts w:ascii="Times New Roman" w:hAnsi="Times New Roman"/>
          <w:color w:val="000000"/>
          <w:sz w:val="24"/>
        </w:rPr>
        <w:t xml:space="preserve">observaciones </w:t>
      </w:r>
      <w:r>
        <w:rPr>
          <w:rFonts w:ascii="Times New Roman" w:hAnsi="Times New Roman"/>
          <w:color w:val="000000"/>
          <w:sz w:val="24"/>
        </w:rPr>
        <w:t xml:space="preserve">y</w:t>
      </w:r>
      <w:r>
        <w:rPr>
          <w:rFonts w:ascii="Times New Roman" w:hAnsi="Times New Roman"/>
          <w:color w:val="000000"/>
          <w:sz w:val="24"/>
        </w:rPr>
        <w:t xml:space="preserve"> mecanismos de actualización. Piciullo et al. (2025</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t</w:t>
      </w:r>
      <w:r>
        <w:rPr>
          <w:rFonts w:ascii="Times New Roman" w:hAnsi="Times New Roman"/>
          <w:color w:val="000000"/>
          <w:sz w:val="24"/>
        </w:rPr>
        <w:t xml:space="preserve">e</w:t>
      </w:r>
      <w:r>
        <w:rPr>
          <w:rFonts w:ascii="Times New Roman" w:hAnsi="Times New Roman"/>
          <w:color w:val="000000"/>
          <w:sz w:val="24"/>
        </w:rPr>
        <w:t xml:space="preserve">g</w:t>
      </w:r>
      <w:r>
        <w:rPr>
          <w:rFonts w:ascii="Times New Roman" w:hAnsi="Times New Roman"/>
          <w:color w:val="000000"/>
          <w:sz w:val="24"/>
        </w:rPr>
        <w:t xml:space="preserve">raron</w:t>
      </w:r>
      <w:r>
        <w:rPr>
          <w:rFonts w:ascii="Times New Roman" w:hAnsi="Times New Roman"/>
          <w:color w:val="000000"/>
          <w:sz w:val="24"/>
        </w:rPr>
        <w:t xml:space="preserve"> monitoreo hidrológico, </w:t>
      </w:r>
      <w:r>
        <w:rPr>
          <w:rFonts w:ascii="Times New Roman" w:hAnsi="Times New Roman"/>
          <w:color w:val="000000"/>
          <w:sz w:val="24"/>
        </w:rPr>
        <w:t xml:space="preserve">meteorol</w:t>
      </w:r>
      <w:r>
        <w:rPr>
          <w:rFonts w:ascii="Times New Roman" w:hAnsi="Times New Roman"/>
          <w:color w:val="000000"/>
          <w:sz w:val="24"/>
        </w:rPr>
        <w:t xml:space="preserve">o</w:t>
      </w:r>
      <w:r>
        <w:rPr>
          <w:rFonts w:ascii="Times New Roman" w:hAnsi="Times New Roman"/>
          <w:color w:val="000000"/>
          <w:sz w:val="24"/>
        </w:rPr>
        <w:t xml:space="preserve">g</w:t>
      </w:r>
      <w:r>
        <w:rPr>
          <w:rFonts w:ascii="Times New Roman" w:hAnsi="Times New Roman"/>
          <w:color w:val="000000"/>
          <w:sz w:val="24"/>
        </w:rPr>
        <w:t xml:space="preserve">í</w:t>
      </w:r>
      <w:r>
        <w:rPr>
          <w:rFonts w:ascii="Times New Roman" w:hAnsi="Times New Roman"/>
          <w:color w:val="000000"/>
          <w:sz w:val="24"/>
        </w:rPr>
        <w:t xml:space="preserve">a, modelado numérico y </w:t>
      </w:r>
      <w:r>
        <w:rPr>
          <w:rFonts w:ascii="Times New Roman" w:hAnsi="Times New Roman"/>
          <w:color w:val="000000"/>
          <w:sz w:val="24"/>
        </w:rPr>
        <w:t xml:space="preserve">a</w:t>
      </w:r>
      <w:r>
        <w:rPr>
          <w:rFonts w:ascii="Times New Roman" w:hAnsi="Times New Roman"/>
          <w:color w:val="000000"/>
          <w:sz w:val="24"/>
        </w:rPr>
        <w:t xml:space="preserve">pre</w:t>
      </w:r>
      <w:r>
        <w:rPr>
          <w:rFonts w:ascii="Times New Roman" w:hAnsi="Times New Roman"/>
          <w:color w:val="000000"/>
          <w:sz w:val="24"/>
        </w:rPr>
        <w:t xml:space="preserve">n</w:t>
      </w:r>
      <w:r>
        <w:rPr>
          <w:rFonts w:ascii="Times New Roman" w:hAnsi="Times New Roman"/>
          <w:color w:val="000000"/>
          <w:sz w:val="24"/>
        </w:rPr>
        <w:t xml:space="preserve">di</w:t>
      </w:r>
      <w:r>
        <w:rPr>
          <w:rFonts w:ascii="Times New Roman" w:hAnsi="Times New Roman"/>
          <w:color w:val="000000"/>
          <w:sz w:val="24"/>
        </w:rPr>
        <w:t xml:space="preserve">zaje</w:t>
      </w:r>
      <w:r>
        <w:rPr>
          <w:rFonts w:ascii="Times New Roman" w:hAnsi="Times New Roman"/>
          <w:color w:val="000000"/>
          <w:sz w:val="24"/>
        </w:rPr>
        <w:t xml:space="preserve"> automátic</w:t>
      </w:r>
      <w:r>
        <w:rPr>
          <w:rFonts w:ascii="Times New Roman" w:hAnsi="Times New Roman"/>
          <w:color w:val="000000"/>
          <w:sz w:val="24"/>
        </w:rPr>
        <w:t xml:space="preserve">o par</w:t>
      </w:r>
      <w:r>
        <w:rPr>
          <w:rFonts w:ascii="Times New Roman" w:hAnsi="Times New Roman"/>
          <w:color w:val="000000"/>
          <w:sz w:val="24"/>
        </w:rPr>
        <w:t xml:space="preserve">a e</w:t>
      </w:r>
      <w:r>
        <w:rPr>
          <w:rFonts w:ascii="Times New Roman" w:hAnsi="Times New Roman"/>
          <w:color w:val="000000"/>
          <w:sz w:val="24"/>
        </w:rPr>
        <w:t xml:space="preserve">mitir pro</w:t>
      </w:r>
      <w:r>
        <w:rPr>
          <w:rFonts w:ascii="Times New Roman" w:hAnsi="Times New Roman"/>
          <w:color w:val="000000"/>
          <w:sz w:val="24"/>
        </w:rPr>
        <w:t xml:space="preserve">n</w:t>
      </w:r>
      <w:r>
        <w:rPr>
          <w:rFonts w:ascii="Times New Roman" w:hAnsi="Times New Roman"/>
          <w:color w:val="000000"/>
          <w:sz w:val="24"/>
        </w:rPr>
        <w:t xml:space="preserve">ósticos móviles de estabilidad. Su experiencia ofrece un antecedente operacional distinto de TA-01. En el presente estudio se examina</w:t>
      </w:r>
      <w:r>
        <w:rPr>
          <w:rFonts w:ascii="Times New Roman" w:hAnsi="Times New Roman"/>
          <w:color w:val="000000"/>
          <w:sz w:val="24"/>
        </w:rPr>
        <w:t xml:space="preserve"> una</w:t>
      </w:r>
      <w:r>
        <w:rPr>
          <w:rFonts w:ascii="Times New Roman" w:hAnsi="Times New Roman"/>
          <w:color w:val="000000"/>
          <w:sz w:val="24"/>
        </w:rPr>
        <w:t xml:space="preserve"> configuraci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s</w:t>
      </w:r>
      <w:r>
        <w:rPr>
          <w:rFonts w:ascii="Times New Roman" w:hAnsi="Times New Roman"/>
          <w:color w:val="000000"/>
          <w:sz w:val="24"/>
        </w:rPr>
        <w:t xml:space="preserve">e</w:t>
      </w:r>
      <w:r>
        <w:rPr>
          <w:rFonts w:ascii="Times New Roman" w:hAnsi="Times New Roman"/>
          <w:color w:val="000000"/>
          <w:sz w:val="24"/>
        </w:rPr>
        <w:t xml:space="preserve">mi</w:t>
      </w:r>
      <w:r>
        <w:rPr>
          <w:rFonts w:ascii="Times New Roman" w:hAnsi="Times New Roman"/>
          <w:color w:val="000000"/>
          <w:sz w:val="24"/>
        </w:rPr>
        <w:t xml:space="preserve">s</w:t>
      </w:r>
      <w:r>
        <w:rPr>
          <w:rFonts w:ascii="Times New Roman" w:hAnsi="Times New Roman"/>
          <w:color w:val="000000"/>
          <w:sz w:val="24"/>
        </w:rPr>
        <w:t xml:space="preserve">intét</w:t>
      </w:r>
      <w:r>
        <w:rPr>
          <w:rFonts w:ascii="Times New Roman" w:hAnsi="Times New Roman"/>
          <w:color w:val="000000"/>
          <w:sz w:val="24"/>
        </w:rPr>
        <w:t xml:space="preserve">ica</w:t>
      </w:r>
      <w:r>
        <w:rPr>
          <w:rFonts w:ascii="Times New Roman" w:hAnsi="Times New Roman"/>
          <w:color w:val="000000"/>
          <w:sz w:val="24"/>
        </w:rPr>
        <w:t xml:space="preserve"> que </w:t>
      </w:r>
      <w:r>
        <w:rPr>
          <w:rFonts w:ascii="Times New Roman" w:hAnsi="Times New Roman"/>
          <w:color w:val="000000"/>
          <w:sz w:val="24"/>
        </w:rPr>
        <w:t xml:space="preserve">con</w:t>
      </w:r>
      <w:r>
        <w:rPr>
          <w:rFonts w:ascii="Times New Roman" w:hAnsi="Times New Roman"/>
          <w:color w:val="000000"/>
          <w:sz w:val="24"/>
        </w:rPr>
        <w:t xml:space="preserve">serv</w:t>
      </w:r>
      <w:r>
        <w:rPr>
          <w:rFonts w:ascii="Times New Roman" w:hAnsi="Times New Roman"/>
          <w:color w:val="000000"/>
          <w:sz w:val="24"/>
        </w:rPr>
        <w:t xml:space="preserve">a u</w:t>
      </w:r>
      <w:r>
        <w:rPr>
          <w:rFonts w:ascii="Times New Roman" w:hAnsi="Times New Roman"/>
          <w:color w:val="000000"/>
          <w:sz w:val="24"/>
        </w:rPr>
        <w:t xml:space="preserve">n</w:t>
      </w:r>
      <w:r>
        <w:rPr>
          <w:rFonts w:ascii="Times New Roman" w:hAnsi="Times New Roman"/>
          <w:color w:val="000000"/>
          <w:sz w:val="24"/>
        </w:rPr>
        <w:t xml:space="preserve">a respuesta mecánica </w:t>
      </w:r>
      <w:r>
        <w:rPr>
          <w:rFonts w:ascii="Times New Roman" w:hAnsi="Times New Roman"/>
          <w:color w:val="000000"/>
          <w:sz w:val="24"/>
        </w:rPr>
        <w:t xml:space="preserve">FEM</w:t>
      </w:r>
      <w:r>
        <w:rPr>
          <w:rFonts w:ascii="Times New Roman" w:hAnsi="Times New Roman"/>
          <w:color w:val="000000"/>
          <w:sz w:val="24"/>
        </w:rPr>
        <w:t xml:space="preserve"> e</w:t>
      </w:r>
      <w:r>
        <w:rPr>
          <w:rFonts w:ascii="Times New Roman" w:hAnsi="Times New Roman"/>
          <w:color w:val="000000"/>
          <w:sz w:val="24"/>
        </w:rPr>
        <w:t xml:space="preserve"> incorpor</w:t>
      </w:r>
      <w:r>
        <w:rPr>
          <w:rFonts w:ascii="Times New Roman" w:hAnsi="Times New Roman"/>
          <w:color w:val="000000"/>
          <w:sz w:val="24"/>
        </w:rPr>
        <w:t xml:space="preserve">a dependencia temporal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no se mi</w:t>
      </w:r>
      <w:r>
        <w:rPr>
          <w:rFonts w:ascii="Times New Roman" w:hAnsi="Times New Roman"/>
          <w:color w:val="000000"/>
          <w:sz w:val="24"/>
        </w:rPr>
        <w:t xml:space="preserve">de </w:t>
      </w:r>
      <w:r>
        <w:rPr>
          <w:rFonts w:ascii="Times New Roman" w:hAnsi="Times New Roman"/>
          <w:color w:val="000000"/>
          <w:sz w:val="24"/>
        </w:rPr>
        <w:t xml:space="preserve">s</w:t>
      </w:r>
      <w:r>
        <w:rPr>
          <w:rFonts w:ascii="Times New Roman" w:hAnsi="Times New Roman"/>
          <w:color w:val="000000"/>
          <w:sz w:val="24"/>
        </w:rPr>
        <w:t xml:space="preserve">u</w:t>
      </w:r>
      <w:r>
        <w:rPr>
          <w:rFonts w:ascii="Times New Roman" w:hAnsi="Times New Roman"/>
          <w:color w:val="000000"/>
          <w:sz w:val="24"/>
        </w:rPr>
        <w:t xml:space="preserve"> frecuencia </w:t>
      </w:r>
      <w:r>
        <w:rPr>
          <w:rFonts w:ascii="Times New Roman" w:hAnsi="Times New Roman"/>
          <w:color w:val="000000"/>
          <w:sz w:val="24"/>
        </w:rPr>
        <w:t xml:space="preserve">d</w:t>
      </w:r>
      <w:r>
        <w:rPr>
          <w:rFonts w:ascii="Times New Roman" w:hAnsi="Times New Roman"/>
          <w:color w:val="000000"/>
          <w:sz w:val="24"/>
        </w:rPr>
        <w:t xml:space="preserve">e</w:t>
      </w:r>
      <w:r>
        <w:rPr>
          <w:rFonts w:ascii="Times New Roman" w:hAnsi="Times New Roman"/>
          <w:color w:val="000000"/>
          <w:sz w:val="24"/>
        </w:rPr>
        <w:t xml:space="preserve"> act</w:t>
      </w:r>
      <w:r>
        <w:rPr>
          <w:rFonts w:ascii="Times New Roman" w:hAnsi="Times New Roman"/>
          <w:color w:val="000000"/>
          <w:sz w:val="24"/>
        </w:rPr>
        <w:t xml:space="preserve">u</w:t>
      </w:r>
      <w:r>
        <w:rPr>
          <w:rFonts w:ascii="Times New Roman" w:hAnsi="Times New Roman"/>
          <w:color w:val="000000"/>
          <w:sz w:val="24"/>
        </w:rPr>
        <w:t xml:space="preserve">al</w:t>
      </w:r>
      <w:r>
        <w:rPr>
          <w:rFonts w:ascii="Times New Roman" w:hAnsi="Times New Roman"/>
          <w:color w:val="000000"/>
          <w:sz w:val="24"/>
        </w:rPr>
        <w:t xml:space="preserve">i</w:t>
      </w:r>
      <w:r>
        <w:rPr>
          <w:rFonts w:ascii="Times New Roman" w:hAnsi="Times New Roman"/>
          <w:color w:val="000000"/>
          <w:sz w:val="24"/>
        </w:rPr>
        <w:t xml:space="preserve">z</w:t>
      </w:r>
      <w:r>
        <w:rPr>
          <w:rFonts w:ascii="Times New Roman" w:hAnsi="Times New Roman"/>
          <w:color w:val="000000"/>
          <w:sz w:val="24"/>
        </w:rPr>
        <w:t xml:space="preserve">ación</w:t>
      </w:r>
      <w:r>
        <w:rPr>
          <w:rFonts w:ascii="Times New Roman" w:hAnsi="Times New Roman"/>
          <w:color w:val="000000"/>
          <w:sz w:val="24"/>
        </w:rPr>
        <w:t xml:space="preserve"> ni su utilidad para alertas en mina</w:t>
      </w:r>
      <w:r>
        <w:rPr>
          <w:rFonts w:ascii="Times New Roman" w:hAnsi="Times New Roman"/>
          <w:color w:val="000000"/>
          <w:sz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2">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Los trabajos más cercanos cubren componentes parciales del problema. Liu et al. (</w:t>
      </w:r>
      <w:r>
        <w:rPr>
          <w:rFonts w:ascii="Times New Roman" w:hAnsi="Times New Roman"/>
          <w:color w:val="000000"/>
          <w:sz w:val="24"/>
        </w:rPr>
        <w:t xml:space="preserve">2022) y Piciullo et al. (2025) actualizaron pronósticos con datos observados; Pei et al. (2023) incorporaron conocimiento del dominio en el aprendizaje; y Zhang, Z., et al. (2024) impusieron ecuaciones y condiciones de contorno en un marco tridimensional. </w:t>
      </w:r>
      <w:r>
        <w:rPr>
          <w:rFonts w:ascii="Times New Roman" w:hAnsi="Times New Roman"/>
          <w:color w:val="000000"/>
          <w:sz w:val="24"/>
        </w:rPr>
        <w:t xml:space="preserve">La comparac</w:t>
      </w:r>
      <w:r>
        <w:rPr>
          <w:rFonts w:ascii="Times New Roman" w:hAnsi="Times New Roman"/>
          <w:color w:val="000000"/>
          <w:sz w:val="24"/>
        </w:rPr>
        <w:t xml:space="preserve">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de </w:t>
      </w:r>
      <w:r>
        <w:rPr>
          <w:rFonts w:ascii="Times New Roman" w:hAnsi="Times New Roman"/>
          <w:color w:val="000000"/>
          <w:sz w:val="24"/>
        </w:rPr>
        <w:t xml:space="preserve">la</w:t>
      </w:r>
      <w:r>
        <w:rPr>
          <w:rFonts w:ascii="Times New Roman" w:hAnsi="Times New Roman"/>
          <w:color w:val="000000"/>
          <w:sz w:val="24"/>
        </w:rPr>
        <w:t xml:space="preserve"> </w:t>
      </w:r>
      <w:r>
        <w:rPr>
          <w:rFonts w:ascii="Times New Roman" w:hAnsi="Times New Roman"/>
          <w:color w:val="000000"/>
          <w:sz w:val="24"/>
        </w:rPr>
        <w:t xml:space="preserve">T</w:t>
      </w:r>
      <w:r>
        <w:rPr>
          <w:rFonts w:ascii="Times New Roman" w:hAnsi="Times New Roman"/>
          <w:color w:val="000000"/>
          <w:sz w:val="24"/>
        </w:rPr>
        <w:t xml:space="preserve">a</w:t>
      </w:r>
      <w:r>
        <w:rPr>
          <w:rFonts w:ascii="Times New Roman" w:hAnsi="Times New Roman"/>
          <w:color w:val="000000"/>
          <w:sz w:val="24"/>
        </w:rPr>
        <w:t xml:space="preserve">bla 1 </w:t>
      </w:r>
      <w:r>
        <w:rPr>
          <w:rFonts w:ascii="Times New Roman" w:hAnsi="Times New Roman"/>
          <w:color w:val="000000"/>
          <w:sz w:val="24"/>
        </w:rPr>
        <w:t xml:space="preserve">de</w:t>
      </w:r>
      <w:r>
        <w:rPr>
          <w:rFonts w:ascii="Times New Roman" w:hAnsi="Times New Roman"/>
          <w:color w:val="000000"/>
          <w:sz w:val="24"/>
        </w:rPr>
        <w:t xml:space="preserve">limi</w:t>
      </w:r>
      <w:r>
        <w:rPr>
          <w:rFonts w:ascii="Times New Roman" w:hAnsi="Times New Roman"/>
          <w:color w:val="000000"/>
          <w:sz w:val="24"/>
        </w:rPr>
        <w:t xml:space="preserve">t</w:t>
      </w:r>
      <w:r>
        <w:rPr>
          <w:rFonts w:ascii="Times New Roman" w:hAnsi="Times New Roman"/>
          <w:color w:val="000000"/>
          <w:sz w:val="24"/>
        </w:rPr>
        <w:t xml:space="preserve">a</w:t>
      </w:r>
      <w:r>
        <w:rPr>
          <w:rFonts w:ascii="Times New Roman" w:hAnsi="Times New Roman"/>
          <w:color w:val="000000"/>
          <w:sz w:val="24"/>
        </w:rPr>
        <w:t xml:space="preserve"> el alcance e</w:t>
      </w:r>
      <w:r>
        <w:rPr>
          <w:rFonts w:ascii="Times New Roman" w:hAnsi="Times New Roman"/>
          <w:color w:val="000000"/>
          <w:sz w:val="24"/>
        </w:rPr>
        <w:t xml:space="preserve">spe</w:t>
      </w:r>
      <w:r>
        <w:rPr>
          <w:rFonts w:ascii="Times New Roman" w:hAnsi="Times New Roman"/>
          <w:color w:val="000000"/>
          <w:sz w:val="24"/>
        </w:rPr>
        <w:t xml:space="preserve">c</w:t>
      </w:r>
      <w:r>
        <w:rPr>
          <w:rFonts w:ascii="Times New Roman" w:hAnsi="Times New Roman"/>
          <w:color w:val="000000"/>
          <w:sz w:val="24"/>
        </w:rPr>
        <w:t xml:space="preserve">ífic</w:t>
      </w:r>
      <w:r>
        <w:rPr>
          <w:rFonts w:ascii="Times New Roman" w:hAnsi="Times New Roman"/>
          <w:color w:val="000000"/>
          <w:sz w:val="24"/>
        </w:rPr>
        <w:t xml:space="preserve">o de TA-01</w:t>
      </w:r>
      <w:r>
        <w:rPr>
          <w:rFonts w:ascii="Times New Roman" w:hAnsi="Times New Roman"/>
          <w:color w:val="000000"/>
          <w:sz w:val="24"/>
        </w:rPr>
        <w:t xml:space="preserve">, sin establecer prioridad absoluta</w:t>
      </w:r>
      <w:r>
        <w:rPr>
          <w:rFonts w:ascii="Times New Roman" w:hAnsi="Times New Roman"/>
          <w:color w:val="000000"/>
          <w:sz w:val="24"/>
        </w:rPr>
        <w:t xml:space="preserve">: un banco semisintético trazable que compara una LSTM con u</w:t>
      </w:r>
      <w:r>
        <w:rPr>
          <w:rFonts w:ascii="Times New Roman" w:hAnsi="Times New Roman"/>
          <w:color w:val="000000"/>
          <w:sz w:val="24"/>
        </w:rPr>
        <w:t xml:space="preserve">na corrección residual monótona y examina su estabilidad entre fechas de lluvia. La brecha evaluada aquí es, por tanto, metodológica y acotada: determinar qué aporta esa corrección dentro de un generador FEM controlado antes de atribuirle validez de campo.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3">
      <w:pPr>
        <w:widowControl w:val="true"/>
        <w:pBdr/>
        <w:spacing w:after="80" w:line="480" w:lineRule="auto"/>
        <w:ind w:firstLine="283"/>
        <w:rPr>
          <w:rFonts w:ascii="Times New Roman" w:hAnsi="Times New Roman" w:eastAsia="Times New Roman" w:cs="Times New Roman"/>
          <w:b/>
          <w:bCs/>
          <w:sz w:val="24"/>
          <w:szCs w:val="24"/>
        </w:rPr>
      </w:pPr>
      <w:r>
        <w:rPr>
          <w:rFonts w:ascii="Times New Roman" w:hAnsi="Times New Roman"/>
          <w:b w:val="0"/>
          <w:i w:val="0"/>
          <w:color w:val="000000"/>
          <w:sz w:val="24"/>
        </w:rPr>
        <w:t xml:space="preserve">Este estudio presenta el prototipo semisintético TA-01. El aporte verificable consiste en integrar un FEM 2D elástico, un modelo temporal LSTM, un corrector residual guiado por relaciones monotónicas y una evaluación que separa fechas de lluvia y añ</w:t>
      </w:r>
      <w:r>
        <w:rPr>
          <w:rFonts w:ascii="Times New Roman" w:hAnsi="Times New Roman"/>
          <w:b w:val="0"/>
          <w:i w:val="0"/>
          <w:color w:val="000000"/>
          <w:sz w:val="24"/>
        </w:rPr>
        <w:t xml:space="preserve">os de prueba. El estudio no valida la latencia de extremo a extremo ni la utilidad de las alertas en campo; tampoco evalúa cambios de excavación, un factor de seguridad operacional por reducción de resistencia o una PINN continua de ecuaciones gobernantes.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014">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b w:val="0"/>
          <w:i w:val="0"/>
          <w:color w:val="000000"/>
          <w:sz w:val="24"/>
        </w:rPr>
        <w:t xml:space="preserve">La contribución se interpreta como una evaluación de software bajo un generador controlado: el identificador del escenario y la</w:t>
      </w:r>
      <w:r>
        <w:rPr>
          <w:rFonts w:ascii="Times New Roman" w:hAnsi="Times New Roman"/>
          <w:b w:val="0"/>
          <w:i w:val="0"/>
          <w:color w:val="000000"/>
          <w:sz w:val="24"/>
        </w:rPr>
        <w:t xml:space="preserve"> fecha de lluvia permiten rastrear cada ventana, separar eventos entre conjuntos y repetir las comparaciones. El hallazgo empírico principal es que una restricción monotónica plausible no garantiza menor error al cambiar el periodo de prueba y puede aument</w:t>
      </w:r>
      <w:r>
        <w:rPr>
          <w:rFonts w:ascii="Times New Roman" w:hAnsi="Times New Roman"/>
          <w:b w:val="0"/>
          <w:i w:val="0"/>
          <w:color w:val="000000"/>
          <w:sz w:val="24"/>
        </w:rPr>
        <w:t xml:space="preserve">ar la sensibilidad a entradas degradadas. Esto delimita el alcance de los métodos guiados por física agregada antes de proponer su uso operacional. Los desplazamientos y las variables geotécnicas son simulados; solo la lluvia procede de una fuente externa.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91"/>
        <w:keepNext w:val="true"/>
        <w:widowControl w:val="true"/>
        <w:pBdr/>
        <w:spacing w:after="80" w:line="480" w:lineRule="auto"/>
        <w:ind/>
        <w:rPr/>
      </w:pPr>
      <w:r>
        <w:t xml:space="preserve">1.1. Posicionamiento frente a trabajos próximos</w:t>
      </w:r>
      <w:r/>
    </w:p>
    <w:p>
      <w:pPr>
        <w:widowControl w:val="true"/>
        <w:pBdr/>
        <w:spacing w:after="80" w:line="480" w:lineRule="auto"/>
        <w:ind w:firstLine="283"/>
        <w:jc w:val="both"/>
        <w:rPr/>
      </w:pPr>
      <w:r>
        <w:rPr>
          <w:rFonts w:ascii="Times New Roman" w:hAnsi="Times New Roman"/>
          <w:color w:val="000000"/>
          <w:sz w:val="24"/>
        </w:rPr>
        <w:t xml:space="preserve">La Tabla 1 delimita la novedad frente a los antecedentes directamente relacionados. Se seleccionaron trabajos de 2022 a 2025 que combinan al menos dos de estos componentes: actualización de taludes, conocimiento físico, aprendi</w:t>
      </w:r>
      <w:r>
        <w:rPr>
          <w:rFonts w:ascii="Times New Roman" w:hAnsi="Times New Roman"/>
          <w:color w:val="000000"/>
          <w:sz w:val="24"/>
        </w:rPr>
        <w:t xml:space="preserve">zaje temporal, datos de monitoreo o validación numérica. La comparación evita equiparar restricciones monotónicas con una PINN de campo y muestra que la contribución se concentra en la trazabilidad del experimento semisintético y en la evaluación temporal.</w:t>
      </w:r>
      <w:r>
        <w:rPr>
          <w:rFonts w:ascii="Times New Roman" w:hAnsi="Times New Roman"/>
          <w:color w:val="000000"/>
          <w:sz w:val="24"/>
        </w:rPr>
      </w:r>
      <w:r/>
    </w:p>
    <w:p>
      <w:pPr>
        <w:keepNext w:val="true"/>
        <w:widowControl w:val="true"/>
        <w:pBdr/>
        <w:spacing w:after="80" w:before="120" w:line="480" w:lineRule="auto"/>
        <w:ind/>
        <w:rPr/>
      </w:pPr>
      <w:r>
        <w:rPr>
          <w:rFonts w:ascii="Times New Roman" w:hAnsi="Times New Roman"/>
          <w:b/>
          <w:color w:val="000000"/>
          <w:sz w:val="24"/>
        </w:rPr>
        <w:t xml:space="preserve">Tabla 1</w:t>
      </w:r>
      <w:r>
        <w:rPr>
          <w:rFonts w:ascii="Times New Roman" w:hAnsi="Times New Roman"/>
          <w:i/>
          <w:color w:val="000000"/>
          <w:sz w:val="24"/>
        </w:rPr>
        <w:br/>
        <w:t xml:space="preserve">Comparación del alcance con trabajos directamente relacionados</w:t>
      </w:r>
      <w:r>
        <w:rPr>
          <w:rFonts w:ascii="Times New Roman" w:hAnsi="Times New Roman"/>
          <w:color w:val="000000"/>
          <w:sz w:val="24"/>
        </w:rPr>
      </w:r>
      <w:r/>
    </w:p>
    <w:p>
      <w:pPr>
        <w:keepNext w:val="true"/>
        <w:widowControl w:val="true"/>
        <w:pBdr/>
        <w:spacing w:after="80" w:line="480" w:lineRule="auto"/>
        <w:ind/>
        <w:rPr/>
      </w:pPr>
      <w:r>
        <w:rPr>
          <w:rFonts w:ascii="Times New Roman" w:hAnsi="Times New Roman"/>
          <w:color w:val="000000"/>
          <w:sz w:val="24"/>
        </w:rPr>
        <w:t xml:space="preserve">Table 1. Scope comparison with closely related studies.</w:t>
      </w:r>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689"/>
        <w:gridCol w:w="1842"/>
        <w:gridCol w:w="1919"/>
        <w:gridCol w:w="1689"/>
        <w:gridCol w:w="2149"/>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Estudio</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Datos</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Componente físico</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Modelo temporal</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Validación informada</w:t>
            </w:r>
            <w:r>
              <w:rPr>
                <w:rFonts w:ascii="Times New Roman" w:hAnsi="Times New Roman"/>
                <w:b/>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Liu et al. (2022)</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Monitoreo y desempeño observados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Modelo de estabilidad actualizado</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color w:val="000000"/>
                <w:sz w:val="20"/>
              </w:rPr>
            </w:r>
            <w:r>
              <w:rPr>
                <w:rFonts w:ascii="Times New Roman" w:hAnsi="Times New Roman"/>
                <w:b w:val="0"/>
                <w:color w:val="000000"/>
                <w:sz w:val="20"/>
              </w:rPr>
              <w:t xml:space="preserve">Evolución temporal</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Evento de falla observado</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Pei et al. (2023)</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Conjuntos de estabilidad</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Pérdida guiada por conocimiento</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color w:val="000000"/>
                <w:sz w:val="20"/>
              </w:rPr>
            </w:r>
            <w:r>
              <w:rPr>
                <w:rFonts w:ascii="Times New Roman" w:hAnsi="Times New Roman"/>
                <w:b w:val="0"/>
                <w:color w:val="000000"/>
                <w:sz w:val="20"/>
              </w:rPr>
              <w:t xml:space="preserve">No es el foco</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Comparación con modelos físicos y de datos</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Zhang, Z., et al. (2024)</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Casos numéricos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Ecuaciones y condiciones de contorno</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color w:val="000000"/>
                <w:sz w:val="20"/>
              </w:rPr>
            </w:r>
            <w:r>
              <w:rPr>
                <w:rFonts w:ascii="Times New Roman" w:hAnsi="Times New Roman"/>
                <w:b w:val="0"/>
                <w:color w:val="000000"/>
                <w:sz w:val="20"/>
              </w:rPr>
              <w:t xml:space="preserve">Excitación externa</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Referencia numérica</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Piciullo et al. (2025)</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Monitoreo IoT y meteorología</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Modelos numéricos</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color w:val="000000"/>
                <w:sz w:val="20"/>
              </w:rPr>
            </w:r>
            <w:r>
              <w:rPr>
                <w:rFonts w:ascii="Times New Roman" w:hAnsi="Times New Roman"/>
                <w:b w:val="0"/>
                <w:color w:val="000000"/>
                <w:sz w:val="20"/>
              </w:rPr>
              <w:t xml:space="preserve">Pronóstico móvil</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Uso operacional documentado</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Este estudio</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4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Lluvia externa y respuesta simulada</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91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FEM 2D y monotonía agregada</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689" w:type="dxa"/>
            <w:vAlign w:val="center"/>
          </w:tcPr>
          <w:p>
            <w:pPr>
              <w:pBdr/>
              <w:spacing w:after="80" w:before="80" w:line="276" w:lineRule="auto"/>
              <w:ind w:firstLine="283"/>
              <w:jc w:val="center"/>
              <w:rPr/>
            </w:pPr>
            <w:r>
              <w:rPr>
                <w:rFonts w:ascii="Times New Roman" w:hAnsi="Times New Roman"/>
                <w:color w:val="000000"/>
                <w:sz w:val="20"/>
              </w:rPr>
            </w:r>
            <w:r>
              <w:rPr>
                <w:rFonts w:ascii="Times New Roman" w:hAnsi="Times New Roman"/>
                <w:b w:val="0"/>
                <w:color w:val="000000"/>
                <w:sz w:val="20"/>
              </w:rPr>
              <w:t xml:space="preserve">LSTM a 1 y 6 h</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2149"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Fechas disjuntas, 2024 y 2025</w:t>
            </w:r>
            <w:r>
              <w:rPr>
                <w:rFonts w:ascii="Times New Roman" w:hAnsi="Times New Roman"/>
                <w:color w:val="000000"/>
                <w:sz w:val="20"/>
              </w:rPr>
            </w:r>
            <w:r/>
          </w:p>
        </w:tc>
      </w:tr>
    </w:tbl>
    <w:p>
      <w:pPr>
        <w:widowControl w:val="true"/>
        <w:pBdr/>
        <w:spacing w:after="80" w:before="40" w:line="480" w:lineRule="auto"/>
        <w:ind/>
        <w:rPr/>
      </w:pPr>
      <w:r>
        <w:rPr>
          <w:rFonts w:ascii="Times New Roman" w:hAnsi="Times New Roman"/>
          <w:color w:val="000000"/>
          <w:sz w:val="24"/>
        </w:rPr>
        <w:t xml:space="preserve">Nota. La tabla resume el alcance descrito en las obras citadas y no sustituye una revisión sistemática.</w:t>
      </w:r>
      <w:r>
        <w:rPr>
          <w:rFonts w:ascii="Times New Roman" w:hAnsi="Times New Roman"/>
          <w:color w:val="000000"/>
          <w:sz w:val="24"/>
        </w:rPr>
      </w:r>
      <w:r/>
    </w:p>
    <w:p>
      <w:pPr>
        <w:pStyle w:val="891"/>
        <w:keepNext w:val="true"/>
        <w:widowControl w:val="true"/>
        <w:pBdr/>
        <w:spacing w:after="80" w:line="480" w:lineRule="auto"/>
        <w:ind/>
        <w:rPr/>
      </w:pPr>
      <w:r>
        <w:t xml:space="preserve">1.2. Preguntas de investigación y contribución</w:t>
      </w:r>
      <w:r/>
    </w:p>
    <w:p>
      <w:pPr>
        <w:widowControl w:val="true"/>
        <w:pBdr/>
        <w:spacing w:after="80" w:line="480" w:lineRule="auto"/>
        <w:ind w:firstLine="283"/>
        <w:rPr/>
      </w:pPr>
      <w:r>
        <w:rPr>
          <w:rFonts w:ascii="Times New Roman" w:hAnsi="Times New Roman"/>
          <w:color w:val="000000"/>
          <w:sz w:val="24"/>
        </w:rPr>
        <w:t xml:space="preserve">El experimento responde cuatro preguntas medibles dentro del caso TA-01:</w:t>
      </w:r>
      <w:r>
        <w:rPr>
          <w:rFonts w:ascii="Times New Roman" w:hAnsi="Times New Roman"/>
          <w:color w:val="000000"/>
          <w:sz w:val="24"/>
        </w:rPr>
      </w:r>
      <w:r/>
    </w:p>
    <w:p>
      <w:pPr>
        <w:widowControl w:val="true"/>
        <w:pBdr/>
        <w:spacing w:after="80" w:line="480" w:lineRule="auto"/>
        <w:ind w:firstLine="283" w:left="317"/>
        <w:rPr/>
      </w:pPr>
      <w:r>
        <w:rPr>
          <w:rFonts w:ascii="Times New Roman" w:hAnsi="Times New Roman"/>
          <w:color w:val="000000"/>
          <w:sz w:val="24"/>
        </w:rPr>
        <w:t xml:space="preserve">RQ1. ¿Cómo cambia el MAE de persistencia, ridge, LSTM e híbrido en horizontes de 1 y 6 h </w:t>
      </w:r>
      <w:r>
        <w:rPr>
          <w:rFonts w:ascii="Times New Roman" w:hAnsi="Times New Roman"/>
          <w:color w:val="000000"/>
          <w:sz w:val="24"/>
        </w:rPr>
        <w:t xml:space="preserve">c</w:t>
      </w:r>
      <w:r>
        <w:rPr>
          <w:rFonts w:ascii="Times New Roman" w:hAnsi="Times New Roman"/>
          <w:color w:val="000000"/>
          <w:sz w:val="24"/>
        </w:rPr>
        <w:t xml:space="preserve">o</w:t>
      </w:r>
      <w:r>
        <w:rPr>
          <w:rFonts w:ascii="Times New Roman" w:hAnsi="Times New Roman"/>
          <w:color w:val="000000"/>
          <w:sz w:val="24"/>
        </w:rPr>
        <w:t xml:space="preserve">n</w:t>
      </w:r>
      <w:r>
        <w:rPr>
          <w:rFonts w:ascii="Times New Roman" w:hAnsi="Times New Roman"/>
          <w:color w:val="000000"/>
          <w:sz w:val="24"/>
        </w:rPr>
        <w:t xml:space="preserve"> fechas de lluvia disjuntas y cortes cronológicos?</w:t>
      </w:r>
      <w:r/>
    </w:p>
    <w:p>
      <w:pPr>
        <w:widowControl w:val="true"/>
        <w:pBdr/>
        <w:spacing w:after="80" w:line="480" w:lineRule="auto"/>
        <w:ind w:firstLine="283" w:left="317"/>
        <w:rPr/>
      </w:pPr>
      <w:r>
        <w:rPr>
          <w:rFonts w:ascii="Times New Roman" w:hAnsi="Times New Roman"/>
          <w:color w:val="000000"/>
          <w:sz w:val="24"/>
        </w:rPr>
        <w:t xml:space="preserve">RQ2. ¿La corrección residual monótona aporta una mejora predictiva consistente respecto de la LSTM entre los años de prueba?</w:t>
      </w:r>
      <w:r>
        <w:rPr>
          <w:rFonts w:ascii="Times New Roman" w:hAnsi="Times New Roman"/>
          <w:color w:val="000000"/>
          <w:sz w:val="24"/>
        </w:rPr>
      </w:r>
      <w:r/>
    </w:p>
    <w:p>
      <w:pPr>
        <w:widowControl w:val="true"/>
        <w:pBdr/>
        <w:spacing w:after="80" w:line="480" w:lineRule="auto"/>
        <w:ind w:firstLine="283" w:left="317"/>
        <w:rPr/>
      </w:pPr>
      <w:r>
        <w:rPr>
          <w:rFonts w:ascii="Times New Roman" w:hAnsi="Times New Roman"/>
          <w:color w:val="000000"/>
          <w:sz w:val="24"/>
        </w:rPr>
        <w:t xml:space="preserve">RQ3. ¿Cuánto se degrada el híbrido ante ruido del 5 % y pérdida aleatoria del 30 % de las entradas reservadas?</w:t>
      </w:r>
      <w:r>
        <w:rPr>
          <w:rFonts w:ascii="Times New Roman" w:hAnsi="Times New Roman"/>
          <w:color w:val="000000"/>
          <w:sz w:val="24"/>
        </w:rPr>
      </w:r>
      <w:r/>
    </w:p>
    <w:p>
      <w:pPr>
        <w:widowControl w:val="true"/>
        <w:pBdr/>
        <w:spacing w:after="80" w:line="480" w:lineRule="auto"/>
        <w:ind w:firstLine="283" w:left="317"/>
        <w:rPr/>
      </w:pPr>
      <w:r>
        <w:rPr>
          <w:rFonts w:ascii="Times New Roman" w:hAnsi="Times New Roman"/>
          <w:color w:val="000000"/>
          <w:sz w:val="24"/>
        </w:rPr>
        <w:t xml:space="preserve">RQ4. ¿Qué grado de concordancia interna alcanzan la implementación FEM y la aproximación espacial PIELM/RBF dentro del mismo operador numérico?</w:t>
      </w:r>
      <w:r>
        <w:rPr>
          <w:rFonts w:ascii="Times New Roman" w:hAnsi="Times New Roman"/>
          <w:color w:val="000000"/>
          <w:sz w:val="24"/>
        </w:rPr>
      </w:r>
      <w:r/>
    </w:p>
    <w:p>
      <w:pPr>
        <w:widowControl w:val="true"/>
        <w:pBdr/>
        <w:spacing w:after="80" w:line="480" w:lineRule="auto"/>
        <w:ind w:firstLine="283"/>
        <w:jc w:val="both"/>
        <w:rPr/>
      </w:pPr>
      <w:r>
        <w:rPr>
          <w:rFonts w:ascii="Times New Roman" w:hAnsi="Times New Roman"/>
          <w:color w:val="000000"/>
          <w:sz w:val="24"/>
        </w:rPr>
        <w:t xml:space="preserve">Cada pregunta se vincula con</w:t>
      </w:r>
      <w:r>
        <w:rPr>
          <w:rFonts w:ascii="Times New Roman" w:hAnsi="Times New Roman"/>
          <w:color w:val="000000"/>
          <w:sz w:val="24"/>
        </w:rPr>
        <w:t xml:space="preserve"> métodos y</w:t>
      </w:r>
      <w:r>
        <w:rPr>
          <w:rFonts w:ascii="Times New Roman" w:hAnsi="Times New Roman"/>
          <w:color w:val="000000"/>
          <w:sz w:val="24"/>
        </w:rPr>
        <w:t xml:space="preserve"> resultados específicos: RQ1 con las Tablas </w:t>
      </w:r>
      <w:r>
        <w:rPr>
          <w:rFonts w:ascii="Times New Roman" w:hAnsi="Times New Roman"/>
          <w:color w:val="000000"/>
          <w:sz w:val="24"/>
        </w:rPr>
        <w:t xml:space="preserve">3</w:t>
      </w:r>
      <w:r>
        <w:rPr>
          <w:rFonts w:ascii="Times New Roman" w:hAnsi="Times New Roman"/>
          <w:color w:val="000000"/>
          <w:sz w:val="24"/>
        </w:rPr>
        <w:t xml:space="preserve"> y </w:t>
      </w:r>
      <w:r>
        <w:rPr>
          <w:rFonts w:ascii="Times New Roman" w:hAnsi="Times New Roman"/>
          <w:color w:val="000000"/>
          <w:sz w:val="24"/>
        </w:rPr>
        <w:t xml:space="preserve">4;</w:t>
      </w:r>
      <w:r>
        <w:rPr>
          <w:rFonts w:ascii="Times New Roman" w:hAnsi="Times New Roman"/>
          <w:color w:val="000000"/>
          <w:sz w:val="24"/>
        </w:rPr>
        <w:t xml:space="preserve"> RQ2 con los intervalos pareados por fecha</w:t>
      </w:r>
      <w:r>
        <w:rPr>
          <w:rFonts w:ascii="Times New Roman" w:hAnsi="Times New Roman"/>
          <w:color w:val="000000"/>
          <w:sz w:val="24"/>
        </w:rPr>
        <w:t xml:space="preserve"> de la Figura 3;</w:t>
      </w:r>
      <w:r>
        <w:rPr>
          <w:rFonts w:ascii="Times New Roman" w:hAnsi="Times New Roman"/>
          <w:color w:val="000000"/>
          <w:sz w:val="24"/>
        </w:rPr>
        <w:t xml:space="preserve"> RQ3 con las p</w:t>
      </w:r>
      <w:r>
        <w:rPr>
          <w:rFonts w:ascii="Times New Roman" w:hAnsi="Times New Roman"/>
          <w:color w:val="000000"/>
          <w:sz w:val="24"/>
        </w:rPr>
        <w:t xml:space="preserve">erturbaci</w:t>
      </w:r>
      <w:r>
        <w:rPr>
          <w:rFonts w:ascii="Times New Roman" w:hAnsi="Times New Roman"/>
          <w:color w:val="000000"/>
          <w:sz w:val="24"/>
        </w:rPr>
        <w:t xml:space="preserve">o</w:t>
      </w:r>
      <w:r>
        <w:rPr>
          <w:rFonts w:ascii="Times New Roman" w:hAnsi="Times New Roman"/>
          <w:color w:val="000000"/>
          <w:sz w:val="24"/>
        </w:rPr>
        <w:t xml:space="preserve">n</w:t>
      </w:r>
      <w:r>
        <w:rPr>
          <w:rFonts w:ascii="Times New Roman" w:hAnsi="Times New Roman"/>
          <w:color w:val="000000"/>
          <w:sz w:val="24"/>
        </w:rPr>
        <w:t xml:space="preserve">es de la Tabla 6 y la Figura 5;</w:t>
      </w:r>
      <w:r>
        <w:rPr>
          <w:rFonts w:ascii="Times New Roman" w:hAnsi="Times New Roman"/>
          <w:color w:val="000000"/>
          <w:sz w:val="24"/>
        </w:rPr>
        <w:t xml:space="preserve"> y RQ4 con la</w:t>
      </w:r>
      <w:r>
        <w:rPr>
          <w:rFonts w:ascii="Times New Roman" w:hAnsi="Times New Roman"/>
          <w:color w:val="000000"/>
          <w:sz w:val="24"/>
        </w:rPr>
        <w:t xml:space="preserve"> verificaci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del FEM y la aproximación espacial</w:t>
      </w:r>
      <w:r>
        <w:rPr>
          <w:rFonts w:ascii="Times New Roman" w:hAnsi="Times New Roman"/>
          <w:color w:val="000000"/>
          <w:sz w:val="24"/>
        </w:rPr>
        <w:t xml:space="preserve"> de la Tabla 5 y la Figura 2</w:t>
      </w:r>
      <w:r>
        <w:rPr>
          <w:rFonts w:ascii="Times New Roman" w:hAnsi="Times New Roman"/>
          <w:color w:val="000000"/>
          <w:sz w:val="24"/>
        </w:rPr>
        <w:t xml:space="preserve">.</w:t>
      </w:r>
      <w:r>
        <w:rPr>
          <w:rFonts w:ascii="Times New Roman" w:hAnsi="Times New Roman"/>
          <w:color w:val="000000"/>
          <w:sz w:val="24"/>
        </w:rPr>
        <w:t xml:space="preserve"> Las conclusiones conservan estos límites de evaluación.</w:t>
      </w:r>
      <w:r/>
    </w:p>
    <w:p w14:paraId="00000015">
      <w:pPr>
        <w:pStyle w:val="890"/>
        <w:keepNext w:val="true"/>
        <w:keepLines w:val="false"/>
        <w:widowControl w:val="true"/>
        <w:pBdr/>
        <w:spacing w:after="80" w:before="160" w:line="480" w:lineRule="auto"/>
        <w:ind/>
        <w:jc w:val="center"/>
        <w:rPr>
          <w:rFonts w:ascii="Times New Roman" w:hAnsi="Times New Roman" w:eastAsia="Times New Roman" w:cs="Times New Roman"/>
          <w:sz w:val="24"/>
          <w:szCs w:val="24"/>
        </w:rPr>
      </w:pPr>
      <w:r>
        <w:t xml:space="preserve">2. Materiales y métodos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91"/>
        <w:keepNext w:val="true"/>
        <w:widowControl w:val="true"/>
        <w:pBdr/>
        <w:spacing w:after="80" w:line="480" w:lineRule="auto"/>
        <w:ind/>
        <w:rPr/>
      </w:pPr>
      <w:r>
        <w:t xml:space="preserve">2.1. Arquitectura y trazabilidad del prototipo</w:t>
      </w:r>
      <w:r/>
    </w:p>
    <w:p>
      <w:pPr>
        <w:widowControl w:val="true"/>
        <w:pBdr/>
        <w:spacing w:after="80" w:line="480" w:lineRule="auto"/>
        <w:ind w:firstLine="283"/>
        <w:jc w:val="both"/>
        <w:rPr/>
      </w:pPr>
      <w:r>
        <w:rPr>
          <w:rFonts w:ascii="Times New Roman" w:hAnsi="Times New Roman"/>
          <w:color w:val="000000"/>
          <w:sz w:val="24"/>
        </w:rPr>
        <w:t xml:space="preserve">El prototipo organiz</w:t>
      </w:r>
      <w:r>
        <w:rPr>
          <w:rFonts w:ascii="Times New Roman" w:hAnsi="Times New Roman"/>
          <w:color w:val="000000"/>
          <w:sz w:val="24"/>
        </w:rPr>
        <w:t xml:space="preserve">a la generación de escenarios, la simulación mecánica, la construcción de ventanas, el entrenamiento y la validación como etapas separadas. Cada predicción conserva la fecha de lluvia y el identificador del escenario, lo que permite formar particiones sin </w:t>
      </w:r>
      <w:r>
        <w:rPr>
          <w:rFonts w:ascii="Times New Roman" w:hAnsi="Times New Roman"/>
          <w:color w:val="000000"/>
          <w:sz w:val="24"/>
        </w:rPr>
        <w:t xml:space="preserve">compartir </w:t>
      </w:r>
      <w:r>
        <w:rPr>
          <w:rFonts w:ascii="Times New Roman" w:hAnsi="Times New Roman"/>
          <w:color w:val="000000"/>
          <w:sz w:val="24"/>
        </w:rPr>
        <w:t xml:space="preserve">f</w:t>
      </w:r>
      <w:r>
        <w:rPr>
          <w:rFonts w:ascii="Times New Roman" w:hAnsi="Times New Roman"/>
          <w:color w:val="000000"/>
          <w:sz w:val="24"/>
        </w:rPr>
        <w:t xml:space="preserve">ech</w:t>
      </w:r>
      <w:r>
        <w:rPr>
          <w:rFonts w:ascii="Times New Roman" w:hAnsi="Times New Roman"/>
          <w:color w:val="000000"/>
          <w:sz w:val="24"/>
        </w:rPr>
        <w:t xml:space="preserve">a</w:t>
      </w:r>
      <w:r>
        <w:rPr>
          <w:rFonts w:ascii="Times New Roman" w:hAnsi="Times New Roman"/>
          <w:color w:val="000000"/>
          <w:sz w:val="24"/>
        </w:rPr>
        <w:t xml:space="preserve">s ni escenarios</w:t>
      </w:r>
      <w:r>
        <w:rPr>
          <w:rFonts w:ascii="Times New Roman" w:hAnsi="Times New Roman"/>
          <w:color w:val="000000"/>
          <w:sz w:val="24"/>
        </w:rPr>
        <w:t xml:space="preserve"> entre </w:t>
      </w:r>
      <w:r>
        <w:rPr>
          <w:rFonts w:ascii="Times New Roman" w:hAnsi="Times New Roman"/>
          <w:color w:val="000000"/>
          <w:sz w:val="24"/>
        </w:rPr>
        <w:t xml:space="preserve">co</w:t>
      </w:r>
      <w:r>
        <w:rPr>
          <w:rFonts w:ascii="Times New Roman" w:hAnsi="Times New Roman"/>
          <w:color w:val="000000"/>
          <w:sz w:val="24"/>
        </w:rPr>
        <w:t xml:space="preserve">n</w:t>
      </w:r>
      <w:r>
        <w:rPr>
          <w:rFonts w:ascii="Times New Roman" w:hAnsi="Times New Roman"/>
          <w:color w:val="000000"/>
          <w:sz w:val="24"/>
        </w:rPr>
        <w:t xml:space="preserve">j</w:t>
      </w:r>
      <w:r>
        <w:rPr>
          <w:rFonts w:ascii="Times New Roman" w:hAnsi="Times New Roman"/>
          <w:color w:val="000000"/>
          <w:sz w:val="24"/>
        </w:rPr>
        <w:t xml:space="preserve">u</w:t>
      </w:r>
      <w:r>
        <w:rPr>
          <w:rFonts w:ascii="Times New Roman" w:hAnsi="Times New Roman"/>
          <w:color w:val="000000"/>
          <w:sz w:val="24"/>
        </w:rPr>
        <w:t xml:space="preserve">nto</w:t>
      </w:r>
      <w:r>
        <w:rPr>
          <w:rFonts w:ascii="Times New Roman" w:hAnsi="Times New Roman"/>
          <w:color w:val="000000"/>
          <w:sz w:val="24"/>
        </w:rPr>
        <w:t xml:space="preserve">s</w:t>
      </w:r>
      <w:r>
        <w:rPr>
          <w:rFonts w:ascii="Times New Roman" w:hAnsi="Times New Roman"/>
          <w:color w:val="000000"/>
          <w:sz w:val="24"/>
        </w:rPr>
        <w:t xml:space="preserve"> y rastrear las cifras hasta los archivos de validación. La Figura 1 resume el flujo evaluado.</w:t>
      </w:r>
      <w:r/>
    </w:p>
    <w:p>
      <w:pPr>
        <w:keepNext w:val="true"/>
        <w:widowControl w:val="true"/>
        <w:pBdr/>
        <w:spacing w:after="80" w:before="120" w:line="480" w:lineRule="auto"/>
        <w:ind/>
        <w:rPr/>
      </w:pPr>
      <w:r>
        <w:rPr>
          <w:rFonts w:ascii="Times New Roman" w:hAnsi="Times New Roman"/>
          <w:b/>
          <w:color w:val="000000"/>
          <w:sz w:val="24"/>
        </w:rPr>
        <w:t xml:space="preserve">Figura 1</w:t>
      </w:r>
      <w:r>
        <w:rPr>
          <w:rFonts w:ascii="Times New Roman" w:hAnsi="Times New Roman"/>
          <w:i/>
          <w:color w:val="000000"/>
          <w:sz w:val="24"/>
        </w:rPr>
        <w:br/>
        <w:t xml:space="preserve">Flujo de datos y validación del prototipo TA-01</w:t>
      </w:r>
      <w:r>
        <w:rPr>
          <w:rFonts w:ascii="Times New Roman" w:hAnsi="Times New Roman"/>
          <w:color w:val="000000"/>
          <w:sz w:val="24"/>
        </w:rPr>
      </w:r>
      <w:r/>
    </w:p>
    <w:p>
      <w:pPr>
        <w:keepNext w:val="true"/>
        <w:widowControl w:val="true"/>
        <w:pBdr/>
        <w:spacing w:after="80" w:line="480" w:lineRule="auto"/>
        <w:ind/>
        <w:rPr/>
      </w:pPr>
      <w:r>
        <w:rPr>
          <w:rFonts w:ascii="Times New Roman" w:hAnsi="Times New Roman"/>
          <w:color w:val="000000"/>
          <w:sz w:val="24"/>
        </w:rPr>
        <w:t xml:space="preserve">Figure 1. Data flow and validation of the semisynthetic TA-01 prototype.</w:t>
      </w:r>
      <w:r/>
    </w:p>
    <w:p>
      <w:pPr>
        <w:keepNext w:val="true"/>
        <w:widowControl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749881"/>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png"/>
                        <pic:cNvPicPr>
                          <a:picLocks noChangeAspect="1"/>
                        </pic:cNvPicPr>
                        <pic:nvPr/>
                      </pic:nvPicPr>
                      <pic:blipFill rotWithShape="1">
                        <a:blip r:embed="rId9"/>
                        <a:stretch/>
                      </pic:blipFill>
                      <pic:spPr bwMode="auto">
                        <a:xfrm>
                          <a:off x="0" y="0"/>
                          <a:ext cx="5623560" cy="2749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2.80pt;height:216.53pt;mso-wrap-distance-left:0.00pt;mso-wrap-distance-top:0.00pt;mso-wrap-distance-right:0.00pt;mso-wrap-distance-bottom:0.00pt;z-index:1;" stroked="false">
                <v:imagedata r:id="rId9" o:title=""/>
                <o:lock v:ext="edit" rotation="t"/>
              </v:shape>
            </w:pict>
          </mc:Fallback>
        </mc:AlternateContent>
      </w:r>
      <w:r/>
    </w:p>
    <w:p>
      <w:pPr>
        <w:widowControl w:val="true"/>
        <w:pBdr/>
        <w:spacing w:after="80" w:before="120" w:line="480" w:lineRule="auto"/>
        <w:ind/>
        <w:rPr/>
      </w:pPr>
      <w:r>
        <w:rPr>
          <w:rFonts w:ascii="Times New Roman" w:hAnsi="Times New Roman"/>
          <w:color w:val="000000"/>
          <w:sz w:val="24"/>
        </w:rPr>
        <w:t xml:space="preserve">Nota. LHS: muestreo </w:t>
      </w:r>
      <w:r>
        <w:rPr>
          <w:rFonts w:ascii="Times New Roman" w:hAnsi="Times New Roman"/>
          <w:color w:val="000000"/>
          <w:sz w:val="24"/>
        </w:rPr>
        <w:t xml:space="preserve">por h</w:t>
      </w:r>
      <w:r>
        <w:rPr>
          <w:rFonts w:ascii="Times New Roman" w:hAnsi="Times New Roman"/>
          <w:color w:val="000000"/>
          <w:sz w:val="24"/>
        </w:rPr>
        <w:t xml:space="preserve">i</w:t>
      </w:r>
      <w:r>
        <w:rPr>
          <w:rFonts w:ascii="Times New Roman" w:hAnsi="Times New Roman"/>
          <w:color w:val="000000"/>
          <w:sz w:val="24"/>
        </w:rPr>
        <w:t xml:space="preserve">percub</w:t>
      </w:r>
      <w:r>
        <w:rPr>
          <w:rFonts w:ascii="Times New Roman" w:hAnsi="Times New Roman"/>
          <w:color w:val="000000"/>
          <w:sz w:val="24"/>
        </w:rPr>
        <w:t xml:space="preserve">o</w:t>
      </w:r>
      <w:r>
        <w:rPr>
          <w:rFonts w:ascii="Times New Roman" w:hAnsi="Times New Roman"/>
          <w:color w:val="000000"/>
          <w:sz w:val="24"/>
        </w:rPr>
        <w:t xml:space="preserve"> </w:t>
      </w:r>
      <w:r>
        <w:rPr>
          <w:rFonts w:ascii="Times New Roman" w:hAnsi="Times New Roman"/>
          <w:color w:val="000000"/>
          <w:sz w:val="24"/>
        </w:rPr>
        <w:t xml:space="preserve">l</w:t>
      </w:r>
      <w:r>
        <w:rPr>
          <w:rFonts w:ascii="Times New Roman" w:hAnsi="Times New Roman"/>
          <w:color w:val="000000"/>
          <w:sz w:val="24"/>
        </w:rPr>
        <w:t xml:space="preserve">a</w:t>
      </w:r>
      <w:r>
        <w:rPr>
          <w:rFonts w:ascii="Times New Roman" w:hAnsi="Times New Roman"/>
          <w:color w:val="000000"/>
          <w:sz w:val="24"/>
        </w:rPr>
        <w:t xml:space="preserve">tino;</w:t>
      </w:r>
      <w:r>
        <w:rPr>
          <w:rFonts w:ascii="Times New Roman" w:hAnsi="Times New Roman"/>
          <w:color w:val="000000"/>
          <w:sz w:val="24"/>
        </w:rPr>
        <w:t xml:space="preserve"> </w:t>
      </w:r>
      <w:r>
        <w:rPr>
          <w:rFonts w:ascii="Times New Roman" w:hAnsi="Times New Roman"/>
          <w:color w:val="000000"/>
          <w:sz w:val="24"/>
        </w:rPr>
        <w:t xml:space="preserve">FEM:</w:t>
      </w:r>
      <w:r>
        <w:rPr>
          <w:rFonts w:ascii="Times New Roman" w:hAnsi="Times New Roman"/>
          <w:color w:val="000000"/>
          <w:sz w:val="24"/>
        </w:rPr>
        <w:t xml:space="preserve"> el</w:t>
      </w:r>
      <w:r>
        <w:rPr>
          <w:rFonts w:ascii="Times New Roman" w:hAnsi="Times New Roman"/>
          <w:color w:val="000000"/>
          <w:sz w:val="24"/>
        </w:rPr>
        <w:t xml:space="preserve">ementos</w:t>
      </w:r>
      <w:r>
        <w:rPr>
          <w:rFonts w:ascii="Times New Roman" w:hAnsi="Times New Roman"/>
          <w:color w:val="000000"/>
          <w:sz w:val="24"/>
        </w:rPr>
        <w:t xml:space="preserve"> </w:t>
      </w:r>
      <w:r>
        <w:rPr>
          <w:rFonts w:ascii="Times New Roman" w:hAnsi="Times New Roman"/>
          <w:color w:val="000000"/>
          <w:sz w:val="24"/>
        </w:rPr>
        <w:t xml:space="preserve">f</w:t>
      </w:r>
      <w:r>
        <w:rPr>
          <w:rFonts w:ascii="Times New Roman" w:hAnsi="Times New Roman"/>
          <w:color w:val="000000"/>
          <w:sz w:val="24"/>
        </w:rPr>
        <w:t xml:space="preserve">in</w:t>
      </w:r>
      <w:r>
        <w:rPr>
          <w:rFonts w:ascii="Times New Roman" w:hAnsi="Times New Roman"/>
          <w:color w:val="000000"/>
          <w:sz w:val="24"/>
        </w:rPr>
        <w:t xml:space="preserve">itos; LSTM: memoria a </w:t>
      </w:r>
      <w:r>
        <w:rPr>
          <w:rFonts w:ascii="Times New Roman" w:hAnsi="Times New Roman"/>
          <w:color w:val="000000"/>
          <w:sz w:val="24"/>
        </w:rPr>
        <w:t xml:space="preserve">c</w:t>
      </w:r>
      <w:r>
        <w:rPr>
          <w:rFonts w:ascii="Times New Roman" w:hAnsi="Times New Roman"/>
          <w:color w:val="000000"/>
          <w:sz w:val="24"/>
        </w:rPr>
        <w:t xml:space="preserve">o</w:t>
      </w:r>
      <w:r>
        <w:rPr>
          <w:rFonts w:ascii="Times New Roman" w:hAnsi="Times New Roman"/>
          <w:color w:val="000000"/>
          <w:sz w:val="24"/>
        </w:rPr>
        <w:t xml:space="preserve">r</w:t>
      </w:r>
      <w:r>
        <w:rPr>
          <w:rFonts w:ascii="Times New Roman" w:hAnsi="Times New Roman"/>
          <w:color w:val="000000"/>
          <w:sz w:val="24"/>
        </w:rPr>
        <w:t xml:space="preserve">to y largo plazo. Esqu</w:t>
      </w:r>
      <w:r>
        <w:rPr>
          <w:rFonts w:ascii="Times New Roman" w:hAnsi="Times New Roman"/>
          <w:color w:val="000000"/>
          <w:sz w:val="24"/>
        </w:rPr>
        <w:t xml:space="preserve">e</w:t>
      </w:r>
      <w:r>
        <w:rPr>
          <w:rFonts w:ascii="Times New Roman" w:hAnsi="Times New Roman"/>
          <w:color w:val="000000"/>
          <w:sz w:val="24"/>
        </w:rPr>
        <w:t xml:space="preserve">ma del experi</w:t>
      </w:r>
      <w:r>
        <w:rPr>
          <w:rFonts w:ascii="Times New Roman" w:hAnsi="Times New Roman"/>
          <w:color w:val="000000"/>
          <w:sz w:val="24"/>
        </w:rPr>
        <w:t xml:space="preserve">mento s</w:t>
      </w:r>
      <w:r>
        <w:rPr>
          <w:rFonts w:ascii="Times New Roman" w:hAnsi="Times New Roman"/>
          <w:color w:val="000000"/>
          <w:sz w:val="24"/>
        </w:rPr>
        <w:t xml:space="preserve">e</w:t>
      </w:r>
      <w:r>
        <w:rPr>
          <w:rFonts w:ascii="Times New Roman" w:hAnsi="Times New Roman"/>
          <w:color w:val="000000"/>
          <w:sz w:val="24"/>
        </w:rPr>
        <w:t xml:space="preserve">mi</w:t>
      </w:r>
      <w:r>
        <w:rPr>
          <w:rFonts w:ascii="Times New Roman" w:hAnsi="Times New Roman"/>
          <w:color w:val="000000"/>
          <w:sz w:val="24"/>
        </w:rPr>
        <w:t xml:space="preserve">si</w:t>
      </w:r>
      <w:r>
        <w:rPr>
          <w:rFonts w:ascii="Times New Roman" w:hAnsi="Times New Roman"/>
          <w:color w:val="000000"/>
          <w:sz w:val="24"/>
        </w:rPr>
        <w:t xml:space="preserve">nt</w:t>
      </w:r>
      <w:r>
        <w:rPr>
          <w:rFonts w:ascii="Times New Roman" w:hAnsi="Times New Roman"/>
          <w:color w:val="000000"/>
          <w:sz w:val="24"/>
        </w:rPr>
        <w:t xml:space="preserve">étic</w:t>
      </w:r>
      <w:r>
        <w:rPr>
          <w:rFonts w:ascii="Times New Roman" w:hAnsi="Times New Roman"/>
          <w:color w:val="000000"/>
          <w:sz w:val="24"/>
        </w:rPr>
        <w:t xml:space="preserve">o, no </w:t>
      </w:r>
      <w:r>
        <w:rPr>
          <w:rFonts w:ascii="Times New Roman" w:hAnsi="Times New Roman"/>
          <w:color w:val="000000"/>
          <w:sz w:val="24"/>
        </w:rPr>
        <w:t xml:space="preserve">de </w:t>
      </w:r>
      <w:r>
        <w:rPr>
          <w:rFonts w:ascii="Times New Roman" w:hAnsi="Times New Roman"/>
          <w:color w:val="000000"/>
          <w:sz w:val="24"/>
        </w:rPr>
        <w:t xml:space="preserve">un</w:t>
      </w:r>
      <w:r>
        <w:rPr>
          <w:rFonts w:ascii="Times New Roman" w:hAnsi="Times New Roman"/>
          <w:color w:val="000000"/>
          <w:sz w:val="24"/>
        </w:rPr>
        <w:t xml:space="preserve"> sistem</w:t>
      </w:r>
      <w:r>
        <w:rPr>
          <w:rFonts w:ascii="Times New Roman" w:hAnsi="Times New Roman"/>
          <w:color w:val="000000"/>
          <w:sz w:val="24"/>
        </w:rPr>
        <w:t xml:space="preserve">a</w:t>
      </w:r>
      <w:r>
        <w:rPr>
          <w:rFonts w:ascii="Times New Roman" w:hAnsi="Times New Roman"/>
          <w:color w:val="000000"/>
          <w:sz w:val="24"/>
        </w:rPr>
        <w:t xml:space="preserve"> de</w:t>
      </w:r>
      <w:r>
        <w:rPr>
          <w:rFonts w:ascii="Times New Roman" w:hAnsi="Times New Roman"/>
          <w:color w:val="000000"/>
          <w:sz w:val="24"/>
        </w:rPr>
        <w:t xml:space="preserve"> alerta de campo.</w:t>
      </w:r>
      <w:r/>
    </w:p>
    <w:p w14:paraId="00000016">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2.2. Diseño del caso y procedencia de datos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7">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TA-01 es un talud experimental definido en el proyecto, no una mina instrumentada. Su sección tiene 100 m de altura, 160 m de ancho, cinco bancos y tres zonas de material: suelo, material meteorizado y roca. Las propiedades mecánicas e hidrául</w:t>
      </w:r>
      <w:r>
        <w:rPr>
          <w:rFonts w:ascii="Times New Roman" w:hAnsi="Times New Roman" w:eastAsia="Times New Roman" w:cs="Times New Roman"/>
          <w:color w:val="000000"/>
          <w:sz w:val="24"/>
          <w:szCs w:val="24"/>
          <w:rtl w:val="0"/>
        </w:rPr>
        <w:t xml:space="preserve">icas se muestrearon dentro de rangos supuestos mediante Latin Hypercube. El conjunto reunió 500 escenarios de 24 estados horarios cada uno (12 000 registros), con semilla 20260915. Cada escenario conserva una geometría común y una fecha de lluvia asignada.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8">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Gungsuh" w:cs="Gungsuh"/>
          <w:color w:val="000000"/>
          <w:sz w:val="24"/>
          <w:szCs w:val="24"/>
          <w:rtl w:val="0"/>
        </w:rPr>
        <w:t xml:space="preserve">La precip</w:t>
      </w:r>
      <w:r>
        <w:rPr>
          <w:rFonts w:ascii="Times New Roman" w:hAnsi="Times New Roman" w:eastAsia="Gungsuh" w:cs="Gungsuh"/>
          <w:color w:val="000000"/>
          <w:sz w:val="24"/>
          <w:szCs w:val="24"/>
          <w:rtl w:val="0"/>
        </w:rPr>
        <w:t xml:space="preserve">itación diaria de reanálisis corresponde a NASA POWER/MERRA-2 para el punto −10.68°, −76.26° durante 2020–2025 (National Aeronautics and Space Administration [NASA], s. f.). El archivo usado no contiene valores horarios; el generador distribuyó cada total </w:t>
      </w:r>
      <w:r>
        <w:rPr>
          <w:rFonts w:ascii="Times New Roman" w:hAnsi="Times New Roman" w:eastAsia="Gungsuh" w:cs="Gungsuh"/>
          <w:color w:val="000000"/>
          <w:sz w:val="24"/>
          <w:szCs w:val="24"/>
          <w:rtl w:val="0"/>
        </w:rPr>
        <w:t xml:space="preserve">diario en perfiles rectangulares estimados de 6, 12 o 24 h. Las presiones de poros, los desplazamientos y los índices de seguridad fueron simulados; no proceden de sensores. Esta distinción se mantuvo en el almacenamiento y la interpretación de resultados.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9">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2.3. Modelo mecánico y objetivo predictivo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A">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FEM propio usa elementos triangulares de deformación constante en deformación plana, elasticidad lineal isotrópica, peso propio y una carga de presión de poros formulada mediante el coeficiente de Bi</w:t>
      </w:r>
      <w:r>
        <w:rPr>
          <w:rFonts w:ascii="Times New Roman" w:hAnsi="Times New Roman"/>
          <w:color w:val="000000"/>
          <w:sz w:val="24"/>
        </w:rPr>
        <w:t xml:space="preserve">ot. Se impuso base fija y restricción horizontal en el borde izquierdo. Cada hora se resolvió un estado cuasiestático. La respuesta hidrológica es una aproximación de infiltración y drenaje; no se resolvió un campo transitorio de flujo mediante el FEM. El </w:t>
      </w:r>
      <w:r>
        <w:rPr>
          <w:rFonts w:ascii="Times New Roman" w:hAnsi="Times New Roman"/>
          <w:color w:val="000000"/>
          <w:sz w:val="24"/>
        </w:rPr>
        <w:t xml:space="preserve">val</w:t>
      </w:r>
      <w:r>
        <w:rPr>
          <w:rFonts w:ascii="Times New Roman" w:hAnsi="Times New Roman"/>
          <w:color w:val="000000"/>
          <w:sz w:val="24"/>
        </w:rPr>
        <w:t xml:space="preserve">o</w:t>
      </w:r>
      <w:r>
        <w:rPr>
          <w:rFonts w:ascii="Times New Roman" w:hAnsi="Times New Roman"/>
          <w:color w:val="000000"/>
          <w:sz w:val="24"/>
        </w:rPr>
        <w:t xml:space="preserve">r </w:t>
      </w:r>
      <w:r>
        <w:rPr>
          <w:rFonts w:ascii="Times New Roman" w:hAnsi="Times New Roman"/>
          <w:color w:val="000000"/>
          <w:sz w:val="24"/>
        </w:rPr>
        <w:t xml:space="preserve">e</w:t>
      </w:r>
      <w:r>
        <w:rPr>
          <w:rFonts w:ascii="Times New Roman" w:hAnsi="Times New Roman"/>
          <w:color w:val="000000"/>
          <w:sz w:val="24"/>
        </w:rPr>
        <w:t xml:space="preserve">v</w:t>
      </w:r>
      <w:r>
        <w:rPr>
          <w:rFonts w:ascii="Times New Roman" w:hAnsi="Times New Roman"/>
          <w:color w:val="000000"/>
          <w:sz w:val="24"/>
        </w:rPr>
        <w:t xml:space="preserve">alua</w:t>
      </w:r>
      <w:r>
        <w:rPr>
          <w:rFonts w:ascii="Times New Roman" w:hAnsi="Times New Roman"/>
          <w:color w:val="000000"/>
          <w:sz w:val="24"/>
        </w:rPr>
        <w:t xml:space="preserve">d</w:t>
      </w:r>
      <w:r>
        <w:rPr>
          <w:rFonts w:ascii="Times New Roman" w:hAnsi="Times New Roman"/>
          <w:color w:val="000000"/>
          <w:sz w:val="24"/>
        </w:rPr>
        <w:t xml:space="preserve">o fue </w:t>
      </w:r>
      <w:r>
        <w:rPr>
          <w:rFonts w:ascii="Times New Roman" w:hAnsi="Times New Roman"/>
          <w:color w:val="000000"/>
          <w:sz w:val="24"/>
        </w:rPr>
        <w:t xml:space="preserve">el desplazamiento máximo inducido por lluvia</w:t>
      </w:r>
      <w:r>
        <w:rPr>
          <w:rFonts w:ascii="Times New Roman" w:hAnsi="Times New Roman"/>
          <w:color w:val="000000"/>
          <w:sz w:val="24"/>
        </w:rPr>
        <w:t xml:space="preserve"> respecto del estado inicial sin lluvia</w:t>
      </w:r>
      <w:r>
        <w:rPr>
          <w:rFonts w:ascii="Times New Roman" w:hAnsi="Times New Roman"/>
          <w:color w:val="000000"/>
          <w:sz w:val="24"/>
        </w:rPr>
        <w:t xml:space="preserve">, expresado en milímetros</w:t>
      </w:r>
      <w:r>
        <w:rPr>
          <w:rFonts w:ascii="Times New Roman" w:hAnsi="Times New Roman"/>
          <w:color w:val="000000"/>
          <w:sz w:val="24"/>
        </w:rPr>
        <w:t xml:space="preserve"> y almacenado como rainfall_induced_max_displacement_mm. La red aprende su cambio entre la hora de origen y la hora objetivo; el pronóstico reconstruye el valor en la hora objetivo</w:t>
      </w:r>
      <w:r>
        <w:rPr>
          <w:rFonts w:ascii="Times New Roman" w:hAnsi="Times New Roman"/>
          <w:color w:val="000000"/>
          <w:sz w:val="24"/>
        </w:rPr>
        <w:t xml:space="preserve">. No debe confundirse est</w:t>
      </w:r>
      <w:r>
        <w:rPr>
          <w:rFonts w:ascii="Times New Roman" w:hAnsi="Times New Roman"/>
          <w:color w:val="000000"/>
          <w:sz w:val="24"/>
        </w:rPr>
        <w:t xml:space="preserve">a</w:t>
      </w:r>
      <w:r>
        <w:rPr>
          <w:rFonts w:ascii="Times New Roman" w:hAnsi="Times New Roman"/>
          <w:color w:val="000000"/>
          <w:sz w:val="24"/>
        </w:rPr>
        <w:t xml:space="preserve"> magnitud</w:t>
      </w:r>
      <w:r>
        <w:rPr>
          <w:rFonts w:ascii="Times New Roman" w:hAnsi="Times New Roman"/>
          <w:color w:val="000000"/>
          <w:sz w:val="24"/>
        </w:rPr>
        <w:t xml:space="preserve"> con el desplazamiento total de un talud real.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B">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visor calcula además un índice local basado en tensiones efectivas y el criterio de Mohr–Coulomb. Ese í</w:t>
      </w:r>
      <w:r>
        <w:rPr>
          <w:rFonts w:ascii="Times New Roman" w:hAnsi="Times New Roman" w:eastAsia="Times New Roman" w:cs="Times New Roman"/>
          <w:color w:val="000000"/>
          <w:sz w:val="24"/>
          <w:szCs w:val="24"/>
          <w:rtl w:val="0"/>
        </w:rPr>
        <w:t xml:space="preserve">ndice no es un factor de seguridad obtenido mediante reducción no lineal de resistencia. Un ensayo externo de reducción de resistencia se conservó como referencia separada, sin usarlo para etiquetar los datos de entrenamiento ni para validar el FEM propio.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91"/>
        <w:keepNext w:val="true"/>
        <w:widowControl w:val="true"/>
        <w:pBdr/>
        <w:spacing w:after="80" w:line="480" w:lineRule="auto"/>
        <w:ind/>
        <w:rPr/>
      </w:pPr>
      <w:r>
        <w:t xml:space="preserve">2.4. Formulación matemática del acoplamiento</w:t>
      </w:r>
      <w:r/>
    </w:p>
    <w:p>
      <w:pPr>
        <w:widowControl w:val="true"/>
        <w:pBdr/>
        <w:spacing w:after="80" w:line="480" w:lineRule="auto"/>
        <w:ind w:firstLine="283"/>
        <w:jc w:val="both"/>
        <w:rPr/>
      </w:pPr>
      <w:r>
        <w:rPr>
          <w:rFonts w:ascii="Times New Roman" w:hAnsi="Times New Roman"/>
          <w:color w:val="000000"/>
          <w:sz w:val="24"/>
        </w:rPr>
        <w:t xml:space="preserve">Para cada hora t, el estado mecánico cuasiestático se representa mediante el sistema discreto siguiente, donde θ agrupa geometría y propiedades, uₜ es el vector de desplazamientos, f_g es la carga gravitatoria y f_p incorpora el efecto de presión de poros.</w:t>
      </w:r>
      <w:r>
        <w:rPr>
          <w:rFonts w:ascii="Times New Roman" w:hAnsi="Times New Roman"/>
          <w:color w:val="000000"/>
          <w:sz w:val="24"/>
        </w:rPr>
        <w:t xml:space="preserve"> K es la matriz global de rigidez y pₜ representa la presión de poros.</w:t>
      </w:r>
      <w:r/>
    </w:p>
    <w:p>
      <w:pPr>
        <w:keepNext w:val="true"/>
        <w:widowControl w:val="true"/>
        <w:pBdr/>
        <w:tabs>
          <w:tab w:val="center" w:leader="none" w:pos="4248"/>
          <w:tab w:val="right" w:leader="none" w:pos="8856"/>
        </w:tabs>
        <w:spacing w:after="80" w:before="60" w:line="480" w:lineRule="auto"/>
        <w:ind w:right="0" w:firstLine="283" w:left="0"/>
        <w:jc w:val="left"/>
        <w:rPr/>
      </w:pPr>
      <w:r>
        <w:rPr>
          <w:rFonts w:ascii="Times New Roman" w:hAnsi="Times New Roman"/>
          <w:color w:val="000000"/>
          <w:sz w:val="24"/>
        </w:rPr>
        <w:tab/>
      </w:r>
      <w:r>
        <w:rPr>
          <w:rFonts w:ascii="Times New Roman" w:hAnsi="Times New Roman"/>
          <w:color w:val="000000"/>
          <w:sz w:val="24"/>
        </w:rPr>
        <mc:AlternateContent>
          <mc:Choice Requires="wpg">
            <w:drawing>
              <wp:inline xmlns:wp="http://schemas.openxmlformats.org/drawingml/2006/wordprocessingDrawing" distT="0" distB="0" distL="0" distR="0">
                <wp:extent cx="3931920" cy="49149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
                        <a:stretch/>
                      </pic:blipFill>
                      <pic:spPr bwMode="auto">
                        <a:xfrm>
                          <a:off x="0" y="0"/>
                          <a:ext cx="3931920" cy="491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9.60pt;height:38.7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olor w:val="000000"/>
          <w:sz w:val="24"/>
        </w:rPr>
        <w:tab/>
        <w:t xml:space="preserve">(1)</w:t>
      </w:r>
      <w:r/>
    </w:p>
    <w:p>
      <w:pPr>
        <w:widowControl w:val="true"/>
        <w:pBdr/>
        <w:spacing w:after="80" w:line="480" w:lineRule="auto"/>
        <w:ind w:firstLine="283"/>
        <w:jc w:val="both"/>
        <w:rPr/>
      </w:pPr>
      <w:r>
        <w:t xml:space="preserve">La LSTM recibe seis estados horarios y la lluvia futura conocida del experimento. El híbrido añade una co</w:t>
      </w:r>
      <w:r>
        <w:t xml:space="preserve">rrección residual a la salida estandarizada de esa LSTM. En las ecuaciones (2) y (3), yₜ es el desplazamiento acumulado actual; h es el horizonte; qψ(Xₜ,ₕ) es el cambio estandarizado predicho por la LSTM; cφ(Zₜ,ₕ) es la corrección estandarizada; y μΔ y σΔ </w:t>
      </w:r>
      <w:r>
        <w:t xml:space="preserve">son la media y desviación del cambio objetivo, estimadas solo con el entrenamiento. X y Z reúnen las entradas temporales y del corrector, incluida la lluvia futura del experimento. El operador máximo impide que el pronóstico final disminuya respecto de yₜ.</w:t>
      </w:r>
      <w:r/>
    </w:p>
    <w:p>
      <w:pPr>
        <w:keepNext w:val="true"/>
        <w:widowControl w:val="true"/>
        <w:pBdr/>
        <w:tabs>
          <w:tab w:val="center" w:leader="none" w:pos="4248"/>
          <w:tab w:val="right" w:leader="none" w:pos="8856"/>
          <w:tab w:val="right" w:leader="none" w:pos="9071"/>
        </w:tabs>
        <w:spacing w:after="80" w:before="60" w:line="480" w:lineRule="auto"/>
        <w:ind w:right="0" w:firstLine="283" w:left="0"/>
        <w:jc w:val="left"/>
        <w:rPr/>
      </w:pPr>
      <w:r>
        <w:rPr>
          <w:rFonts w:ascii="Cambria Math" w:hAnsi="Cambria Math"/>
          <w:sz w:val="22"/>
        </w:rPr>
        <w:t xml:space="preserve">ŷLSTM(t+h) = max{yₜ, yₜ + μΔ + σΔ qψ(Xₜ,ₕ)}</w:t>
        <w:tab/>
        <w:t xml:space="preserve">(2)</w:t>
      </w:r>
      <w:r/>
    </w:p>
    <w:p>
      <w:pPr>
        <w:keepNext w:val="true"/>
        <w:widowControl w:val="true"/>
        <w:pBdr/>
        <w:tabs>
          <w:tab w:val="center" w:leader="none" w:pos="4248"/>
          <w:tab w:val="right" w:leader="none" w:pos="8856"/>
          <w:tab w:val="right" w:leader="none" w:pos="9071"/>
        </w:tabs>
        <w:spacing w:after="80" w:before="60" w:line="480" w:lineRule="auto"/>
        <w:ind w:right="0" w:firstLine="283" w:left="0"/>
        <w:jc w:val="left"/>
        <w:rPr/>
      </w:pPr>
      <w:r>
        <w:rPr>
          <w:rFonts w:ascii="Cambria Math" w:hAnsi="Cambria Math"/>
          <w:sz w:val="22"/>
        </w:rPr>
        <w:t xml:space="preserve">ŷH(t+h) = max{yₜ, yₜ + μΔ + σΔ [qψ(Xₜ,ₕ) + cφ(Zₜ,ₕ)]}</w:t>
        <w:tab/>
        <w:t xml:space="preserve">(3)</w:t>
      </w:r>
      <w:r/>
    </w:p>
    <w:p>
      <w:pPr>
        <w:keepNext w:val="true"/>
        <w:widowControl w:val="true"/>
        <w:pBdr/>
        <w:tabs>
          <w:tab w:val="center" w:leader="none" w:pos="4248"/>
          <w:tab w:val="right" w:leader="none" w:pos="8856"/>
        </w:tabs>
        <w:spacing w:after="80" w:before="60" w:line="480" w:lineRule="auto"/>
        <w:ind w:right="0" w:firstLine="283" w:left="0"/>
        <w:jc w:val="left"/>
        <w:rPr/>
      </w:pPr>
      <w:r>
        <w:rPr>
          <w:rFonts w:ascii="Times New Roman" w:hAnsi="Times New Roman"/>
          <w:color w:val="000000"/>
          <w:sz w:val="24"/>
        </w:rPr>
        <w:tab/>
      </w:r>
      <w:r>
        <w:rPr>
          <w:rFonts w:ascii="Times New Roman" w:hAnsi="Times New Roman"/>
          <w:color w:val="000000"/>
          <w:sz w:val="24"/>
        </w:rPr>
        <mc:AlternateContent>
          <mc:Choice Requires="wpg">
            <w:drawing>
              <wp:inline xmlns:wp="http://schemas.openxmlformats.org/drawingml/2006/wordprocessingDrawing" distT="0" distB="0" distL="0" distR="0">
                <wp:extent cx="3931920" cy="514174"/>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
                        <a:stretch/>
                      </pic:blipFill>
                      <pic:spPr bwMode="auto">
                        <a:xfrm>
                          <a:off x="0" y="0"/>
                          <a:ext cx="3931920" cy="514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9.60pt;height:40.4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olor w:val="000000"/>
          <w:sz w:val="24"/>
        </w:rPr>
        <w:tab/>
        <w:t xml:space="preserve">(4)</w:t>
      </w:r>
      <w:r/>
    </w:p>
    <w:p>
      <w:pPr>
        <w:widowControl w:val="true"/>
        <w:pBdr/>
        <w:spacing w:after="80" w:line="480" w:lineRule="auto"/>
        <w:ind w:firstLine="283"/>
        <w:jc w:val="both"/>
        <w:rPr/>
      </w:pPr>
      <w:r>
        <w:rPr>
          <w:rFonts w:ascii="Times New Roman" w:hAnsi="Times New Roman"/>
          <w:color w:val="000000"/>
          <w:sz w:val="24"/>
        </w:rPr>
        <w:t xml:space="preserve">Estas expresiones precisan el acoplamiento evaluado. La corrección es guiada por física agregada, pero no resuelve las ecuaciones de campo ni satisface por construcción las condiciones de contorno; por ello se evita denominarla PINN.</w:t>
      </w:r>
      <w:r>
        <w:rPr>
          <w:rFonts w:ascii="Times New Roman" w:hAnsi="Times New Roman"/>
          <w:color w:val="000000"/>
          <w:sz w:val="24"/>
        </w:rPr>
      </w:r>
      <w:r/>
    </w:p>
    <w:p w14:paraId="0000001C">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2.5. Modelos temporales y corrector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D">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Se compararon cuatro alternativas sobre las mismas ventanas: persistencia del valor actual, regresión rid</w:t>
      </w:r>
      <w:r>
        <w:rPr>
          <w:rFonts w:ascii="Times New Roman" w:hAnsi="Times New Roman"/>
          <w:color w:val="000000"/>
          <w:sz w:val="24"/>
        </w:rPr>
        <w:t xml:space="preserve">ge autorregresiva, LSTM y un híbrido que añade a la LSTM una corrección residual. Cada entrada de la LSTM contiene seis horas de historia y produce un pronóstico a 1 o 6 h. La red se entrenó mediante retropropagación a través del tiempo y optimización Adam</w:t>
      </w:r>
      <w:r>
        <w:rPr>
          <w:rFonts w:ascii="Times New Roman" w:hAnsi="Times New Roman"/>
          <w:color w:val="000000"/>
          <w:sz w:val="24"/>
        </w:rPr>
        <w:t xml:space="preserve"> (Kingma &amp; Ba, 2015)</w:t>
      </w:r>
      <w:r>
        <w:rPr>
          <w:rFonts w:ascii="Times New Roman" w:hAnsi="Times New Roman"/>
          <w:color w:val="000000"/>
          <w:sz w:val="24"/>
        </w:rPr>
        <w:t xml:space="preserve">. La lluvia futura se trató como entrada exógena conocida en el experimento; esa condición sería distinta en una operación con pronósticos meteorológicos imperfectos.</w:t>
      </w:r>
      <w:r>
        <w:rPr>
          <w:rFonts w:ascii="Times New Roman" w:hAnsi="Times New Roman"/>
          <w:color w:val="000000"/>
          <w:sz w:val="24"/>
        </w:rPr>
        <w:t xml:space="preserve"> La arquitectura LSTM sigue</w:t>
      </w:r>
      <w:r>
        <w:rPr>
          <w:rFonts w:ascii="Times New Roman" w:hAnsi="Times New Roman"/>
          <w:color w:val="000000"/>
          <w:sz w:val="24"/>
        </w:rPr>
        <w:t xml:space="preserve"> el principio de memoria recurrente de Hochreiter y Schmidhuber (1997). Ridge, LSTM e híbrido restringen la salida final para que no sea menor que el valor actual. Esa restricción compartida también debe considerarse al interpretar el aporte del corrector.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1E">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corrector residual, implementado como un perceptrón multicapa, se entrenó sobre la salida de la LSTM. Sus restriccione</w:t>
      </w:r>
      <w:r>
        <w:rPr>
          <w:rFonts w:ascii="Times New Roman" w:hAnsi="Times New Roman"/>
          <w:color w:val="000000"/>
          <w:sz w:val="24"/>
        </w:rPr>
        <w:t xml:space="preserve">s fuerzan que, manteniendo las demás entradas constantes, un aumento de lluvia futura no reduzca su corrección y un índice de seguridad mayor no la aumente. Estas condiciones de monotonía representan conocimiento agregado del problema, pero no constituyen </w:t>
      </w:r>
      <w:r>
        <w:rPr>
          <w:rFonts w:ascii="Times New Roman" w:hAnsi="Times New Roman"/>
          <w:color w:val="000000"/>
          <w:sz w:val="24"/>
        </w:rPr>
        <w:t xml:space="preserve">una pérdida de equilibrio espacial o una solución PINN de las ecuaciones de campo. El proyecto también desarrolló una aproximación espacial PIELM/RBF en un evento semisintético; se evaluó por separado para no atribuir sus resultados al pronóstico temporal.</w:t>
      </w:r>
      <w:r>
        <w:rPr>
          <w:rFonts w:ascii="Times New Roman" w:hAnsi="Times New Roman"/>
          <w:color w:val="000000"/>
          <w:sz w:val="24"/>
        </w:rPr>
        <w:t xml:space="preserve"> La monotonía se refiere a las entradas directas del corrector manteni</w:t>
      </w:r>
      <w:r>
        <w:rPr>
          <w:rFonts w:ascii="Times New Roman" w:hAnsi="Times New Roman"/>
          <w:color w:val="000000"/>
          <w:sz w:val="24"/>
        </w:rPr>
        <w:t xml:space="preserve">endo fija la salida base de la LSTM; no prueba monotonía global del híbrido cuando cambian conjuntamente todas las variables. Esta distinción separa restricciones agregadas de las PINN de ecuaciones de campo (Raissi et al., 2019; Karniadakis et al., 2021).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firstLine="283"/>
        <w:rPr/>
      </w:pPr>
      <w:r>
        <w:rPr>
          <w:rFonts w:ascii="Times New Roman" w:hAnsi="Times New Roman"/>
          <w:color w:val="000000"/>
          <w:sz w:val="24"/>
        </w:rPr>
        <w:t xml:space="preserve">Los escaladores y la normalización del cambio objetivo se estimaron exclusivamente con entrenamiento. Ridge seleccionó su regularización en validación; las redes usaron detención temprana con los criterios registrados en sus artefactos. N</w:t>
      </w:r>
      <w:r>
        <w:rPr>
          <w:rFonts w:ascii="Times New Roman" w:hAnsi="Times New Roman"/>
          <w:color w:val="000000"/>
          <w:sz w:val="24"/>
        </w:rPr>
        <w:t xml:space="preserve">o se documentó una búsqueda sistemática comparable de arquitecturas ni repeticiones independientes por semilla. El corrector se ajustó sobre la LSTM ya entrenada y sus predicciones en entrenamiento, sin predicciones fuera de muestra para esa segunda etapa.</w:t>
      </w:r>
      <w:r/>
    </w:p>
    <w:p>
      <w:pPr>
        <w:pStyle w:val="891"/>
        <w:keepNext w:val="true"/>
        <w:widowControl w:val="true"/>
        <w:pBdr/>
        <w:spacing w:after="80" w:line="480" w:lineRule="auto"/>
        <w:ind/>
        <w:rPr/>
      </w:pPr>
      <w:r>
        <w:t xml:space="preserve">2.6. Configuración experimental reportada</w:t>
      </w:r>
      <w:r/>
    </w:p>
    <w:p>
      <w:pPr>
        <w:widowControl w:val="true"/>
        <w:pBdr/>
        <w:spacing w:after="80" w:line="480" w:lineRule="auto"/>
        <w:ind w:firstLine="283"/>
        <w:jc w:val="both"/>
        <w:rPr/>
      </w:pPr>
      <w:r>
        <w:rPr>
          <w:rFonts w:ascii="Times New Roman" w:hAnsi="Times New Roman"/>
          <w:color w:val="000000"/>
          <w:sz w:val="24"/>
        </w:rPr>
        <w:t xml:space="preserve">La Tabla </w:t>
      </w:r>
      <w:r>
        <w:rPr>
          <w:rFonts w:ascii="Times New Roman" w:hAnsi="Times New Roman"/>
          <w:color w:val="000000"/>
          <w:sz w:val="24"/>
        </w:rPr>
        <w:t xml:space="preserve">2</w:t>
      </w:r>
      <w:r>
        <w:rPr>
          <w:rFonts w:ascii="Times New Roman" w:hAnsi="Times New Roman"/>
          <w:color w:val="000000"/>
          <w:sz w:val="24"/>
        </w:rPr>
        <w:t xml:space="preserve"> reúne la configuración recuperada de los scripts y de los artefactos de modelos guardados en sslope. Los valores de épocas indicados son máximos solicitados; la detención temprana puede terminar antes el entrenamiento.</w:t>
      </w:r>
      <w:r/>
    </w:p>
    <w:p>
      <w:pPr>
        <w:keepNext w:val="true"/>
        <w:widowControl w:val="true"/>
        <w:pBdr/>
        <w:spacing w:after="80" w:before="120" w:line="480" w:lineRule="auto"/>
        <w:ind/>
        <w:rPr/>
      </w:pPr>
      <w:r>
        <w:rPr>
          <w:rFonts w:ascii="Times New Roman" w:hAnsi="Times New Roman"/>
          <w:color w:val="000000"/>
          <w:sz w:val="24"/>
        </w:rPr>
        <w:t xml:space="preserve">Tabla </w:t>
      </w:r>
      <w:r>
        <w:rPr>
          <w:rFonts w:ascii="Times New Roman" w:hAnsi="Times New Roman"/>
          <w:color w:val="000000"/>
          <w:sz w:val="24"/>
        </w:rPr>
        <w:t xml:space="preserve">2</w:t>
      </w:r>
      <w:r>
        <w:rPr>
          <w:rFonts w:ascii="Times New Roman" w:hAnsi="Times New Roman"/>
          <w:color w:val="000000"/>
          <w:sz w:val="24"/>
        </w:rPr>
        <w:br/>
        <w:t xml:space="preserve">Configuración documentada del experimento</w:t>
      </w:r>
      <w:r/>
    </w:p>
    <w:p>
      <w:pPr>
        <w:keepNext w:val="true"/>
        <w:widowControl w:val="true"/>
        <w:pBdr/>
        <w:spacing w:after="80" w:line="480" w:lineRule="auto"/>
        <w:ind/>
        <w:rPr/>
      </w:pPr>
      <w:r>
        <w:rPr>
          <w:rFonts w:ascii="Times New Roman" w:hAnsi="Times New Roman"/>
          <w:color w:val="000000"/>
          <w:sz w:val="24"/>
        </w:rPr>
        <w:t xml:space="preserve">Table 2. Documented experimental configuration.</w:t>
      </w:r>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752"/>
        <w:gridCol w:w="4381"/>
        <w:gridCol w:w="3154"/>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Componente</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Valor documentado</w:t>
            </w:r>
            <w:r>
              <w:rPr>
                <w:rFonts w:ascii="Times New Roman" w:hAnsi="Times New Roman"/>
                <w:b/>
                <w:color w:val="000000"/>
                <w:sz w:val="20"/>
              </w:rPr>
            </w: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center"/>
              <w:rPr/>
            </w:pPr>
            <w:r>
              <w:rPr>
                <w:rFonts w:ascii="Times New Roman" w:hAnsi="Times New Roman"/>
                <w:b/>
                <w:color w:val="000000"/>
                <w:sz w:val="20"/>
              </w:rPr>
            </w:r>
            <w:r>
              <w:rPr>
                <w:rFonts w:ascii="Times New Roman" w:hAnsi="Times New Roman"/>
                <w:b/>
                <w:color w:val="000000"/>
                <w:sz w:val="20"/>
              </w:rPr>
              <w:t xml:space="preserve">Trazabilidad</w:t>
            </w:r>
            <w:r>
              <w:rPr>
                <w:rFonts w:ascii="Times New Roman" w:hAnsi="Times New Roman"/>
                <w:b/>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Escenarios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500 escenarios de 24 estados horarios; semilla 20260915</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Sección Diseño del caso</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Malla FEM</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30 × 20; contraste interno 48 × 32</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Verificación interna del FEM</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Ventanas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6 h de historia; horizontes 1 y 6 h</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Optimización</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Adam</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Partición principal</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350 entrenamiento, 75 validación, 75 prueba por fecha</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Cortes temporales</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Pruebas 2024 y 2025 con reentrenamiento</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Incertidumbre</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rPr/>
            </w:pPr>
            <w:r>
              <w:rPr>
                <w:rFonts w:ascii="Times New Roman" w:hAnsi="Times New Roman"/>
                <w:color w:val="000000"/>
                <w:sz w:val="20"/>
              </w:rPr>
              <w:t xml:space="preserve">5000 remuestreos por conglomerados de fecha; IC 95 %</w:t>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Análisis estadístico</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Robustez</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Ruido 5 %; faltantes 30 % con imputación</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Análisis de robustez</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jc w:val="left"/>
              <w:rPr/>
            </w:pPr>
            <w:r>
              <w:rPr>
                <w:rFonts w:ascii="Times New Roman" w:hAnsi="Times New Roman"/>
                <w:color w:val="000000"/>
                <w:sz w:val="20"/>
              </w:rPr>
            </w:r>
            <w:r>
              <w:rPr>
                <w:rFonts w:ascii="Times New Roman" w:hAnsi="Times New Roman"/>
                <w:b w:val="0"/>
                <w:color w:val="000000"/>
                <w:sz w:val="20"/>
              </w:rPr>
              <w:t xml:space="preserve">Arquitectura exacta</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rPr/>
            </w:pPr>
            <w:r>
              <w:rPr>
                <w:rFonts w:ascii="Times New Roman" w:hAnsi="Times New Roman"/>
                <w:color w:val="000000"/>
                <w:sz w:val="20"/>
              </w:rPr>
              <w:t xml:space="preserve">LSTM: 15 entradas, 12 unidades ocultas; corrector MLP residual: 19 entradas, 16 unidades ocultas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rPr/>
            </w:pPr>
            <w:r>
              <w:rPr>
                <w:rFonts w:ascii="Times New Roman" w:hAnsi="Times New Roman"/>
                <w:color w:val="000000"/>
                <w:sz w:val="20"/>
              </w:rPr>
              <w:t xml:space="preserve">data/models/ta01-lstm-1h.json y ta01-physics-guided-1h.json</w:t>
            </w:r>
            <w:r>
              <w:rPr>
                <w:rFonts w:ascii="Times New Roman" w:hAnsi="Times New Roman"/>
                <w:color w:val="000000"/>
                <w:sz w:val="20"/>
              </w:rPr>
            </w:r>
            <w:r/>
          </w:p>
        </w:tc>
      </w:tr>
      <w:tr>
        <w:trPr>
          <w:cantSplit/>
        </w:trPr>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752" w:type="dxa"/>
            <w:vAlign w:val="center"/>
          </w:tcPr>
          <w:p>
            <w:pPr>
              <w:pBdr/>
              <w:spacing w:after="80" w:before="80" w:line="276" w:lineRule="auto"/>
              <w:ind w:firstLine="283"/>
              <w:rPr/>
            </w:pPr>
            <w:r>
              <w:rPr>
                <w:rFonts w:ascii="Times New Roman" w:hAnsi="Times New Roman"/>
                <w:color w:val="000000"/>
                <w:sz w:val="20"/>
              </w:rPr>
              <w:t xml:space="preserve">Entrenamiento</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4381" w:type="dxa"/>
            <w:vAlign w:val="center"/>
          </w:tcPr>
          <w:p>
            <w:pPr>
              <w:pBdr/>
              <w:spacing w:after="80" w:before="80" w:line="276" w:lineRule="auto"/>
              <w:ind w:firstLine="283"/>
              <w:rPr/>
            </w:pPr>
            <w:r>
              <w:rPr>
                <w:rFonts w:ascii="Times New Roman" w:hAnsi="Times New Roman"/>
                <w:color w:val="000000"/>
                <w:sz w:val="20"/>
              </w:rPr>
              <w:t xml:space="preserve">LSTM: Adam, MSE, máximo 320 épocas, lote 128, tasa 0.003, semilla 20260916; corrector: Adam, máximo 360 épocas, lote 128, tasa 0.0015, semilla 20260917</w:t>
            </w:r>
            <w:r>
              <w:rPr>
                <w:rFonts w:ascii="Times New Roman" w:hAnsi="Times New Roman"/>
                <w:color w:val="000000"/>
                <w:sz w:val="20"/>
              </w:rPr>
            </w:r>
            <w:r/>
          </w:p>
        </w:tc>
        <w:tc>
          <w:tcPr>
            <w:shd w:val="clear" w:color="auto" w:fill="eef4f7"/>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3154" w:type="dxa"/>
            <w:vAlign w:val="center"/>
          </w:tcPr>
          <w:p>
            <w:pPr>
              <w:pBdr/>
              <w:spacing w:after="80" w:before="80" w:line="276" w:lineRule="auto"/>
              <w:ind w:firstLine="283"/>
              <w:rPr/>
            </w:pPr>
            <w:r>
              <w:rPr>
                <w:rFonts w:ascii="Times New Roman" w:hAnsi="Times New Roman"/>
                <w:color w:val="000000"/>
                <w:sz w:val="20"/>
              </w:rPr>
              <w:t xml:space="preserve">Artefactos de modelos y scripts/train-lstm.py; scripts/train-physics-guided.py</w:t>
            </w:r>
            <w:r>
              <w:rPr>
                <w:rFonts w:ascii="Times New Roman" w:hAnsi="Times New Roman"/>
                <w:color w:val="000000"/>
                <w:sz w:val="20"/>
              </w:rPr>
            </w:r>
            <w:r/>
          </w:p>
        </w:tc>
      </w:tr>
      <w:tr>
        <w:trPr>
          <w:cantSplit/>
        </w:trPr>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Entorno</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W w:w="4381" w:type="dxa"/>
            <w:vAlign w:val="center"/>
          </w:tcPr>
          <w:p>
            <w:pPr>
              <w:pBdr/>
              <w:spacing w:after="80" w:before="80" w:line="276" w:lineRule="auto"/>
              <w:ind w:firstLine="283"/>
              <w:rPr/>
            </w:pPr>
            <w:r>
              <w:rPr>
                <w:rFonts w:ascii="Times New Roman" w:hAnsi="Times New Roman"/>
                <w:color w:val="000000"/>
                <w:sz w:val="20"/>
              </w:rPr>
              <w:t xml:space="preserve">Node.js ≥24; NumPy ≥2, &lt;3; versión Python y hardware no fijados</w:t>
            </w:r>
            <w:r>
              <w:rPr>
                <w:rFonts w:ascii="Times New Roman" w:hAnsi="Times New Roman"/>
                <w:color w:val="000000"/>
                <w:sz w:val="20"/>
              </w:rPr>
            </w:r>
            <w:r/>
          </w:p>
        </w:tc>
        <w:tc>
          <w:tcPr>
            <w:tcBorders>
              <w:top w:val="single" w:color="d9d9d9" w:sz="4" w:space="0"/>
              <w:left w:val="single" w:color="d9d9d9" w:sz="4" w:space="0"/>
              <w:bottom w:val="single" w:color="d9d9d9" w:sz="4" w:space="0"/>
              <w:right w:val="single" w:color="d9d9d9" w:sz="4" w:space="0"/>
            </w:tcBorders>
            <w:tcW w:w="3154" w:type="dxa"/>
            <w:vAlign w:val="center"/>
          </w:tcPr>
          <w:p>
            <w:pPr>
              <w:pBdr/>
              <w:spacing w:after="80" w:before="80" w:line="276" w:lineRule="auto"/>
              <w:ind w:firstLine="283"/>
              <w:rPr/>
            </w:pPr>
            <w:r>
              <w:rPr>
                <w:rFonts w:ascii="Times New Roman" w:hAnsi="Times New Roman"/>
                <w:color w:val="000000"/>
                <w:sz w:val="20"/>
              </w:rPr>
              <w:t xml:space="preserve">package.json; requirements-ml.txt</w:t>
            </w:r>
            <w:r>
              <w:rPr>
                <w:rFonts w:ascii="Times New Roman" w:hAnsi="Times New Roman"/>
                <w:color w:val="000000"/>
                <w:sz w:val="20"/>
              </w:rPr>
            </w:r>
            <w:r/>
          </w:p>
        </w:tc>
      </w:tr>
    </w:tbl>
    <w:p>
      <w:pPr>
        <w:widowControl w:val="true"/>
        <w:pBdr/>
        <w:spacing w:after="80" w:before="120" w:line="480" w:lineRule="auto"/>
        <w:ind/>
        <w:rPr/>
      </w:pPr>
      <w:r>
        <w:rPr>
          <w:rFonts w:ascii="Times New Roman" w:hAnsi="Times New Roman"/>
          <w:color w:val="000000"/>
          <w:sz w:val="24"/>
        </w:rPr>
        <w:t xml:space="preserve">Nota. Los valores de arquitectura y entrenamiento proceden de data/models/ta01-lstm-1</w:t>
      </w:r>
      <w:r>
        <w:rPr>
          <w:rFonts w:ascii="Times New Roman" w:hAnsi="Times New Roman"/>
          <w:color w:val="000000"/>
          <w:sz w:val="24"/>
        </w:rPr>
        <w:t xml:space="preserve">h.json y data/models/ta01-physics-guided-1h.json; los modelos de 6 h y los cortes cronológicos conservan la configuración base y registran las épocas efectivamente completadas. La versión de Python y el hardware no están fijados en el paquete experimental.</w:t>
      </w:r>
      <w:r>
        <w:rPr>
          <w:rFonts w:ascii="Times New Roman" w:hAnsi="Times New Roman"/>
          <w:color w:val="000000"/>
          <w:sz w:val="24"/>
        </w:rPr>
      </w:r>
      <w:r/>
    </w:p>
    <w:p w14:paraId="0000001F">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2.7. Validación y análisis estadístico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0">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La primera comparación separó los 500 escenarios por fecha de lluvia en entrenamiento (350), validación (75) y prueba (75); ningún escenario de una misma fecha cruzó conjuntos. Esta división no es cronológica. Para examinar el cambio tempo</w:t>
      </w:r>
      <w:r>
        <w:rPr>
          <w:rFonts w:ascii="Times New Roman" w:hAnsi="Times New Roman"/>
          <w:color w:val="000000"/>
          <w:sz w:val="24"/>
        </w:rPr>
        <w:t xml:space="preserve">ral se hicieron dos cortes adicionales con pesos reentrenados: entrenamiento 2020–2022, validación 2023 y prueba 2024; y entrenamiento 2020–2023, validación 2024 y prueba 2025. Se evaluaron errores absolutos medios (MAE) en ventanas comparables de 1 y 6 h.</w:t>
      </w:r>
      <w:r>
        <w:rPr>
          <w:rFonts w:ascii="Times New Roman" w:hAnsi="Times New Roman"/>
          <w:color w:val="000000"/>
          <w:sz w:val="24"/>
        </w:rPr>
        <w:t xml:space="preserve"> La partición no cronológica reserva las fechas de mayor lluvia para prueba y validación y usa una asignación balanceada por categorías del índice de seguridad simulado; no representa un muestreo aleatorio simple de fechas futuras.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1">
      <w:pPr>
        <w:widowControl w:val="true"/>
        <w:pBdr/>
        <w:spacing w:after="80" w:line="480" w:lineRule="auto"/>
        <w:ind w:firstLine="283"/>
        <w:rPr>
          <w:rFonts w:ascii="Times New Roman" w:hAnsi="Times New Roman" w:eastAsia="Times New Roman" w:cs="Times New Roman"/>
          <w:sz w:val="24"/>
          <w:szCs w:val="24"/>
        </w:rPr>
      </w:pPr>
      <w:r>
        <w:t xml:space="preserve">La diferencia pareada Δ = MAE(LSTM) − MAE(híbrido) se estimó mediante 5000 remuestreos por conglomerados de fec</w:t>
      </w:r>
      <w:r>
        <w:t xml:space="preserve">ha de lluvia, con intervalos de confianza percentiles del 95 %. Agrupar por fecha conserva la dependencia de las ventanas de un mismo evento (Field &amp; Welsh, 2007), aunque presupone que los conglomerados son suficientemente independientes entre fechas. No e</w:t>
      </w:r>
      <w:r>
        <w:t xml:space="preserve">s un bootstrap de bloques de días consecutivos. No se reportan contrastes de hipótesis ni valores p porque no se conserva en el paquete experimental el cálculo reproducible de la prueba de inversión de signo previamente descrita. La prueba de robustez pert</w:t>
      </w:r>
      <w:r>
        <w:t xml:space="preserve">urbó únicamente las entradas reservadas: ruido gaussiano del 5 % de la desviación de entrenamiento y pérdida aleatoria del 30 %, imputada con medias de entrenamiento. Las cifras proceden de predicciones guardadas del proyecto, no de observaciones de campo.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firstLine="283"/>
        <w:rPr/>
      </w:pPr>
      <w:r>
        <w:rPr>
          <w:rFonts w:ascii="Times New Roman" w:hAnsi="Times New Roman"/>
          <w:color w:val="000000"/>
          <w:sz w:val="24"/>
        </w:rPr>
        <w:t xml:space="preserve">Los intervalos predictivos del híbrido se construyeron con un cuantil del error absoluto de validación. Ese mismo conjunto participó en la selección del modelo y la detención temprana. Por ello se p</w:t>
      </w:r>
      <w:r>
        <w:rPr>
          <w:rFonts w:ascii="Times New Roman" w:hAnsi="Times New Roman"/>
          <w:color w:val="000000"/>
          <w:sz w:val="24"/>
        </w:rPr>
        <w:t xml:space="preserve">resentan como intervalos empíricos con diagnóstico retrospectivo de cobertura, no como una garantía conformal independiente. La Figura 4 contrasta cobertura global y cobertura bajo lluvia ≥5 mm/día; el número de fechas de esta última categoría es reducido.</w:t>
      </w:r>
      <w:r/>
    </w:p>
    <w:p>
      <w:pPr>
        <w:pStyle w:val="891"/>
        <w:keepNext w:val="true"/>
        <w:widowControl w:val="true"/>
        <w:pBdr/>
        <w:spacing w:after="80" w:line="480" w:lineRule="auto"/>
        <w:ind/>
        <w:rPr/>
      </w:pPr>
      <w:r>
        <w:t xml:space="preserve">2.8. Procedimiento de reproducción</w:t>
      </w:r>
      <w:r/>
    </w:p>
    <w:p>
      <w:pPr>
        <w:widowControl w:val="true"/>
        <w:pBdr/>
        <w:spacing w:after="80" w:line="480" w:lineRule="auto"/>
        <w:ind w:firstLine="283"/>
        <w:jc w:val="both"/>
        <w:rPr/>
      </w:pPr>
      <w:r>
        <w:t xml:space="preserve">La reproducción parte de</w:t>
      </w:r>
      <w:r>
        <w:t xml:space="preserve">l CSV diario NASA POWER conservado en data/rainfall/. Los 500 escenarios archivados se generaron con semilla 20260915 y malla 30 × 20; esta última no coincide con la malla predeterminada del generador actual (14 × 9). Para replicar el experimento se deben </w:t>
      </w:r>
      <w:r>
        <w:t xml:space="preserve">fijar explícitamente --scenarios=500, --seed=20260915, --mesh-x=30 y --mesh-y=20 en npm run generate:fem --, y usar un directorio de salida nuevo para no sobrescribir los artefactos conservados. Después se crean las particiones por fecha y los cortes crono</w:t>
      </w:r>
      <w:r>
        <w:t xml:space="preserve">lógicos documentados en docs/CASO_TA01_FEM.md; se entrenan ridge, LSTM y corrector por horizonte, se ejecutan las validaciones FEM y de robustez, y se consolida el informe. Los manifiestos guardan la procedencia y los parámetros de las corridas archivadas.</w:t>
      </w:r>
      <w:r/>
    </w:p>
    <w:p>
      <w:pPr>
        <w:widowControl w:val="true"/>
        <w:pBdr/>
        <w:spacing w:after="80" w:line="480" w:lineRule="auto"/>
        <w:ind w:firstLine="283"/>
        <w:rPr/>
      </w:pPr>
      <w:r>
        <w:t xml:space="preserve">La recreación íntegra ex</w:t>
      </w:r>
      <w:r>
        <w:t xml:space="preserve">ige además reproducir los prefijos de salida, horizontes y pesos guardados de cada corte. Los scripts npm y el manifiesto de replicación son la referencia para esos argumentos; el comando de generación por sí solo no reproduce todas las tablas del estudio.</w:t>
      </w:r>
      <w:r/>
    </w:p>
    <w:p>
      <w:pPr>
        <w:widowControl w:val="true"/>
        <w:pBdr/>
        <w:spacing w:after="80" w:line="480" w:lineRule="auto"/>
        <w:ind w:firstLine="283"/>
        <w:jc w:val="both"/>
        <w:rPr/>
      </w:pPr>
      <w:r>
        <w:rPr>
          <w:rFonts w:ascii="Times New Roman" w:hAnsi="Times New Roman"/>
          <w:color w:val="000000"/>
          <w:sz w:val="24"/>
        </w:rPr>
        <w:t xml:space="preserve">Las salidas citadas se encuentran en data/validation/ta01-model-comparison.csv, ta01-rolling-origin-model-comparison.csv y ta01-rolling-origin-bootstrap.json, junto con ta01-replication-man</w:t>
      </w:r>
      <w:r>
        <w:rPr>
          <w:rFonts w:ascii="Times New Roman" w:hAnsi="Times New Roman"/>
          <w:color w:val="000000"/>
          <w:sz w:val="24"/>
        </w:rPr>
        <w:t xml:space="preserve">ifest.json y las huellas SHA-256 de fuentes y resultados. El repositorio público de sslope contiene el README, los scripts npm y Docker Compose para el servicio web; este contenedor no constituye por sí solo un pipeline cerrado de entrenamiento y análisis.</w:t>
      </w:r>
      <w:r>
        <w:rPr>
          <w:rFonts w:ascii="Times New Roman" w:hAnsi="Times New Roman"/>
          <w:color w:val="000000"/>
          <w:sz w:val="24"/>
        </w:rPr>
        <w:t xml:space="preserve"> El código y la documentación tienen licencia MIT, y los aportes originales de los autores en los datos semisintéticos y resultados tienen licencia CC BY 4.0. La versión de Python no está fijada para todos los experimentos, lo que limita la réplica exacta.</w:t>
      </w:r>
      <w:r>
        <w:rPr>
          <w:rFonts w:ascii="Times New Roman" w:hAnsi="Times New Roman"/>
          <w:color w:val="000000"/>
          <w:sz w:val="24"/>
        </w:rPr>
        <w:t xml:space="preserve"> La coincidencia de las huellas permite comprobar la integridad de los artefactos archivados; no demuestra por sí sola que un entrenamiento nuevo produzca pesos idénticos.</w:t>
      </w:r>
      <w:r/>
    </w:p>
    <w:p w14:paraId="00000022">
      <w:pPr>
        <w:pStyle w:val="890"/>
        <w:keepNext w:val="true"/>
        <w:keepLines w:val="false"/>
        <w:widowControl w:val="true"/>
        <w:pBdr/>
        <w:spacing w:after="80" w:before="160" w:line="480" w:lineRule="auto"/>
        <w:ind/>
        <w:jc w:val="center"/>
        <w:rPr>
          <w:rFonts w:ascii="Times New Roman" w:hAnsi="Times New Roman" w:eastAsia="Times New Roman" w:cs="Times New Roman"/>
          <w:sz w:val="24"/>
          <w:szCs w:val="24"/>
        </w:rPr>
      </w:pPr>
      <w:r>
        <w:t xml:space="preserve">3. Resultados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3">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3.1. RQ4 Verificación interna del FEM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4">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prueba de parche con deformación constante reprodujo el campo afín con error máximo de deformación de 1.14 × 10⁻¹⁸. Dos comprobaciones analíticas globales dieron errores máximos de desp</w:t>
      </w:r>
      <w:r>
        <w:rPr>
          <w:rFonts w:ascii="Times New Roman" w:hAnsi="Times New Roman" w:eastAsia="Times New Roman" w:cs="Times New Roman"/>
          <w:color w:val="000000"/>
          <w:sz w:val="24"/>
          <w:szCs w:val="24"/>
          <w:rtl w:val="0"/>
        </w:rPr>
        <w:t xml:space="preserve">lazamiento de 1.62 × 10⁻¹¹ m en elasticidad lineal y 1.60 × 10⁻¹¹ m al incluir presión uniforme de Biot. Frente a una malla interna de 48 × 32, la malla habitual de 30 × 20 presentó una diferencia de 2.13 % en desplazamiento. La secuencia de refinamiento n</w:t>
      </w:r>
      <w:r>
        <w:rPr>
          <w:rFonts w:ascii="Times New Roman" w:hAnsi="Times New Roman" w:eastAsia="Times New Roman" w:cs="Times New Roman"/>
          <w:color w:val="000000"/>
          <w:sz w:val="24"/>
          <w:szCs w:val="24"/>
          <w:rtl w:val="0"/>
        </w:rPr>
        <w:t xml:space="preserve">o fue monótona: las mallas de 36 × 24 y 42 × 28 difirieron 8.49 % y 7.41 % de la referencia, respectivamente. Estas pruebas verifican aspectos de la implementación, pero no demuestran convergencia de malla ni validez de los parámetros geotécnicos de TA-01.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firstLine="283"/>
        <w:rPr/>
      </w:pPr>
      <w:r>
        <w:rPr>
          <w:rFonts w:ascii="Times New Roman" w:hAnsi="Times New Roman"/>
          <w:color w:val="000000"/>
          <w:sz w:val="24"/>
        </w:rPr>
        <w:t xml:space="preserve">La Figura 2 muestra la respuesta al refinamiento de malla y su diferencia frente a la referencia interna.</w:t>
      </w:r>
      <w:r/>
    </w:p>
    <w:p>
      <w:pPr>
        <w:keepNext w:val="true"/>
        <w:widowControl w:val="true"/>
        <w:pBdr/>
        <w:spacing w:after="80" w:line="480" w:lineRule="auto"/>
        <w:ind/>
        <w:rPr/>
      </w:pPr>
      <w:r>
        <w:rPr>
          <w:rFonts w:ascii="Times New Roman" w:hAnsi="Times New Roman"/>
          <w:color w:val="000000"/>
          <w:sz w:val="24"/>
        </w:rPr>
        <w:t xml:space="preserve">Figura 2</w:t>
        <w:br/>
        <w:t xml:space="preserve">Sensibilidad del desplazamiento inducido a la discretización FEM</w:t>
      </w:r>
      <w:r/>
    </w:p>
    <w:p>
      <w:pPr>
        <w:keepNext w:val="true"/>
        <w:widowControl w:val="true"/>
        <w:pBdr/>
        <w:spacing w:after="80" w:line="480" w:lineRule="auto"/>
        <w:ind/>
        <w:rPr/>
      </w:pPr>
      <w:r>
        <w:rPr>
          <w:rFonts w:ascii="Times New Roman" w:hAnsi="Times New Roman"/>
          <w:color w:val="000000"/>
          <w:sz w:val="24"/>
        </w:rPr>
        <w:t xml:space="preserve">Figure 2. FEM mesh sensitivity of rainfall-induced displacement.</w:t>
      </w:r>
      <w:r/>
    </w:p>
    <w:p>
      <w:pPr>
        <w:keepNext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441203"/>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png"/>
                        <pic:cNvPicPr>
                          <a:picLocks noChangeAspect="1"/>
                        </pic:cNvPicPr>
                        <pic:nvPr/>
                      </pic:nvPicPr>
                      <pic:blipFill rotWithShape="1">
                        <a:blip r:embed="rId12"/>
                        <a:stretch/>
                      </pic:blipFill>
                      <pic:spPr bwMode="auto">
                        <a:xfrm>
                          <a:off x="0" y="0"/>
                          <a:ext cx="5623560" cy="2441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2.80pt;height:192.22pt;mso-wrap-distance-left:0.00pt;mso-wrap-distance-top:0.00pt;mso-wrap-distance-right:0.00pt;mso-wrap-distance-bottom:0.00pt;z-index:1;" stroked="false">
                <v:imagedata r:id="rId12" o:title=""/>
                <o:lock v:ext="edit" rotation="t"/>
              </v:shape>
            </w:pict>
          </mc:Fallback>
        </mc:AlternateContent>
      </w:r>
      <w:r/>
    </w:p>
    <w:p>
      <w:pPr>
        <w:widowControl w:val="true"/>
        <w:pBdr/>
        <w:spacing w:after="80" w:line="480" w:lineRule="auto"/>
        <w:ind/>
        <w:rPr/>
      </w:pPr>
      <w:r>
        <w:rPr>
          <w:rFonts w:ascii="Times New Roman" w:hAnsi="Times New Roman"/>
          <w:color w:val="000000"/>
          <w:sz w:val="24"/>
        </w:rPr>
        <w:t xml:space="preserve">Nota. Número de nodos, desplazamiento máximo y diferencia respecto de la malla 48 × 32. Referencia interna, no convergencia demostrada. Caso semisintético. Fuente: data/validation/ta01-fem-mesh-summary.csv.</w:t>
      </w:r>
      <w:r/>
    </w:p>
    <w:p w14:paraId="00000025">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3.2. RQ1 Comparación predictiva por fecha de lluvia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6">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En la partición con fechas disjuntas, el híbrido presentó el menor MAE de las cuatro alternativas a ambos horizontes (Tabla </w:t>
      </w:r>
      <w:r>
        <w:rPr>
          <w:rFonts w:ascii="Times New Roman" w:hAnsi="Times New Roman"/>
          <w:color w:val="000000"/>
          <w:sz w:val="24"/>
        </w:rPr>
        <w:t xml:space="preserve">3</w:t>
      </w:r>
      <w:r>
        <w:rPr>
          <w:rFonts w:ascii="Times New Roman" w:hAnsi="Times New Roman"/>
          <w:color w:val="000000"/>
          <w:sz w:val="24"/>
        </w:rPr>
        <w:t xml:space="preserve">). Frente a la LSTM, la reducción relativa fue 6.99 % a 1 h y 2.46 % a 6 h. Las magnitudes corresponden al </w:t>
      </w:r>
      <w:r>
        <w:rPr>
          <w:rFonts w:ascii="Times New Roman" w:hAnsi="Times New Roman"/>
          <w:color w:val="000000"/>
          <w:sz w:val="24"/>
        </w:rPr>
        <w:t xml:space="preserve">desplazamient</w:t>
      </w:r>
      <w:r>
        <w:rPr>
          <w:rFonts w:ascii="Times New Roman" w:hAnsi="Times New Roman"/>
          <w:color w:val="000000"/>
          <w:sz w:val="24"/>
        </w:rPr>
        <w:t xml:space="preserve">o máximo simulad</w:t>
      </w:r>
      <w:r>
        <w:rPr>
          <w:rFonts w:ascii="Times New Roman" w:hAnsi="Times New Roman"/>
          <w:color w:val="000000"/>
          <w:sz w:val="24"/>
        </w:rPr>
        <w:t xml:space="preserve">o inducido por lluvia</w:t>
      </w:r>
      <w:r>
        <w:rPr>
          <w:rFonts w:ascii="Times New Roman" w:hAnsi="Times New Roman"/>
          <w:color w:val="000000"/>
          <w:sz w:val="24"/>
        </w:rPr>
        <w:t xml:space="preserve"> respecto del estado inicial</w:t>
      </w:r>
      <w:r>
        <w:rPr>
          <w:rFonts w:ascii="Times New Roman" w:hAnsi="Times New Roman"/>
          <w:color w:val="000000"/>
          <w:sz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27">
      <w:pPr>
        <w:keepNext w:val="true"/>
        <w:widowControl w:val="true"/>
        <w:pBdr/>
        <w:spacing w:after="80" w:line="480" w:lineRule="auto"/>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rPr>
        <w:t xml:space="preserve">3</w:t>
      </w:r>
      <w:r>
        <w:rPr>
          <w:rFonts w:ascii="Times New Roman" w:hAnsi="Times New Roman"/>
          <w:color w:val="000000"/>
          <w:sz w:val="24"/>
        </w:rPr>
        <w:br/>
        <w:t xml:space="preserve">Error absoluto medio en la prueba separada por fecha de lluvia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true"/>
        <w:widowControl w:val="true"/>
        <w:pBdr/>
        <w:spacing w:after="80" w:line="480" w:lineRule="auto"/>
        <w:ind/>
        <w:rPr/>
      </w:pPr>
      <w:r>
        <w:rPr>
          <w:rFonts w:ascii="Times New Roman" w:hAnsi="Times New Roman"/>
          <w:color w:val="000000"/>
          <w:sz w:val="24"/>
        </w:rPr>
        <w:t xml:space="preserve">Table 3. Mean absolute error in the rainfall-date-separated test.</w:t>
      </w:r>
      <w:r/>
    </w:p>
    <w:tbl>
      <w:tblPr>
        <w:tblStyle w:val="898"/>
        <w:jc w:val="center"/>
        <w:tblW w:w="850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548"/>
        <w:gridCol w:w="1548"/>
        <w:gridCol w:w="1548"/>
        <w:gridCol w:w="1548"/>
        <w:gridCol w:w="1548"/>
        <w:gridCol w:w="1548"/>
        <w:tblGridChange w:id="0">
          <w:tblGrid>
            <w:gridCol w:w="1247"/>
            <w:gridCol w:w="1191"/>
            <w:gridCol w:w="1531"/>
            <w:gridCol w:w="1531"/>
            <w:gridCol w:w="1531"/>
            <w:gridCol w:w="1474"/>
          </w:tblGrid>
        </w:tblGridChange>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8">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9">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A">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Persistencia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B">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Ridge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C">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2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1350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0.00002081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1">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0.00001181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2">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0.00000858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3">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0.00000798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4">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5">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975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6">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0.00013169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7">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0.00008855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8">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0.00006332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548" w:type="dxa"/>
            <w:vAlign w:val="center"/>
          </w:tcPr>
          <w:p w14:paraId="00000039">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0.00006176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000003A">
      <w:pPr>
        <w:widowControl w:val="true"/>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Valores de MAE en mm; las cuatro alternativas se evaluaron sobre las mismas ventanas de cada horizonte. Fuente: data/validation/ta01-model-comparison.csv del proyecto.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B">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3.3. RQ1 y RQ2 Pruebas cronológicas e incertidumbre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3C">
      <w:pPr>
        <w:keepNext w:val="true"/>
        <w:widowControl w:val="true"/>
        <w:pBdr/>
        <w:spacing w:after="80" w:line="480" w:lineRule="auto"/>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rPr>
        <w:t xml:space="preserve">4</w:t>
      </w:r>
      <w:r>
        <w:rPr>
          <w:rFonts w:ascii="Times New Roman" w:hAnsi="Times New Roman"/>
          <w:color w:val="000000"/>
          <w:sz w:val="24"/>
        </w:rPr>
        <w:br/>
        <w:t xml:space="preserve">MAE de LSTM e híbrido en pruebas cronológicas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true"/>
        <w:widowControl w:val="true"/>
        <w:pBdr/>
        <w:spacing w:after="80" w:line="480" w:lineRule="auto"/>
        <w:ind/>
        <w:rPr/>
      </w:pPr>
      <w:r>
        <w:rPr>
          <w:rFonts w:ascii="Times New Roman" w:hAnsi="Times New Roman"/>
          <w:color w:val="000000"/>
          <w:sz w:val="24"/>
        </w:rPr>
        <w:t xml:space="preserve">Table 4. LSTM and hybrid MAE in chronological tests.</w:t>
      </w:r>
      <w:r/>
    </w:p>
    <w:tbl>
      <w:tblPr>
        <w:tblStyle w:val="899"/>
        <w:jc w:val="center"/>
        <w:tblW w:w="8503"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858"/>
        <w:gridCol w:w="1858"/>
        <w:gridCol w:w="1858"/>
        <w:gridCol w:w="1858"/>
        <w:gridCol w:w="1858"/>
        <w:tblGridChange w:id="1">
          <w:tblGrid>
            <w:gridCol w:w="1701"/>
            <w:gridCol w:w="1417"/>
            <w:gridCol w:w="1417"/>
            <w:gridCol w:w="1984"/>
            <w:gridCol w:w="1984"/>
          </w:tblGrid>
        </w:tblGridChange>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3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Año de prueba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3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3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1">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2">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3">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4">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1476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5">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0.00000435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6">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0.00000440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7">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8">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9">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1066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A">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0.00002909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B">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0.00002964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C">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1404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4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0.00000540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0.00000519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1">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2">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3">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1014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4">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0.00005769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tcW w:w="1858" w:type="dxa"/>
            <w:vAlign w:val="center"/>
          </w:tcPr>
          <w:p w14:paraId="00000055">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0.00005502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00000056">
      <w:pPr>
        <w:widowControl w:val="true"/>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Fuente: data/validation/ta01-rolling-origin-model-comparison.csv y ta01-rolling-origin-bootstrap.json del repositorio sslope. MAE expresado en mm.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7">
      <w:pPr>
        <w:widowControl w:val="true"/>
        <w:pBdr/>
        <w:spacing w:after="80" w:line="480" w:lineRule="auto"/>
        <w:ind w:firstLine="283"/>
        <w:rPr>
          <w:rFonts w:ascii="Times New Roman" w:hAnsi="Times New Roman" w:eastAsia="Times New Roman" w:cs="Times New Roman"/>
          <w:sz w:val="24"/>
          <w:szCs w:val="24"/>
        </w:rPr>
      </w:pPr>
      <w:r>
        <w:t xml:space="preserve">Al mover el año de prueba, el orden entre LSTM e híbrido cambió (Tabla 4). En 2024, el MAE del híbrido fue 1</w:t>
      </w:r>
      <w:r>
        <w:t xml:space="preserve">.15 % mayor a 1 h y 1.89 % mayor a 6 h; en 2025 fue 3.89 % menor a 1 h y 4.63 % menor a 6 h. Los cuatro intervalos del 95 % incluyeron cero. Estas estimaciones no sustentan una mejora consistente del corrector y tampoco prueban equivalencia de los modelos.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8">
      <w:pPr>
        <w:widowControl w:val="true"/>
        <w:pBdr/>
        <w:spacing w:after="80" w:line="480" w:lineRule="auto"/>
        <w:ind w:firstLine="283"/>
        <w:rPr>
          <w:rFonts w:ascii="Times New Roman" w:hAnsi="Times New Roman" w:eastAsia="Times New Roman" w:cs="Times New Roman"/>
          <w:sz w:val="24"/>
          <w:szCs w:val="24"/>
        </w:rPr>
      </w:pPr>
      <w:r>
        <w:t xml:space="preserve">Los intervalos del 95 % para Δ fueron [−1.44 × 10⁻⁷; 4.25 × 10⁻⁸] mm a 1 h y [−1.15 × 10⁻⁶; 6.64 × 10⁻⁸] mm a 6 h en 2024; en 2025 fueron [−2.59 × 1</w:t>
      </w:r>
      <w:r>
        <w:t xml:space="preserve">0⁻⁷; 6.88 × 10⁻⁷] mm y [−3.83 × 10⁻⁷; 6.25 × 10⁻⁶] mm. Las 82 fechas de prueba de 2024 y las 76 de 2025 constituyeron las unidades de remuestreo. Los intervalos describen variación entre fechas semisintéticas y no cuantifican incertidumbre geotécnica real.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firstLine="283"/>
        <w:rPr/>
      </w:pPr>
      <w:r>
        <w:rPr>
          <w:rFonts w:ascii="Times New Roman" w:hAnsi="Times New Roman"/>
          <w:color w:val="000000"/>
          <w:sz w:val="24"/>
        </w:rPr>
        <w:t xml:space="preserve">La Figura 3 presenta los tamaños de diferencia y sus intervalos; el signo positivo favorece al híbrido.</w:t>
      </w:r>
      <w:r/>
    </w:p>
    <w:p>
      <w:pPr>
        <w:keepNext w:val="true"/>
        <w:widowControl w:val="true"/>
        <w:pBdr/>
        <w:spacing w:after="80" w:line="480" w:lineRule="auto"/>
        <w:ind/>
        <w:rPr/>
      </w:pPr>
      <w:r>
        <w:rPr>
          <w:rFonts w:ascii="Times New Roman" w:hAnsi="Times New Roman"/>
          <w:color w:val="000000"/>
          <w:sz w:val="24"/>
        </w:rPr>
        <w:t xml:space="preserve">Figura 3</w:t>
        <w:br/>
        <w:t xml:space="preserve">Diferencia pareada de MAE entre LSTM e híbrido</w:t>
      </w:r>
      <w:r/>
    </w:p>
    <w:p>
      <w:pPr>
        <w:keepNext w:val="true"/>
        <w:widowControl w:val="true"/>
        <w:pBdr/>
        <w:spacing w:after="80" w:line="480" w:lineRule="auto"/>
        <w:ind/>
        <w:rPr/>
      </w:pPr>
      <w:r>
        <w:rPr>
          <w:rFonts w:ascii="Times New Roman" w:hAnsi="Times New Roman"/>
          <w:color w:val="000000"/>
          <w:sz w:val="24"/>
        </w:rPr>
        <w:t xml:space="preserve">Figure 3. Paired MAE difference between LSTM and the hybrid.</w:t>
      </w:r>
      <w:r/>
    </w:p>
    <w:p>
      <w:pPr>
        <w:keepNext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42226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png"/>
                        <pic:cNvPicPr>
                          <a:picLocks noChangeAspect="1"/>
                        </pic:cNvPicPr>
                        <pic:nvPr/>
                      </pic:nvPicPr>
                      <pic:blipFill rotWithShape="1">
                        <a:blip r:embed="rId13"/>
                        <a:stretch/>
                      </pic:blipFill>
                      <pic:spPr bwMode="auto">
                        <a:xfrm>
                          <a:off x="0" y="0"/>
                          <a:ext cx="5623560" cy="2422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2.80pt;height:190.73pt;mso-wrap-distance-left:0.00pt;mso-wrap-distance-top:0.00pt;mso-wrap-distance-right:0.00pt;mso-wrap-distance-bottom:0.00pt;z-index:1;" stroked="false">
                <v:imagedata r:id="rId13" o:title=""/>
                <o:lock v:ext="edit" rotation="t"/>
              </v:shape>
            </w:pict>
          </mc:Fallback>
        </mc:AlternateContent>
      </w:r>
      <w:r/>
    </w:p>
    <w:p>
      <w:pPr>
        <w:widowControl w:val="true"/>
        <w:pBdr/>
        <w:spacing w:after="80" w:line="480" w:lineRule="auto"/>
        <w:ind/>
        <w:rPr/>
      </w:pPr>
      <w:r>
        <w:rPr>
          <w:rFonts w:ascii="Times New Roman" w:hAnsi="Times New Roman"/>
          <w:color w:val="000000"/>
          <w:sz w:val="24"/>
        </w:rPr>
        <w:t xml:space="preserve">Nota. </w:t>
      </w:r>
      <w:r>
        <w:rPr>
          <w:rFonts w:ascii="Times New Roman" w:hAnsi="Times New Roman"/>
          <w:color w:val="000000"/>
          <w:sz w:val="24"/>
        </w:rPr>
        <w:t xml:space="preserve">Puntos: Δ = MAE(LSTM) − MAE(híbrido); barras: IC percentiles del 95 % por conglomerados de fecha. Las dos escalas del eje horizontal son distintas. No se representan valores p. Caso semisintético. Fuente: data/validation/ta01-rolling-origin-bootstrap.json.</w:t>
      </w:r>
      <w:r/>
    </w:p>
    <w:p>
      <w:pPr>
        <w:widowControl w:val="true"/>
        <w:pBdr/>
        <w:spacing w:after="80" w:line="480" w:lineRule="auto"/>
        <w:ind w:firstLine="283"/>
        <w:rPr/>
      </w:pPr>
      <w:r>
        <w:rPr>
          <w:rFonts w:ascii="Times New Roman" w:hAnsi="Times New Roman"/>
          <w:color w:val="000000"/>
          <w:sz w:val="24"/>
        </w:rPr>
        <w:t xml:space="preserve">Los controles conservan utilidad en los cortes cronológicos: en 2024, la persistencia y ridge obtuvieron MAE de 0.00001049 y 0.00000662 mm a 1 h, y 0.00006888 y 0.00005232 mm a 6</w:t>
      </w:r>
      <w:r>
        <w:rPr>
          <w:rFonts w:ascii="Times New Roman" w:hAnsi="Times New Roman"/>
          <w:color w:val="000000"/>
          <w:sz w:val="24"/>
        </w:rPr>
        <w:t xml:space="preserve"> h; en 2025 fueron 0.00002167 y 0.00002055 mm a 1 h, y 0.00014399 y 0.00015151 mm a 6 h. La LSTM y el híbrido mejoraron esos dos controles en los cuatro cortes, aunque su orden mutuo cambió. Fuente: data/validation/ta01-rolling-origin-model-comparison.csv.</w:t>
      </w:r>
      <w:r>
        <w:rPr>
          <w:rFonts w:ascii="Times New Roman" w:hAnsi="Times New Roman"/>
          <w:color w:val="000000"/>
          <w:sz w:val="24"/>
        </w:rPr>
      </w:r>
      <w:r/>
    </w:p>
    <w:p>
      <w:pPr>
        <w:widowControl w:val="true"/>
        <w:pBdr/>
        <w:spacing w:after="80" w:line="480" w:lineRule="auto"/>
        <w:ind w:firstLine="283"/>
        <w:rPr/>
      </w:pPr>
      <w:r>
        <w:rPr>
          <w:rFonts w:ascii="Times New Roman" w:hAnsi="Times New Roman"/>
          <w:b w:val="0"/>
          <w:i w:val="0"/>
          <w:color w:val="000000"/>
          <w:sz w:val="24"/>
        </w:rPr>
        <w:t xml:space="preserve">La selección por menor MAE de validación no identificó al modelo con menor MAE de prueba en tres de cuatro combinaciones año–horizonte. En el subconjunto con lluvia ≥5 mm/día, la cobertura de intervalos nominales del 95 % fue 33.3 % y 76.9 % a 1 </w:t>
      </w:r>
      <w:r>
        <w:rPr>
          <w:rFonts w:ascii="Times New Roman" w:hAnsi="Times New Roman"/>
          <w:b w:val="0"/>
          <w:i w:val="0"/>
          <w:color w:val="000000"/>
          <w:sz w:val="24"/>
        </w:rPr>
        <w:t xml:space="preserve">y 6 h en 2024, y 59.3 % y 43.6 % en 2025. Solo hubo dos y tres fechas de esa categoría, respectivamente. Estos diagnósticos describen inestabilidad de selección y calibración condicional dentro del banco, sin permitir una tasa fiable para tormentas reales.</w:t>
      </w:r>
      <w:r>
        <w:rPr>
          <w:rFonts w:ascii="Times New Roman" w:hAnsi="Times New Roman"/>
          <w:color w:val="000000"/>
          <w:sz w:val="24"/>
        </w:rPr>
      </w:r>
      <w:r/>
    </w:p>
    <w:p>
      <w:pPr>
        <w:widowControl w:val="true"/>
        <w:pBdr/>
        <w:spacing w:after="80" w:line="480" w:lineRule="auto"/>
        <w:ind w:firstLine="283"/>
        <w:rPr/>
      </w:pPr>
      <w:r>
        <w:rPr>
          <w:rFonts w:ascii="Times New Roman" w:hAnsi="Times New Roman"/>
          <w:color w:val="000000"/>
          <w:sz w:val="24"/>
        </w:rPr>
        <w:t xml:space="preserve">La Figura 4 muestra que la cobertura global no asegura cobertura bajo lluvia más intensa.</w:t>
      </w:r>
      <w:r/>
    </w:p>
    <w:p>
      <w:pPr>
        <w:keepNext w:val="true"/>
        <w:widowControl w:val="true"/>
        <w:pBdr/>
        <w:spacing w:after="80" w:line="480" w:lineRule="auto"/>
        <w:ind/>
        <w:rPr/>
      </w:pPr>
      <w:r>
        <w:rPr>
          <w:rFonts w:ascii="Times New Roman" w:hAnsi="Times New Roman"/>
          <w:color w:val="000000"/>
          <w:sz w:val="24"/>
        </w:rPr>
        <w:t xml:space="preserve">Figura 4</w:t>
        <w:br/>
        <w:t xml:space="preserve">Cobertura retrospectiva de los intervalos del híbrido</w:t>
      </w:r>
      <w:r/>
    </w:p>
    <w:p>
      <w:pPr>
        <w:keepNext w:val="true"/>
        <w:widowControl w:val="true"/>
        <w:pBdr/>
        <w:spacing w:after="80" w:line="480" w:lineRule="auto"/>
        <w:ind/>
        <w:rPr/>
      </w:pPr>
      <w:r>
        <w:rPr>
          <w:rFonts w:ascii="Times New Roman" w:hAnsi="Times New Roman"/>
          <w:color w:val="000000"/>
          <w:sz w:val="24"/>
        </w:rPr>
        <w:t xml:space="preserve">Figure 4. Retrospective coverage of hybrid prediction intervals.</w:t>
      </w:r>
      <w:r/>
    </w:p>
    <w:p>
      <w:pPr>
        <w:keepNext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524949"/>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png"/>
                        <pic:cNvPicPr>
                          <a:picLocks noChangeAspect="1"/>
                        </pic:cNvPicPr>
                        <pic:nvPr/>
                      </pic:nvPicPr>
                      <pic:blipFill rotWithShape="1">
                        <a:blip r:embed="rId14"/>
                        <a:stretch/>
                      </pic:blipFill>
                      <pic:spPr bwMode="auto">
                        <a:xfrm>
                          <a:off x="0" y="0"/>
                          <a:ext cx="5623560" cy="2524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2.80pt;height:198.81pt;mso-wrap-distance-left:0.00pt;mso-wrap-distance-top:0.00pt;mso-wrap-distance-right:0.00pt;mso-wrap-distance-bottom:0.00pt;z-index:1;" stroked="false">
                <v:imagedata r:id="rId14" o:title=""/>
                <o:lock v:ext="edit" rotation="t"/>
              </v:shape>
            </w:pict>
          </mc:Fallback>
        </mc:AlternateContent>
      </w:r>
      <w:r/>
    </w:p>
    <w:p>
      <w:pPr>
        <w:widowControl w:val="true"/>
        <w:pBdr/>
        <w:spacing w:after="80" w:line="480" w:lineRule="auto"/>
        <w:ind/>
        <w:rPr/>
      </w:pPr>
      <w:r>
        <w:rPr>
          <w:rFonts w:ascii="Times New Roman" w:hAnsi="Times New Roman"/>
          <w:color w:val="000000"/>
          <w:sz w:val="24"/>
        </w:rPr>
        <w:t xml:space="preserve">Nota. Todas las ventanas frente a lluvia ≥5 mm</w:t>
      </w:r>
      <w:r>
        <w:rPr>
          <w:rFonts w:ascii="Times New Roman" w:hAnsi="Times New Roman"/>
          <w:color w:val="000000"/>
          <w:sz w:val="24"/>
        </w:rPr>
        <w:t xml:space="preserve">/día. La línea discontinua indica el nivel nominal; la categoría de lluvia alta contiene dos fechas en 2024 y tres en 2025. Ventanas correlacionadas, no ensayos independientes. Caso semisintético. Fuente: data/validation/ta01-rolling-interval-coverage.csv.</w:t>
      </w:r>
      <w:r/>
    </w:p>
    <w:p w14:paraId="00000059">
      <w:pPr>
        <w:pStyle w:val="891"/>
        <w:keepNext w:val="true"/>
        <w:keepLines w:val="false"/>
        <w:widowControl w:val="true"/>
        <w:pBdr/>
        <w:spacing w:after="80" w:before="160" w:line="480" w:lineRule="auto"/>
        <w:ind/>
        <w:rPr>
          <w:rFonts w:ascii="Times New Roman" w:hAnsi="Times New Roman" w:eastAsia="Times New Roman" w:cs="Times New Roman"/>
          <w:sz w:val="24"/>
          <w:szCs w:val="24"/>
        </w:rPr>
      </w:pPr>
      <w:r>
        <w:t xml:space="preserve">3.4. RQ4 Aproximación espacial del equilibrio discreto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A">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En un evento semisintético, la aproximación espac</w:t>
      </w:r>
      <w:r>
        <w:rPr>
          <w:rFonts w:ascii="Times New Roman" w:hAnsi="Times New Roman"/>
          <w:color w:val="000000"/>
          <w:sz w:val="24"/>
        </w:rPr>
        <w:t xml:space="preserve">ial PIELM/RBF del sistema incremental FEM obtuvo un error L2 relativo de desplazamiento de 12.57 % en 354 nodos sin supervisión de desplazamiento y un residuo relativo de equilibrio discreto de 14.39 %. El entrenamiento y la referencia compartieron la mism</w:t>
      </w:r>
      <w:r>
        <w:rPr>
          <w:rFonts w:ascii="Times New Roman" w:hAnsi="Times New Roman"/>
          <w:color w:val="000000"/>
          <w:sz w:val="24"/>
        </w:rPr>
        <w:t xml:space="preserve">a matriz de rigidez y carga; esos porcentajes miden concordancia interna, no validación independiente ni capacidad de transferirse a otra geometría. Los sensores empleados en esa aproximación también son sintéticos; no constituyen instrumentación de TA-01.</w:t>
      </w:r>
      <w:r>
        <w:rPr>
          <w:rFonts w:ascii="Times New Roman" w:hAnsi="Times New Roman"/>
          <w:color w:val="000000"/>
          <w:sz w:val="24"/>
        </w:rPr>
        <w:t xml:space="preserve"> La Tabla 5 distingue las comprobaciones analíticas de la concordancia con el operador compartido.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true"/>
        <w:widowControl w:val="true"/>
        <w:pBdr/>
        <w:spacing w:after="80" w:line="480" w:lineRule="auto"/>
        <w:ind/>
        <w:rPr/>
      </w:pPr>
      <w:r>
        <w:rPr>
          <w:rFonts w:ascii="Times New Roman" w:hAnsi="Times New Roman"/>
          <w:color w:val="000000"/>
          <w:sz w:val="24"/>
        </w:rPr>
        <w:t xml:space="preserve">Tabla 5</w:t>
        <w:br/>
        <w:t xml:space="preserve">Alcance de la verificación numérica y espacial</w:t>
      </w:r>
      <w:r/>
    </w:p>
    <w:p>
      <w:pPr>
        <w:keepNext w:val="true"/>
        <w:widowControl w:val="true"/>
        <w:pBdr/>
        <w:spacing w:after="80" w:line="480" w:lineRule="auto"/>
        <w:ind/>
        <w:rPr/>
      </w:pPr>
      <w:r>
        <w:rPr>
          <w:rFonts w:ascii="Times New Roman" w:hAnsi="Times New Roman"/>
          <w:color w:val="000000"/>
          <w:sz w:val="24"/>
        </w:rPr>
        <w:t xml:space="preserve">Table 5. Scope of numerical and spatial verification.</w:t>
      </w:r>
      <w:r/>
    </w:p>
    <w:tbl>
      <w:tblPr>
        <w:jc w:val="center"/>
        <w:tblW w:w="0" w:type="auto"/>
        <w:tblBorders/>
        <w:tblLayout w:type="fixed"/>
        <w:tblLook w:val="04A0" w:firstRow="1" w:lastRow="0" w:firstColumn="1" w:lastColumn="0" w:noHBand="0" w:noVBand="1"/>
      </w:tblPr>
      <w:tblGrid>
        <w:gridCol w:w="2103"/>
        <w:gridCol w:w="1928"/>
        <w:gridCol w:w="1752"/>
        <w:gridCol w:w="3505"/>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b/>
                <w:color w:val="000000"/>
                <w:sz w:val="20"/>
              </w:rPr>
              <w:t xml:space="preserve">Comprobación</w:t>
            </w:r>
            <w:r/>
          </w:p>
        </w:tc>
        <w:tc>
          <w:tcPr>
            <w:shd w:val="clear" w:color="auto" w:fill="eaeaea"/>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b/>
                <w:color w:val="000000"/>
                <w:sz w:val="20"/>
              </w:rPr>
              <w:t xml:space="preserve">Magnitud</w:t>
            </w:r>
            <w:r/>
          </w:p>
        </w:tc>
        <w:tc>
          <w:tcPr>
            <w:shd w:val="clear" w:color="auto" w:fill="eaeaea"/>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b/>
                <w:color w:val="000000"/>
                <w:sz w:val="20"/>
              </w:rPr>
              <w:t xml:space="preserve">Resultado</w:t>
            </w:r>
            <w:r/>
          </w:p>
        </w:tc>
        <w:tc>
          <w:tcPr>
            <w:shd w:val="clear" w:color="auto" w:fill="eaeaea"/>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b/>
                <w:color w:val="000000"/>
                <w:sz w:val="20"/>
              </w:rPr>
              <w:t xml:space="preserve">Alcance</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Parche CST</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Deformación</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1.14 × 10⁻¹⁸</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Campo afín; adimensional</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Elasticidad global</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Desplazamiento</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1.62 × 10⁻¹¹ m</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Solución analítica manufacturada</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Biot uniforme</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Desplazamiento</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1.60 × 10⁻¹¹ m</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Solución analítica manufacturada</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Malla 30 × 20</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Diferencia</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2.13 %</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Frente a referencia interna 48 × 32</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PIELM/RBF TA-01</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Error L2 relativo</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12.57 %</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354 nodos sin supervisión de desplazamiento</w:t>
            </w:r>
            <w:r/>
          </w:p>
        </w:tc>
      </w:tr>
      <w:tr>
        <w:trPr>
          <w:cantSplit/>
        </w:trPr>
        <w:tc>
          <w:tcPr>
            <w:tcBorders>
              <w:top w:val="single" w:color="d9d9d9" w:sz="4" w:space="0"/>
              <w:left w:val="single" w:color="d9d9d9" w:sz="4" w:space="0"/>
              <w:bottom w:val="single" w:color="d9d9d9" w:sz="4" w:space="0"/>
              <w:right w:val="single" w:color="d9d9d9" w:sz="4" w:space="0"/>
            </w:tcBorders>
            <w:tcW w:w="2103" w:type="dxa"/>
            <w:vAlign w:val="center"/>
          </w:tcPr>
          <w:p>
            <w:pPr>
              <w:pBdr/>
              <w:spacing w:after="80" w:before="80" w:line="276" w:lineRule="auto"/>
              <w:ind w:firstLine="283"/>
              <w:rPr/>
            </w:pPr>
            <w:r>
              <w:rPr>
                <w:rFonts w:ascii="Times New Roman" w:hAnsi="Times New Roman"/>
                <w:color w:val="000000"/>
                <w:sz w:val="20"/>
              </w:rPr>
              <w:t xml:space="preserve">PIELM/RBF TA-01</w:t>
            </w:r>
            <w:r/>
          </w:p>
        </w:tc>
        <w:tc>
          <w:tcPr>
            <w:tcBorders>
              <w:top w:val="single" w:color="d9d9d9" w:sz="4" w:space="0"/>
              <w:left w:val="single" w:color="d9d9d9" w:sz="4" w:space="0"/>
              <w:bottom w:val="single" w:color="d9d9d9" w:sz="4" w:space="0"/>
              <w:right w:val="single" w:color="d9d9d9" w:sz="4" w:space="0"/>
            </w:tcBorders>
            <w:tcW w:w="1928" w:type="dxa"/>
            <w:vAlign w:val="center"/>
          </w:tcPr>
          <w:p>
            <w:pPr>
              <w:pBdr/>
              <w:spacing w:after="80" w:before="80" w:line="276" w:lineRule="auto"/>
              <w:ind w:firstLine="283"/>
              <w:rPr/>
            </w:pPr>
            <w:r>
              <w:rPr>
                <w:rFonts w:ascii="Times New Roman" w:hAnsi="Times New Roman"/>
                <w:color w:val="000000"/>
                <w:sz w:val="20"/>
              </w:rPr>
              <w:t xml:space="preserve">Residuo relativo</w:t>
            </w:r>
            <w:r/>
          </w:p>
        </w:tc>
        <w:tc>
          <w:tcPr>
            <w:tcBorders>
              <w:top w:val="single" w:color="d9d9d9" w:sz="4" w:space="0"/>
              <w:left w:val="single" w:color="d9d9d9" w:sz="4" w:space="0"/>
              <w:bottom w:val="single" w:color="d9d9d9" w:sz="4" w:space="0"/>
              <w:right w:val="single" w:color="d9d9d9" w:sz="4" w:space="0"/>
            </w:tcBorders>
            <w:tcW w:w="1752" w:type="dxa"/>
            <w:vAlign w:val="center"/>
          </w:tcPr>
          <w:p>
            <w:pPr>
              <w:pBdr/>
              <w:spacing w:after="80" w:before="80" w:line="276" w:lineRule="auto"/>
              <w:ind w:firstLine="283"/>
              <w:rPr/>
            </w:pPr>
            <w:r>
              <w:rPr>
                <w:rFonts w:ascii="Times New Roman" w:hAnsi="Times New Roman"/>
                <w:color w:val="000000"/>
                <w:sz w:val="20"/>
              </w:rPr>
              <w:t xml:space="preserve">14.39 %</w:t>
            </w:r>
            <w:r/>
          </w:p>
        </w:tc>
        <w:tc>
          <w:tcPr>
            <w:tcBorders>
              <w:top w:val="single" w:color="d9d9d9" w:sz="4" w:space="0"/>
              <w:left w:val="single" w:color="d9d9d9" w:sz="4" w:space="0"/>
              <w:bottom w:val="single" w:color="d9d9d9" w:sz="4" w:space="0"/>
              <w:right w:val="single" w:color="d9d9d9" w:sz="4" w:space="0"/>
            </w:tcBorders>
            <w:tcW w:w="3505" w:type="dxa"/>
            <w:vAlign w:val="center"/>
          </w:tcPr>
          <w:p>
            <w:pPr>
              <w:pBdr/>
              <w:spacing w:after="80" w:before="80" w:line="276" w:lineRule="auto"/>
              <w:ind w:firstLine="283"/>
              <w:rPr/>
            </w:pPr>
            <w:r>
              <w:rPr>
                <w:rFonts w:ascii="Times New Roman" w:hAnsi="Times New Roman"/>
                <w:color w:val="000000"/>
                <w:sz w:val="20"/>
              </w:rPr>
              <w:t xml:space="preserve">Mismo operador FEM de referencia</w:t>
            </w:r>
            <w:r/>
          </w:p>
        </w:tc>
      </w:tr>
    </w:tbl>
    <w:p>
      <w:pPr>
        <w:widowControl w:val="true"/>
        <w:pBdr/>
        <w:spacing w:after="80" w:line="480" w:lineRule="auto"/>
        <w:ind/>
        <w:rPr/>
      </w:pPr>
      <w:r>
        <w:rPr>
          <w:rFonts w:ascii="Times New Roman" w:hAnsi="Times New Roman"/>
          <w:color w:val="000000"/>
          <w:sz w:val="24"/>
        </w:rPr>
        <w:t xml:space="preserve">Nota. Valores ya informados en el manuscrito, contrastados con data/validation/ta01-fem-mesh-sensitivity.json y ta01-spatial-pinn-validation.json. No se mezclan con errores de pronóstico temporal.</w:t>
      </w:r>
      <w:r/>
    </w:p>
    <w:p>
      <w:pPr>
        <w:pStyle w:val="891"/>
        <w:keepNext w:val="true"/>
        <w:widowControl w:val="true"/>
        <w:pBdr/>
        <w:spacing w:after="80" w:line="480" w:lineRule="auto"/>
        <w:ind/>
        <w:rPr/>
      </w:pPr>
      <w:r>
        <w:t xml:space="preserve">3.5. RQ3 Robustez frente a perturbaciones</w:t>
      </w:r>
      <w:r/>
    </w:p>
    <w:p w14:paraId="0000005B">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Con ruido del 5 % en las entradas, el MAE de la LSTM aumentó</w:t>
      </w:r>
      <w:r>
        <w:rPr>
          <w:rFonts w:ascii="Times New Roman" w:hAnsi="Times New Roman"/>
          <w:color w:val="000000"/>
          <w:sz w:val="24"/>
        </w:rPr>
        <w:t xml:space="preserve"> 5.13 % a 1 h y 5.97 % a 6 h; el del híbrido aumentó 53.88 % y 46.10 %. Con 30 % de valores faltantes, los aumentos fueron 102.80 % y 60.88 % para la LSTM, frente a 133.96 % y 70.77 % para el híbrido. En estos dos tipos de perturbación, la corrección perdi</w:t>
      </w:r>
      <w:r>
        <w:rPr>
          <w:rFonts w:ascii="Times New Roman" w:hAnsi="Times New Roman"/>
          <w:color w:val="000000"/>
          <w:sz w:val="24"/>
        </w:rPr>
        <w:t xml:space="preserve">ó su pequeña ventaja de MAE limpio. El ensayo utiliza faltantes aleatorios e imputación por media sin reentrenamiento; no reproduce todas las fallas posibles de sensores ni prueba comportamiento en campo. Fuente: data/validation/ta01-model-robustness.json.</w:t>
      </w:r>
      <w:r>
        <w:rPr>
          <w:rFonts w:ascii="Times New Roman" w:hAnsi="Times New Roman"/>
          <w:color w:val="000000"/>
          <w:sz w:val="24"/>
        </w:rPr>
        <w:t xml:space="preserve"> La Tabla 6 conserva los errores absolutos de las condiciones principales.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keepNext w:val="true"/>
        <w:widowControl w:val="true"/>
        <w:pBdr/>
        <w:spacing w:after="80" w:line="480" w:lineRule="auto"/>
        <w:ind/>
        <w:rPr/>
      </w:pPr>
      <w:r>
        <w:rPr>
          <w:rFonts w:ascii="Times New Roman" w:hAnsi="Times New Roman"/>
          <w:color w:val="000000"/>
          <w:sz w:val="24"/>
        </w:rPr>
        <w:t xml:space="preserve">Tabla 6</w:t>
        <w:br/>
        <w:t xml:space="preserve">MAE con entradas limpias y perturbadas</w:t>
      </w:r>
      <w:r/>
    </w:p>
    <w:p>
      <w:pPr>
        <w:keepNext w:val="true"/>
        <w:widowControl w:val="true"/>
        <w:pBdr/>
        <w:spacing w:after="80" w:line="480" w:lineRule="auto"/>
        <w:ind/>
        <w:rPr/>
      </w:pPr>
      <w:r>
        <w:rPr>
          <w:rFonts w:ascii="Times New Roman" w:hAnsi="Times New Roman"/>
          <w:color w:val="000000"/>
          <w:sz w:val="24"/>
        </w:rPr>
        <w:t xml:space="preserve">Table 6. MAE with clean and perturbed inputs.</w:t>
      </w:r>
      <w:r/>
    </w:p>
    <w:tbl>
      <w:tblPr>
        <w:jc w:val="center"/>
        <w:tblW w:w="0" w:type="auto"/>
        <w:tblBorders/>
        <w:tblLayout w:type="fixed"/>
        <w:tblLook w:val="04A0" w:firstRow="1" w:lastRow="0" w:firstColumn="1" w:lastColumn="0" w:noHBand="0" w:noVBand="1"/>
      </w:tblPr>
      <w:tblGrid>
        <w:gridCol w:w="1858"/>
        <w:gridCol w:w="1858"/>
        <w:gridCol w:w="1858"/>
        <w:gridCol w:w="1858"/>
        <w:gridCol w:w="1858"/>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b/>
                <w:color w:val="000000"/>
                <w:sz w:val="20"/>
              </w:rPr>
              <w:t xml:space="preserve">Horizonte</w:t>
            </w:r>
            <w:r/>
          </w:p>
        </w:tc>
        <w:tc>
          <w:tcPr>
            <w:shd w:val="clear" w:color="auto" w:fill="eaeaea"/>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b/>
                <w:color w:val="000000"/>
                <w:sz w:val="20"/>
              </w:rPr>
              <w:t xml:space="preserve">Condición</w:t>
            </w:r>
            <w:r/>
          </w:p>
        </w:tc>
        <w:tc>
          <w:tcPr>
            <w:shd w:val="clear" w:color="auto" w:fill="eaeaea"/>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b/>
                <w:color w:val="000000"/>
                <w:sz w:val="20"/>
              </w:rPr>
              <w:t xml:space="preserve">Ventanas</w:t>
            </w:r>
            <w:r/>
          </w:p>
        </w:tc>
        <w:tc>
          <w:tcPr>
            <w:shd w:val="clear" w:color="auto" w:fill="eaeaea"/>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b/>
                <w:color w:val="000000"/>
                <w:sz w:val="20"/>
              </w:rPr>
              <w:t xml:space="preserve">LSTM (mm)</w:t>
            </w:r>
            <w:r/>
          </w:p>
        </w:tc>
        <w:tc>
          <w:tcPr>
            <w:shd w:val="clear" w:color="auto" w:fill="eaeaea"/>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b/>
                <w:color w:val="000000"/>
                <w:sz w:val="20"/>
              </w:rPr>
              <w:t xml:space="preserve">Híbrido (mm)</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Limpio</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1350</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0.00000858</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0.00000798</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Ruido 5 %</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1350</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0.00000902</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0.00001228</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Faltantes 30 %</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1350</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0.0000174</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0.00001867</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6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Limpio</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975</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0.00006332</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0.00006176</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6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Ruido 5 %</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975</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0.0000671</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0.00009023</w:t>
            </w:r>
            <w:r/>
          </w:p>
        </w:tc>
      </w:tr>
      <w:tr>
        <w:trPr>
          <w:cantSplit/>
        </w:trPr>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6 h</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Faltantes 30 %</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975</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0.00010187</w:t>
            </w:r>
            <w:r/>
          </w:p>
        </w:tc>
        <w:tc>
          <w:tcPr>
            <w:tcBorders>
              <w:top w:val="single" w:color="d9d9d9" w:sz="4" w:space="0"/>
              <w:left w:val="single" w:color="d9d9d9" w:sz="4" w:space="0"/>
              <w:bottom w:val="single" w:color="d9d9d9" w:sz="4" w:space="0"/>
              <w:right w:val="single" w:color="d9d9d9" w:sz="4" w:space="0"/>
            </w:tcBorders>
            <w:tcW w:w="1858" w:type="dxa"/>
            <w:vAlign w:val="center"/>
          </w:tcPr>
          <w:p>
            <w:pPr>
              <w:pBdr/>
              <w:spacing w:after="80" w:before="80" w:line="276" w:lineRule="auto"/>
              <w:ind w:firstLine="283"/>
              <w:rPr/>
            </w:pPr>
            <w:r>
              <w:rPr>
                <w:rFonts w:ascii="Times New Roman" w:hAnsi="Times New Roman"/>
                <w:color w:val="000000"/>
                <w:sz w:val="20"/>
              </w:rPr>
              <w:t xml:space="preserve">0.00010547</w:t>
            </w:r>
            <w:r/>
          </w:p>
        </w:tc>
      </w:tr>
    </w:tbl>
    <w:p>
      <w:pPr>
        <w:widowControl w:val="true"/>
        <w:pBdr/>
        <w:spacing w:after="80" w:line="480" w:lineRule="auto"/>
        <w:ind/>
        <w:rPr/>
      </w:pPr>
      <w:r>
        <w:rPr>
          <w:rFonts w:ascii="Times New Roman" w:hAnsi="Times New Roman"/>
          <w:color w:val="000000"/>
          <w:sz w:val="24"/>
        </w:rPr>
        <w:t xml:space="preserve">Nota. Valores archivados sin recalcular ni modificar. Fuente: data/validation/ta01-robustness-summary.csv. Todas las respuestas objetivo son semisintéticas; no se reentrena bajo perturbación.</w:t>
      </w:r>
      <w:r/>
    </w:p>
    <w:p>
      <w:pPr>
        <w:widowControl w:val="true"/>
        <w:pBdr/>
        <w:spacing w:after="80" w:line="480" w:lineRule="auto"/>
        <w:ind w:firstLine="283"/>
        <w:rPr/>
      </w:pPr>
      <w:r>
        <w:rPr>
          <w:rFonts w:ascii="Times New Roman" w:hAnsi="Times New Roman"/>
          <w:color w:val="000000"/>
          <w:sz w:val="24"/>
        </w:rPr>
        <w:t xml:space="preserve">La Figura 5 resume la sensibilidad al ruido y a la pérdida aleatoria de entradas.</w:t>
      </w:r>
      <w:r/>
    </w:p>
    <w:p>
      <w:pPr>
        <w:keepNext w:val="true"/>
        <w:widowControl w:val="true"/>
        <w:pBdr/>
        <w:spacing w:after="80" w:line="480" w:lineRule="auto"/>
        <w:ind/>
        <w:rPr/>
      </w:pPr>
      <w:r>
        <w:rPr>
          <w:rFonts w:ascii="Times New Roman" w:hAnsi="Times New Roman"/>
          <w:color w:val="000000"/>
          <w:sz w:val="24"/>
        </w:rPr>
        <w:t xml:space="preserve">Figura 5</w:t>
        <w:br/>
        <w:t xml:space="preserve">Sensibilidad predictiva a ruido y faltantes aleatorios</w:t>
      </w:r>
      <w:r/>
    </w:p>
    <w:p>
      <w:pPr>
        <w:keepNext w:val="true"/>
        <w:widowControl w:val="true"/>
        <w:pBdr/>
        <w:spacing w:after="80" w:line="480" w:lineRule="auto"/>
        <w:ind/>
        <w:rPr/>
      </w:pPr>
      <w:r>
        <w:rPr>
          <w:rFonts w:ascii="Times New Roman" w:hAnsi="Times New Roman"/>
          <w:color w:val="000000"/>
          <w:sz w:val="24"/>
        </w:rPr>
        <w:t xml:space="preserve">Figure 5. Predictive sensitivity to noise and random missing inputs.</w:t>
      </w:r>
      <w:r/>
    </w:p>
    <w:p>
      <w:pPr>
        <w:keepNext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70291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png"/>
                        <pic:cNvPicPr>
                          <a:picLocks noChangeAspect="1"/>
                        </pic:cNvPicPr>
                        <pic:nvPr/>
                      </pic:nvPicPr>
                      <pic:blipFill rotWithShape="1">
                        <a:blip r:embed="rId15"/>
                        <a:stretch/>
                      </pic:blipFill>
                      <pic:spPr bwMode="auto">
                        <a:xfrm>
                          <a:off x="0" y="0"/>
                          <a:ext cx="5623560" cy="2702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2.80pt;height:212.83pt;mso-wrap-distance-left:0.00pt;mso-wrap-distance-top:0.00pt;mso-wrap-distance-right:0.00pt;mso-wrap-distance-bottom:0.00pt;z-index:1;" stroked="false">
                <v:imagedata r:id="rId15" o:title=""/>
                <o:lock v:ext="edit" rotation="t"/>
              </v:shape>
            </w:pict>
          </mc:Fallback>
        </mc:AlternateContent>
      </w:r>
      <w:r/>
    </w:p>
    <w:p>
      <w:pPr>
        <w:widowControl w:val="true"/>
        <w:pBdr/>
        <w:spacing w:after="80" w:line="480" w:lineRule="auto"/>
        <w:ind/>
        <w:rPr/>
      </w:pPr>
      <w:r>
        <w:rPr>
          <w:rFonts w:ascii="Times New Roman" w:hAnsi="Times New Roman"/>
          <w:color w:val="000000"/>
          <w:sz w:val="24"/>
        </w:rPr>
        <w:t xml:space="preserve">Nota. Ruido relativo a</w:t>
      </w:r>
      <w:r>
        <w:rPr>
          <w:rFonts w:ascii="Times New Roman" w:hAnsi="Times New Roman"/>
          <w:color w:val="000000"/>
          <w:sz w:val="24"/>
        </w:rPr>
        <w:t xml:space="preserve"> la desviación de entrenamiento y faltantes imputados con medias de entrenamiento. Cada punto compara la condición perturbada con el caso limpio del mismo modelo. Sin reentrenamiento. Caso semisintético. Fuente: data/validation/ta01-robustness-summary.csv.</w:t>
      </w:r>
      <w:r/>
    </w:p>
    <w:p>
      <w:pPr>
        <w:widowControl w:val="true"/>
        <w:pBdr/>
        <w:spacing w:after="80" w:line="480" w:lineRule="auto"/>
        <w:ind w:firstLine="283"/>
        <w:rPr/>
      </w:pPr>
      <w:r>
        <w:rPr>
          <w:rFonts w:ascii="Times New Roman" w:hAnsi="Times New Roman"/>
          <w:color w:val="000000"/>
          <w:sz w:val="24"/>
        </w:rPr>
        <w:t xml:space="preserve">La Figura 6 presenta las variantes con entradas hidrológicas o mecánicas sustituidas por sus medias de entrenamiento</w:t>
      </w:r>
      <w:r>
        <w:rPr>
          <w:rFonts w:ascii="Times New Roman" w:hAnsi="Times New Roman"/>
          <w:color w:val="000000"/>
          <w:sz w:val="24"/>
        </w:rPr>
        <w:t xml:space="preserve">. Son ensayos de enmascaramiento en inferencia, sin reentrenamiento: no equivalen a quitar esas variables de una arquitectura entrenada de nuevo. Tampoco aíslan el aporte causal de cada término de la pérdida del corrector; esa ablación permanece pendiente.</w:t>
      </w:r>
      <w:r/>
    </w:p>
    <w:p>
      <w:pPr>
        <w:widowControl w:val="true"/>
        <w:pBdr/>
        <w:spacing w:after="80" w:line="480" w:lineRule="auto"/>
        <w:ind w:firstLine="283"/>
        <w:rPr/>
      </w:pPr>
      <w:r>
        <w:rPr>
          <w:rFonts w:ascii="Times New Roman" w:hAnsi="Times New Roman"/>
          <w:color w:val="000000"/>
          <w:sz w:val="24"/>
        </w:rPr>
        <w:t xml:space="preserve">La Figura 6 compara el error de las variantes con entradas enmascaradas, sin atribuirles un efecto causal aislado.</w:t>
      </w:r>
      <w:r/>
    </w:p>
    <w:p>
      <w:pPr>
        <w:keepNext w:val="true"/>
        <w:widowControl w:val="true"/>
        <w:pBdr/>
        <w:spacing w:after="80" w:line="480" w:lineRule="auto"/>
        <w:ind/>
        <w:rPr/>
      </w:pPr>
      <w:r>
        <w:rPr>
          <w:rFonts w:ascii="Times New Roman" w:hAnsi="Times New Roman"/>
          <w:color w:val="000000"/>
          <w:sz w:val="24"/>
        </w:rPr>
        <w:t xml:space="preserve">Figura 6</w:t>
        <w:br/>
        <w:t xml:space="preserve">Enmascaramiento de entradas hidrológicas y mecánicas</w:t>
      </w:r>
      <w:r/>
    </w:p>
    <w:p>
      <w:pPr>
        <w:keepNext w:val="true"/>
        <w:widowControl w:val="true"/>
        <w:pBdr/>
        <w:spacing w:after="80" w:line="480" w:lineRule="auto"/>
        <w:ind/>
        <w:rPr/>
      </w:pPr>
      <w:r>
        <w:rPr>
          <w:rFonts w:ascii="Times New Roman" w:hAnsi="Times New Roman"/>
          <w:color w:val="000000"/>
          <w:sz w:val="24"/>
        </w:rPr>
        <w:t xml:space="preserve">Figure 6. Masking hydrological and mechanical inputs.</w:t>
      </w:r>
      <w:r/>
    </w:p>
    <w:p>
      <w:pPr>
        <w:keepNext w:val="true"/>
        <w:pBdr/>
        <w:spacing/>
        <w:ind/>
        <w:jc w:val="center"/>
        <w:rPr/>
      </w:pPr>
      <w:r>
        <w:rPr>
          <w:rFonts w:ascii="Times New Roman" w:hAnsi="Times New Roman"/>
          <w:color w:val="000000"/>
          <w:sz w:val="24"/>
        </w:rPr>
        <mc:AlternateContent>
          <mc:Choice Requires="wpg">
            <w:drawing>
              <wp:inline xmlns:wp="http://schemas.openxmlformats.org/drawingml/2006/wordprocessingDrawing" distT="0" distB="0" distL="0" distR="0">
                <wp:extent cx="5623560" cy="2524949"/>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png"/>
                        <pic:cNvPicPr>
                          <a:picLocks noChangeAspect="1"/>
                        </pic:cNvPicPr>
                        <pic:nvPr/>
                      </pic:nvPicPr>
                      <pic:blipFill rotWithShape="1">
                        <a:blip r:embed="rId16"/>
                        <a:stretch/>
                      </pic:blipFill>
                      <pic:spPr bwMode="auto">
                        <a:xfrm>
                          <a:off x="0" y="0"/>
                          <a:ext cx="5623560" cy="2524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2.80pt;height:198.81pt;mso-wrap-distance-left:0.00pt;mso-wrap-distance-top:0.00pt;mso-wrap-distance-right:0.00pt;mso-wrap-distance-bottom:0.00pt;z-index:1;" stroked="false">
                <v:imagedata r:id="rId16" o:title=""/>
                <o:lock v:ext="edit" rotation="t"/>
              </v:shape>
            </w:pict>
          </mc:Fallback>
        </mc:AlternateContent>
      </w:r>
      <w:r/>
    </w:p>
    <w:p>
      <w:pPr>
        <w:widowControl w:val="true"/>
        <w:pBdr/>
        <w:spacing w:after="80" w:line="480" w:lineRule="auto"/>
        <w:ind/>
        <w:rPr/>
      </w:pPr>
      <w:r>
        <w:rPr>
          <w:rFonts w:ascii="Times New Roman" w:hAnsi="Times New Roman"/>
          <w:color w:val="000000"/>
          <w:sz w:val="24"/>
        </w:rPr>
        <w:t xml:space="preserve">Nota. Entradas sustituidas por m</w:t>
      </w:r>
      <w:r>
        <w:rPr>
          <w:rFonts w:ascii="Times New Roman" w:hAnsi="Times New Roman"/>
          <w:color w:val="000000"/>
          <w:sz w:val="24"/>
        </w:rPr>
        <w:t xml:space="preserve">edias de entrenamiento. MAE en las mismas ventanas del conjunto no cronológico de prueba. Las variantes no son modelos reentrenados ni ablaciones de términos individuales de la pérdida. Caso semisintético. Fuente: data/validation/ta01-ablation-summary.csv.</w:t>
      </w:r>
      <w:r/>
    </w:p>
    <w:p w14:paraId="0000005C">
      <w:pPr>
        <w:pStyle w:val="890"/>
        <w:keepNext w:val="true"/>
        <w:keepLines w:val="false"/>
        <w:widowControl w:val="true"/>
        <w:pBdr/>
        <w:spacing w:after="80" w:before="160" w:line="480" w:lineRule="auto"/>
        <w:ind/>
        <w:jc w:val="center"/>
        <w:rPr>
          <w:rFonts w:ascii="Times New Roman" w:hAnsi="Times New Roman" w:eastAsia="Times New Roman" w:cs="Times New Roman"/>
          <w:sz w:val="24"/>
          <w:szCs w:val="24"/>
        </w:rPr>
      </w:pPr>
      <w:r>
        <w:t xml:space="preserve">4. Discusión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D">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valor del prototipo reside en reunir una sección mecánica reproducible, un modelo temporal entrenado y un registro de procedencia para c</w:t>
      </w:r>
      <w:r>
        <w:rPr>
          <w:rFonts w:ascii="Times New Roman" w:hAnsi="Times New Roman" w:eastAsia="Times New Roman" w:cs="Times New Roman"/>
          <w:color w:val="000000"/>
          <w:sz w:val="24"/>
          <w:szCs w:val="24"/>
          <w:rtl w:val="0"/>
        </w:rPr>
        <w:t xml:space="preserve">ada pronóstico. En trabajos con monitoreo real, la actualización de parámetros y el contraste con eventos observados son elementos centrales para sostener la interpretación del gemelo digital (Liu et al., 2022; Piciullo et al., 2025). TA-01 todavía no disp</w:t>
      </w:r>
      <w:r>
        <w:rPr>
          <w:rFonts w:ascii="Times New Roman" w:hAnsi="Times New Roman" w:eastAsia="Times New Roman" w:cs="Times New Roman"/>
          <w:color w:val="000000"/>
          <w:sz w:val="24"/>
          <w:szCs w:val="24"/>
          <w:rtl w:val="0"/>
        </w:rPr>
        <w:t xml:space="preserve">one de ese contraste: solo la lluvia diaria tiene origen externo y la respuesta geotécnica se genera con hipótesis del propio modelo. En consecuencia, un error de pronóstico bajo mide la reproducción de ese generador, no la precisión de una alerta de mina.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5E">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literatura ha mostrado interés por introducir conocimiento físico en predictores de estabilidad (Dahal &amp; </w:t>
      </w:r>
      <w:r>
        <w:rPr>
          <w:rFonts w:ascii="Times New Roman" w:hAnsi="Times New Roman" w:eastAsia="Times New Roman" w:cs="Times New Roman"/>
          <w:color w:val="000000"/>
          <w:sz w:val="24"/>
          <w:szCs w:val="24"/>
          <w:rtl w:val="0"/>
        </w:rPr>
        <w:t xml:space="preserve">Lombardo, 2025; Pei et al., 2023). Aquí, las restricciones de monotonía aportan una propiedad verificable al corrector; su efecto sobre el MAE cambia de signo entre los dos años examinados. Esa variación y los intervalos que incluyen cero aconsejan present</w:t>
      </w:r>
      <w:r>
        <w:rPr>
          <w:rFonts w:ascii="Times New Roman" w:hAnsi="Times New Roman" w:eastAsia="Times New Roman" w:cs="Times New Roman"/>
          <w:color w:val="000000"/>
          <w:sz w:val="24"/>
          <w:szCs w:val="24"/>
          <w:rtl w:val="0"/>
        </w:rPr>
        <w:t xml:space="preserve">ar ambos modelos como alternativas experimentales. La evaluación espacial, aunque incorpora equilibrio discreto, depende del mismo operador FEM empleado para construir su referencia. No demuestra que se haya entrenado una PINN completa para el talud TA-01.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firstLine="283"/>
        <w:rPr/>
      </w:pPr>
      <w:r>
        <w:rPr>
          <w:rFonts w:ascii="Times New Roman" w:hAnsi="Times New Roman"/>
          <w:color w:val="000000"/>
          <w:sz w:val="24"/>
        </w:rPr>
        <w:t xml:space="preserve">No se registr</w:t>
      </w:r>
      <w:r>
        <w:rPr>
          <w:rFonts w:ascii="Times New Roman" w:hAnsi="Times New Roman"/>
          <w:color w:val="000000"/>
          <w:sz w:val="24"/>
        </w:rPr>
        <w:t xml:space="preserve">ó un benchm</w:t>
      </w:r>
      <w:r>
        <w:rPr>
          <w:rFonts w:ascii="Times New Roman" w:hAnsi="Times New Roman"/>
          <w:color w:val="000000"/>
          <w:sz w:val="24"/>
        </w:rPr>
        <w:t xml:space="preserve">ar</w:t>
      </w:r>
      <w:r>
        <w:rPr>
          <w:rFonts w:ascii="Times New Roman" w:hAnsi="Times New Roman"/>
          <w:color w:val="000000"/>
          <w:sz w:val="24"/>
        </w:rPr>
        <w:t xml:space="preserve">k</w:t>
      </w:r>
      <w:r>
        <w:rPr>
          <w:rFonts w:ascii="Times New Roman" w:hAnsi="Times New Roman"/>
          <w:color w:val="000000"/>
          <w:sz w:val="24"/>
        </w:rPr>
        <w:t xml:space="preserve"> comparable</w:t>
      </w:r>
      <w:r>
        <w:rPr>
          <w:rFonts w:ascii="Times New Roman" w:hAnsi="Times New Roman"/>
          <w:color w:val="000000"/>
          <w:sz w:val="24"/>
        </w:rPr>
        <w:t xml:space="preserve"> de tiempo de entrenamiento, inferencia, consumo energético o latencia de extremo a extremo</w:t>
      </w:r>
      <w:r>
        <w:rPr>
          <w:rFonts w:ascii="Times New Roman" w:hAnsi="Times New Roman"/>
          <w:color w:val="000000"/>
          <w:sz w:val="24"/>
        </w:rPr>
        <w:t xml:space="preserve">. Algunos artefactos sí contienen medidas parciales de inferencia, insuficientes para sustentar eficiencia operacional</w:t>
      </w:r>
      <w:r>
        <w:rPr>
          <w:rFonts w:ascii="Times New Roman" w:hAnsi="Times New Roman"/>
          <w:color w:val="000000"/>
          <w:sz w:val="24"/>
        </w:rPr>
        <w:t xml:space="preserve">. Por ello, el experimento evalúa precisión y robustez interna, pero no eficiencia operacional. La mejora de MAE en la partición por fechas es pequeña en valor absoluto y no compensa por sí sola la degradación del corrector con entradas perturbadas.</w:t>
      </w:r>
      <w:r/>
    </w:p>
    <w:p>
      <w:pPr>
        <w:widowControl w:val="true"/>
        <w:pBdr/>
        <w:spacing w:after="80" w:line="480" w:lineRule="auto"/>
        <w:ind w:firstLine="283"/>
        <w:rPr/>
      </w:pPr>
      <w:r>
        <w:rPr>
          <w:rFonts w:ascii="Times New Roman" w:hAnsi="Times New Roman"/>
          <w:color w:val="000000"/>
          <w:sz w:val="24"/>
        </w:rPr>
        <w:t xml:space="preserve">La escala numérica requiere cautela adicional. El posprocesamiento FEM guarda las magnitudes nodales con un paso de redondeo de 10⁻⁵ mm (10⁻⁸ m), anterior a la construcción de las ventanas. Un MAE promedio inferior a ese pa</w:t>
      </w:r>
      <w:r>
        <w:rPr>
          <w:rFonts w:ascii="Times New Roman" w:hAnsi="Times New Roman"/>
          <w:color w:val="000000"/>
          <w:sz w:val="24"/>
        </w:rPr>
        <w:t xml:space="preserve">so es matemáticamente posible, pero no acredita resolución física ni precisión instrumental. Las pequeñas diferencias de error deben contrastarse con la sensibilidad al almacenamiento y a la tolerancia del solver antes de atribuirles relevancia geotécnica.</w:t>
      </w:r>
      <w:r/>
    </w:p>
    <w:p w14:paraId="0000005F">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FEM supone deformación plana y elasticidad lineal, mientras que la inestabilidad real puede involucrar plasticidad, discontinuidades, heterogeneidad y flujo transitorio. La comparación con una malla interna más fina no muestra</w:t>
      </w:r>
      <w:r>
        <w:rPr>
          <w:rFonts w:ascii="Times New Roman" w:hAnsi="Times New Roman"/>
          <w:color w:val="000000"/>
          <w:sz w:val="24"/>
        </w:rPr>
        <w:t xml:space="preserve"> convergencia monótona y la reproducción externa de un benchmark de reducción de resistencia no valida el FEM lineal propio. El índice mostrado por el visor tampoco sustituye un factor de seguridad obtenido por reducción de resistencia. Para avanzar hacia </w:t>
      </w:r>
      <w:r>
        <w:rPr>
          <w:rFonts w:ascii="Times New Roman" w:hAnsi="Times New Roman"/>
          <w:color w:val="000000"/>
          <w:sz w:val="24"/>
        </w:rPr>
        <w:t xml:space="preserve">l</w:t>
      </w:r>
      <w:r>
        <w:rPr>
          <w:rFonts w:ascii="Times New Roman" w:hAnsi="Times New Roman"/>
          <w:color w:val="000000"/>
          <w:sz w:val="24"/>
        </w:rPr>
        <w:t xml:space="preserve">a</w:t>
      </w:r>
      <w:r>
        <w:rPr>
          <w:rFonts w:ascii="Times New Roman" w:hAnsi="Times New Roman"/>
          <w:color w:val="000000"/>
          <w:sz w:val="24"/>
        </w:rPr>
        <w:t xml:space="preserve"> </w:t>
      </w:r>
      <w:r>
        <w:rPr>
          <w:rFonts w:ascii="Times New Roman" w:hAnsi="Times New Roman"/>
          <w:color w:val="000000"/>
          <w:sz w:val="24"/>
        </w:rPr>
        <w:t xml:space="preserve">v</w:t>
      </w:r>
      <w:r>
        <w:rPr>
          <w:rFonts w:ascii="Times New Roman" w:hAnsi="Times New Roman"/>
          <w:color w:val="000000"/>
          <w:sz w:val="24"/>
        </w:rPr>
        <w:t xml:space="preserve">al</w:t>
      </w:r>
      <w:r>
        <w:rPr>
          <w:rFonts w:ascii="Times New Roman" w:hAnsi="Times New Roman"/>
          <w:color w:val="000000"/>
          <w:sz w:val="24"/>
        </w:rPr>
        <w:t xml:space="preserve">idación</w:t>
      </w:r>
      <w:r>
        <w:rPr>
          <w:rFonts w:ascii="Times New Roman" w:hAnsi="Times New Roman"/>
          <w:color w:val="000000"/>
          <w:sz w:val="24"/>
        </w:rPr>
        <w:t xml:space="preserve"> de </w:t>
      </w:r>
      <w:r>
        <w:rPr>
          <w:rFonts w:ascii="Times New Roman" w:hAnsi="Times New Roman"/>
          <w:color w:val="000000"/>
          <w:sz w:val="24"/>
        </w:rPr>
        <w:t xml:space="preserve">un talud real</w:t>
      </w:r>
      <w:r>
        <w:rPr>
          <w:rFonts w:ascii="Times New Roman" w:hAnsi="Times New Roman"/>
          <w:color w:val="000000"/>
          <w:sz w:val="24"/>
        </w:rPr>
        <w:t xml:space="preserve"> harían falta parámetros y series de sensores observados, verificación geotécnica independiente, </w:t>
      </w:r>
      <w:r>
        <w:rPr>
          <w:rFonts w:ascii="Times New Roman" w:hAnsi="Times New Roman"/>
          <w:color w:val="000000"/>
          <w:sz w:val="24"/>
        </w:rPr>
        <w:t xml:space="preserve">comparación con eventos no utilizados en el ajuste, análisis de incertidumbre y criterios de alerta contrastados. Un estudio de sensibilidad a excavaciones requeriría representar esos cambios geométricos en la simulación y evaluarlos con datos pertinentes.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91"/>
        <w:keepNext w:val="true"/>
        <w:widowControl w:val="true"/>
        <w:pBdr/>
        <w:spacing w:after="80" w:line="480" w:lineRule="auto"/>
        <w:ind/>
        <w:rPr/>
      </w:pPr>
      <w:r>
        <w:t xml:space="preserve">4.1. Amenazas a la validez</w:t>
      </w:r>
      <w:r/>
    </w:p>
    <w:p>
      <w:pPr>
        <w:widowControl w:val="true"/>
        <w:pBdr/>
        <w:spacing w:after="80" w:line="480" w:lineRule="auto"/>
        <w:ind w:firstLine="283"/>
        <w:jc w:val="both"/>
        <w:rPr/>
      </w:pPr>
      <w:r>
        <w:rPr>
          <w:rFonts w:ascii="Times New Roman" w:hAnsi="Times New Roman"/>
          <w:color w:val="000000"/>
          <w:sz w:val="24"/>
        </w:rPr>
        <w:t xml:space="preserve">Validez interna. El generador y los modelos comparten </w:t>
      </w:r>
      <w:r>
        <w:rPr>
          <w:rFonts w:ascii="Times New Roman" w:hAnsi="Times New Roman"/>
          <w:color w:val="000000"/>
          <w:sz w:val="24"/>
        </w:rPr>
        <w:t xml:space="preserve">variables derivadas del mismo FEM, lo que puede favorecer la concordancia. La separación por fecha, los cortes cronológicos y la perturbación exclusiva de entradas reservadas reducen la fuga temporal, pero no eliminan la dependencia respecto del generador.</w:t>
      </w:r>
      <w:r>
        <w:rPr>
          <w:rFonts w:ascii="Times New Roman" w:hAnsi="Times New Roman"/>
          <w:color w:val="000000"/>
          <w:sz w:val="24"/>
        </w:rPr>
        <w:t xml:space="preserve"> La lluvia futura conocida constituye una condición idealizada, no una entrada disponible sin error en campo. Además, la sustitución de variables por medias puede crear combinaciones fuera de la distribución conjunta del generador.</w:t>
      </w:r>
      <w:r/>
    </w:p>
    <w:p>
      <w:pPr>
        <w:widowControl w:val="true"/>
        <w:pBdr/>
        <w:spacing w:after="80" w:line="480" w:lineRule="auto"/>
        <w:ind w:firstLine="283"/>
        <w:jc w:val="both"/>
        <w:rPr/>
      </w:pPr>
      <w:r>
        <w:rPr>
          <w:rFonts w:ascii="Times New Roman" w:hAnsi="Times New Roman"/>
          <w:color w:val="000000"/>
          <w:sz w:val="24"/>
        </w:rPr>
        <w:t xml:space="preserve">Validez de constructo. El resultado pronosticado es </w:t>
      </w:r>
      <w:r>
        <w:rPr>
          <w:rFonts w:ascii="Times New Roman" w:hAnsi="Times New Roman"/>
          <w:color w:val="000000"/>
          <w:sz w:val="24"/>
        </w:rPr>
        <w:t xml:space="preserve">e</w:t>
      </w:r>
      <w:r>
        <w:rPr>
          <w:rFonts w:ascii="Times New Roman" w:hAnsi="Times New Roman"/>
          <w:color w:val="000000"/>
          <w:sz w:val="24"/>
        </w:rPr>
        <w:t xml:space="preserve">l</w:t>
      </w:r>
      <w:r>
        <w:rPr>
          <w:rFonts w:ascii="Times New Roman" w:hAnsi="Times New Roman"/>
          <w:color w:val="000000"/>
          <w:sz w:val="24"/>
        </w:rPr>
        <w:t xml:space="preserve"> desplazamiento</w:t>
      </w:r>
      <w:r>
        <w:rPr>
          <w:rFonts w:ascii="Times New Roman" w:hAnsi="Times New Roman"/>
          <w:color w:val="000000"/>
          <w:sz w:val="24"/>
        </w:rPr>
        <w:t xml:space="preserve"> máximo inducido por lluvia respecto del estado inicial</w:t>
      </w:r>
      <w:r>
        <w:rPr>
          <w:rFonts w:ascii="Times New Roman" w:hAnsi="Times New Roman"/>
          <w:color w:val="000000"/>
          <w:sz w:val="24"/>
        </w:rPr>
        <w:t xml:space="preserve">, no el desplazamiento total ni un FoS por reducción de resistencia. La corrección monótona representa conocimiento físico agregado y no una PINN completa. Las conclusiones se formulan con esas definiciones.</w:t>
      </w:r>
      <w:r/>
    </w:p>
    <w:p>
      <w:pPr>
        <w:widowControl w:val="true"/>
        <w:pBdr/>
        <w:spacing w:after="80" w:line="480" w:lineRule="auto"/>
        <w:ind w:firstLine="283"/>
        <w:jc w:val="both"/>
        <w:rPr/>
      </w:pPr>
      <w:r>
        <w:rPr>
          <w:rFonts w:ascii="Times New Roman" w:hAnsi="Times New Roman"/>
          <w:b/>
          <w:color w:val="000000"/>
          <w:sz w:val="24"/>
        </w:rPr>
        <w:t xml:space="preserve">Validez externa. </w:t>
      </w:r>
      <w:r>
        <w:rPr>
          <w:rFonts w:ascii="Times New Roman" w:hAnsi="Times New Roman"/>
          <w:color w:val="000000"/>
          <w:sz w:val="24"/>
        </w:rPr>
        <w:t xml:space="preserve">TA-01 usa una sola geometría, rangos supuestos y perfiles simplificados de lluvia. No se evaluaron otras litologías, excavaciones, sensores ni eventos de falla observados; por ello no se generaliza a una mina real.</w:t>
      </w:r>
      <w:r>
        <w:rPr>
          <w:rFonts w:ascii="Times New Roman" w:hAnsi="Times New Roman"/>
          <w:color w:val="000000"/>
          <w:sz w:val="24"/>
        </w:rPr>
      </w:r>
      <w:r/>
    </w:p>
    <w:p>
      <w:pPr>
        <w:keepLines w:val="true"/>
        <w:widowControl w:val="true"/>
        <w:pBdr/>
        <w:spacing w:after="80" w:line="480" w:lineRule="auto"/>
        <w:ind w:firstLine="283"/>
        <w:jc w:val="both"/>
        <w:rPr/>
      </w:pPr>
      <w:r>
        <w:t xml:space="preserve">Validez de conclusión. Las fechas, no las ventanas horarias, fueron las unidades de remue</w:t>
      </w:r>
      <w:r>
        <w:t xml:space="preserve">streo. No se registró un cálculo de potencia ni un umbral de equivalencia antes del análisis; la inclusión de cero en los cuatro intervalos indica que la ventaja del híbrido no fue consistente entre cortes y horizontes, sin demostrar equivalencia. Los subc</w:t>
      </w:r>
      <w:r>
        <w:t xml:space="preserve">onjuntos de lluvia ≥5 mm/día incluyen solo dos fechas en 2024 y tres en 2025; sus estimaciones de cobertura son inestables. La precisión de almacenamiento del FEM y la variación entre semillas de entrenamiento no se evaluaron como factores de sensibilidad.</w:t>
      </w:r>
      <w:r/>
    </w:p>
    <w:p>
      <w:pPr>
        <w:pStyle w:val="891"/>
        <w:keepNext w:val="true"/>
        <w:widowControl w:val="true"/>
        <w:pBdr/>
        <w:spacing w:after="80" w:line="480" w:lineRule="auto"/>
        <w:ind/>
        <w:rPr/>
      </w:pPr>
      <w:r>
        <w:t xml:space="preserve">4.2. Gobernanza y uso responsable</w:t>
      </w:r>
      <w:r/>
    </w:p>
    <w:p>
      <w:pPr>
        <w:widowControl w:val="true"/>
        <w:pBdr/>
        <w:spacing w:after="80" w:line="480" w:lineRule="auto"/>
        <w:ind w:firstLine="283"/>
        <w:jc w:val="both"/>
        <w:rPr/>
      </w:pPr>
      <w:r>
        <w:rPr>
          <w:rFonts w:ascii="Times New Roman" w:hAnsi="Times New Roman"/>
          <w:color w:val="000000"/>
          <w:sz w:val="24"/>
        </w:rPr>
        <w:t xml:space="preserve">El prototipo no debe emitir alertas autónomas. Un falso negativo podría retrasar una inspección o evacuación, mientras que un falso positivo podría interrumpir innecesariamente la operación. Cualquier aplicación futura requiere umbrales validados con da</w:t>
      </w:r>
      <w:r>
        <w:rPr>
          <w:rFonts w:ascii="Times New Roman" w:hAnsi="Times New Roman"/>
          <w:color w:val="000000"/>
          <w:sz w:val="24"/>
        </w:rPr>
        <w:t xml:space="preserve">tos de campo, redundancia de sensores, registro de versiones, revisión de un profesional geotécnico y un procedimiento de escalamiento. Las predicciones fuera del dominio de lluvia, geometría o materiales de entrenamiento deben marcarse como no confiables.</w:t>
      </w:r>
      <w:r>
        <w:rPr>
          <w:rFonts w:ascii="Times New Roman" w:hAnsi="Times New Roman"/>
          <w:color w:val="000000"/>
          <w:sz w:val="24"/>
        </w:rPr>
      </w:r>
      <w:r/>
    </w:p>
    <w:p w14:paraId="00000060">
      <w:pPr>
        <w:pStyle w:val="890"/>
        <w:keepNext w:val="true"/>
        <w:keepLines w:val="false"/>
        <w:widowControl w:val="true"/>
        <w:pBdr/>
        <w:spacing w:after="80" w:before="160" w:line="480" w:lineRule="auto"/>
        <w:ind/>
        <w:jc w:val="center"/>
        <w:rPr>
          <w:rFonts w:ascii="Times New Roman" w:hAnsi="Times New Roman" w:eastAsia="Times New Roman" w:cs="Times New Roman"/>
          <w:sz w:val="24"/>
          <w:szCs w:val="24"/>
        </w:rPr>
      </w:pPr>
      <w:r>
        <w:t xml:space="preserve">5. Conclusiones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1">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b w:val="0"/>
          <w:i w:val="0"/>
          <w:color w:val="000000"/>
          <w:sz w:val="24"/>
        </w:rPr>
        <w:t xml:space="preserve">RQ1 mostró que el híbrido obtuvo el menor MAE en la partición por fechas, con reducciones relativas de 6.99 % a 1 h y 2.46 % a 6 h frente a la LSTM. Sin embargo, el orden cambió entre las pruebas cronológicas.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2">
      <w:pPr>
        <w:widowControl w:val="true"/>
        <w:pBdr/>
        <w:spacing w:after="80" w:line="480" w:lineRule="auto"/>
        <w:ind w:firstLine="283"/>
        <w:rPr>
          <w:rFonts w:ascii="Times New Roman" w:hAnsi="Times New Roman" w:eastAsia="Times New Roman" w:cs="Times New Roman"/>
          <w:sz w:val="24"/>
          <w:szCs w:val="24"/>
        </w:rPr>
      </w:pPr>
      <w:r>
        <w:t xml:space="preserve">RQ2 no encontró una ventaja consistente de la corrección residual: la LSTM fue mejor en 2024 y el híbrido en 2025, mientras que los cuatro i</w:t>
      </w:r>
      <w:r>
        <w:t xml:space="preserve">ntervalos pareados incluyeron cero. RQ3 mostró que ambos modelos se degradaron con ruido y faltantes, pero el híbrido perdió más MAE relativo y absoluto en las condiciones evaluadas. La calidad de entrada es, por tanto, una condición crítica del prototipo.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3">
      <w:pPr>
        <w:widowControl w:val="true"/>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RQ4 </w:t>
      </w:r>
      <w:r>
        <w:rPr>
          <w:rFonts w:ascii="Times New Roman" w:hAnsi="Times New Roman"/>
          <w:color w:val="000000"/>
          <w:sz w:val="24"/>
        </w:rPr>
        <w:t xml:space="preserve">veri</w:t>
      </w:r>
      <w:r>
        <w:rPr>
          <w:rFonts w:ascii="Times New Roman" w:hAnsi="Times New Roman"/>
          <w:color w:val="000000"/>
          <w:sz w:val="24"/>
        </w:rPr>
        <w:t xml:space="preserve">fi</w:t>
      </w:r>
      <w:r>
        <w:rPr>
          <w:rFonts w:ascii="Times New Roman" w:hAnsi="Times New Roman"/>
          <w:color w:val="000000"/>
          <w:sz w:val="24"/>
        </w:rPr>
        <w:t xml:space="preserve">c</w:t>
      </w:r>
      <w:r>
        <w:rPr>
          <w:rFonts w:ascii="Times New Roman" w:hAnsi="Times New Roman"/>
          <w:color w:val="000000"/>
          <w:sz w:val="24"/>
        </w:rPr>
        <w:t xml:space="preserve">ó</w:t>
      </w:r>
      <w:r>
        <w:rPr>
          <w:rFonts w:ascii="Times New Roman" w:hAnsi="Times New Roman"/>
          <w:color w:val="000000"/>
          <w:sz w:val="24"/>
        </w:rPr>
        <w:t xml:space="preserve"> aspectos de</w:t>
      </w:r>
      <w:r>
        <w:rPr>
          <w:rFonts w:ascii="Times New Roman" w:hAnsi="Times New Roman"/>
          <w:color w:val="000000"/>
          <w:sz w:val="24"/>
        </w:rPr>
        <w:t xml:space="preserve"> la implementación del FEM mediante pruebas internas y obtuvo concordancia parcial de la aproximación espacial con el mismo opera</w:t>
      </w:r>
      <w:r>
        <w:rPr>
          <w:rFonts w:ascii="Times New Roman" w:hAnsi="Times New Roman"/>
          <w:color w:val="000000"/>
          <w:sz w:val="24"/>
        </w:rPr>
        <w:t xml:space="preserve">dor. Estas verificaciones no constituyen validación geotécnica independiente. En conjunto, TA-01 es una prueba de concepto semisintética para estudiar el flujo FEM LSTM; no valida alertas, tiempo real, FoS operacional ni una PINN de ecuaciones gobernantes.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90"/>
        <w:keepNext w:val="true"/>
        <w:widowControl w:val="true"/>
        <w:pBdr/>
        <w:spacing w:after="80" w:line="480" w:lineRule="auto"/>
        <w:ind/>
        <w:rPr/>
      </w:pPr>
      <w:r>
        <w:t xml:space="preserve">6. Disponibilidad de datos, código y materiales</w:t>
      </w:r>
      <w:r/>
    </w:p>
    <w:p>
      <w:pPr>
        <w:widowControl w:val="true"/>
        <w:pBdr/>
        <w:spacing w:after="80" w:line="480" w:lineRule="auto"/>
        <w:ind w:firstLine="283"/>
        <w:jc w:val="both"/>
        <w:rPr/>
      </w:pPr>
      <w:r>
        <w:rPr>
          <w:rFonts w:ascii="Times New Roman" w:hAnsi="Times New Roman"/>
          <w:color w:val="000000"/>
          <w:sz w:val="24"/>
        </w:rPr>
        <w:t xml:space="preserve">El código, los scripts, los escenarios semisintéticos, los pesos entrenados y los archivos de validación están disponibles en el repositorio público sslope (https://github.com/RobertoA1/sslope). El manifiesto data/validation/ta01-replicat</w:t>
      </w:r>
      <w:r>
        <w:rPr>
          <w:rFonts w:ascii="Times New Roman" w:hAnsi="Times New Roman"/>
          <w:color w:val="000000"/>
          <w:sz w:val="24"/>
        </w:rPr>
        <w:t xml:space="preserve">ion-manifest.json registra huellas SHA-256 de fuentes y resultados. El código y la documentación se distribuyen bajo MIT (LICENSE); las contribuciones originales de los autores en data/generated/, data/models/ y data/validation/ se distribuyen bajo CC BY 4</w:t>
      </w:r>
      <w:r>
        <w:rPr>
          <w:rFonts w:ascii="Times New Roman" w:hAnsi="Times New Roman"/>
          <w:color w:val="000000"/>
          <w:sz w:val="24"/>
        </w:rPr>
        <w:t xml:space="preserve">.0 (data/LICENSE.md). La precipitación de reanálisis procede de NASA POWER; su procedencia y las condiciones de las demás fuentes externas se documentan por separado y no quedan sustituidas por la licencia de los autores. El README explica la ejecución y D</w:t>
      </w:r>
      <w:r>
        <w:rPr>
          <w:rFonts w:ascii="Times New Roman" w:hAnsi="Times New Roman"/>
          <w:color w:val="000000"/>
          <w:sz w:val="24"/>
        </w:rPr>
        <w:t xml:space="preserve">ocker Compose reproduce el servicio web local. Aún deben fijarse la versión de Python para todos los experimentos y un archivo inmutable de la versión publicada para facilitar la réplica exacta. En TA-01 no se procesaron datos personales ni confidenciales.</w:t>
      </w:r>
      <w:r/>
    </w:p>
    <w:p>
      <w:pPr>
        <w:pStyle w:val="890"/>
        <w:keepNext w:val="true"/>
        <w:widowControl w:val="true"/>
        <w:pBdr/>
        <w:spacing w:after="80" w:line="480" w:lineRule="auto"/>
        <w:ind/>
        <w:rPr/>
      </w:pPr>
      <w:r>
        <w:rPr>
          <w:rFonts w:ascii="Times New Roman" w:hAnsi="Times New Roman"/>
          <w:color w:val="000000"/>
          <w:sz w:val="24"/>
        </w:rPr>
        <w:t xml:space="preserve">Declaraciones</w:t>
      </w:r>
      <w:r>
        <w:rPr>
          <w:rFonts w:ascii="Times New Roman" w:hAnsi="Times New Roman"/>
          <w:color w:val="000000"/>
          <w:sz w:val="24"/>
        </w:rPr>
      </w:r>
      <w:r/>
    </w:p>
    <w:p>
      <w:pPr>
        <w:widowControl w:val="true"/>
        <w:pBdr/>
        <w:spacing w:after="80" w:line="480" w:lineRule="auto"/>
        <w:ind w:firstLine="283"/>
        <w:jc w:val="both"/>
        <w:rPr/>
      </w:pPr>
      <w:r>
        <w:t xml:space="preserve">Ética. El estudio utiliza precipitación pública y datos geotécnicos simulados; no involucra participantes humanos, animales ni información personal.</w:t>
      </w:r>
      <w:r/>
    </w:p>
    <w:p>
      <w:pPr>
        <w:keepLines w:val="true"/>
        <w:widowControl w:val="true"/>
        <w:pBdr/>
        <w:spacing w:after="80" w:line="480" w:lineRule="auto"/>
        <w:ind w:firstLine="283"/>
        <w:jc w:val="both"/>
        <w:rPr/>
      </w:pPr>
      <w:r>
        <w:rPr>
          <w:rFonts w:ascii="Times New Roman" w:hAnsi="Times New Roman"/>
          <w:b/>
          <w:color w:val="000000"/>
          <w:sz w:val="24"/>
        </w:rPr>
        <w:t xml:space="preserve">Financiación.</w:t>
      </w:r>
      <w:r>
        <w:rPr>
          <w:rFonts w:ascii="Times New Roman" w:hAnsi="Times New Roman"/>
          <w:color w:val="000000"/>
          <w:sz w:val="24"/>
        </w:rPr>
        <w:t xml:space="preserve"> Este estudio no recibió financiación, becas ni apoyo institucional específico.</w:t>
      </w:r>
      <w:r>
        <w:rPr>
          <w:rFonts w:ascii="Times New Roman" w:hAnsi="Times New Roman"/>
          <w:color w:val="000000"/>
          <w:sz w:val="24"/>
        </w:rPr>
      </w:r>
      <w:r/>
    </w:p>
    <w:p>
      <w:pPr>
        <w:keepLines w:val="true"/>
        <w:widowControl w:val="true"/>
        <w:pBdr/>
        <w:spacing w:after="80" w:line="480" w:lineRule="auto"/>
        <w:ind w:firstLine="283"/>
        <w:jc w:val="both"/>
        <w:rPr/>
      </w:pPr>
      <w:r>
        <w:rPr>
          <w:rFonts w:ascii="Times New Roman" w:hAnsi="Times New Roman"/>
          <w:b/>
          <w:color w:val="000000"/>
          <w:sz w:val="24"/>
        </w:rPr>
        <w:t xml:space="preserve">Conflictos de interés.</w:t>
      </w:r>
      <w:r>
        <w:rPr>
          <w:rFonts w:ascii="Times New Roman" w:hAnsi="Times New Roman"/>
          <w:color w:val="000000"/>
          <w:sz w:val="24"/>
        </w:rPr>
        <w:t xml:space="preserve"> Ambos autores declaran no tener conflictos de interés relacionados con este trabajo.</w:t>
      </w:r>
      <w:r>
        <w:rPr>
          <w:rFonts w:ascii="Times New Roman" w:hAnsi="Times New Roman"/>
          <w:color w:val="000000"/>
          <w:sz w:val="24"/>
        </w:rPr>
      </w:r>
      <w:r/>
    </w:p>
    <w:p>
      <w:pPr>
        <w:keepLines w:val="true"/>
        <w:widowControl w:val="true"/>
        <w:pBdr/>
        <w:spacing w:after="80" w:line="480" w:lineRule="auto"/>
        <w:ind w:firstLine="283"/>
        <w:jc w:val="both"/>
        <w:rPr/>
      </w:pPr>
      <w:r>
        <w:t xml:space="preserve">Uso de inteligencia artificial generativa. OpenAI Codex asistió en el cotejo de esta versión con el código y los artefactos de sslope, así como en la revisión</w:t>
      </w:r>
      <w:r>
        <w:t xml:space="preserve"> de redacción y formato. Los datos geotécnicos provienen del simulador y los modelos se entrenan mediante los scripts documentados. Los autores son responsables de verificar y aprobar las cifras, el método, las referencias y el texto final antes del envío.</w:t>
      </w:r>
      <w:r/>
    </w:p>
    <w:p>
      <w:pPr>
        <w:widowControl w:val="true"/>
        <w:pBdr/>
        <w:spacing w:after="80" w:line="480" w:lineRule="auto"/>
        <w:ind w:firstLine="283"/>
        <w:jc w:val="both"/>
        <w:rPr/>
      </w:pPr>
      <w:r>
        <w:rPr>
          <w:rFonts w:ascii="Times New Roman" w:hAnsi="Times New Roman"/>
          <w:b/>
          <w:color w:val="000000"/>
          <w:sz w:val="24"/>
        </w:rPr>
        <w:t xml:space="preserve">Uso responsable. </w:t>
      </w:r>
      <w:r>
        <w:rPr>
          <w:rFonts w:ascii="Times New Roman" w:hAnsi="Times New Roman"/>
          <w:color w:val="000000"/>
          <w:sz w:val="24"/>
        </w:rPr>
        <w:t xml:space="preserve">El prototipo se limita a investigación y no está autorizado para decisiones de seguridad, evacuación o producción sin validación independiente y supervisión profesional.</w:t>
      </w:r>
      <w:r>
        <w:rPr>
          <w:rFonts w:ascii="Times New Roman" w:hAnsi="Times New Roman"/>
          <w:color w:val="000000"/>
          <w:sz w:val="24"/>
        </w:rPr>
      </w:r>
      <w:r/>
    </w:p>
    <w:p w14:paraId="000001B3">
      <w:pPr>
        <w:pStyle w:val="890"/>
        <w:keepNext w:val="true"/>
        <w:pageBreakBefore w:val="true"/>
        <w:widowControl w:val="true"/>
        <w:pBdr/>
        <w:spacing w:after="80" w:before="160" w:line="480" w:lineRule="auto"/>
        <w:ind/>
        <w:jc w:val="center"/>
        <w:rPr>
          <w:rFonts w:ascii="Times New Roman" w:hAnsi="Times New Roman" w:eastAsia="Times New Roman" w:cs="Times New Roman"/>
          <w:b/>
          <w:bCs/>
          <w:sz w:val="24"/>
          <w:szCs w:val="24"/>
        </w:rPr>
      </w:pPr>
      <w:r>
        <w:rPr>
          <w:rFonts w:ascii="Times New Roman" w:hAnsi="Times New Roman"/>
          <w:b w:val="0"/>
          <w:i w:val="0"/>
          <w:color w:val="000000"/>
          <w:sz w:val="24"/>
        </w:rPr>
        <w:t xml:space="preserve">Referencias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00001B4">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Anchiraico Alderete, J. K., Orellana Mendoza, E. E., Ayre Balbin, V., &amp; Toykin Mucha, C. R. (2026). </w:t>
      </w:r>
      <w:r>
        <w:rPr>
          <w:rFonts w:ascii="Times New Roman" w:hAnsi="Times New Roman" w:eastAsia="Times New Roman" w:cs="Times New Roman"/>
          <w:i/>
          <w:iCs/>
          <w:color w:val="000000"/>
          <w:sz w:val="24"/>
          <w:szCs w:val="24"/>
          <w:rtl w:val="0"/>
        </w:rPr>
        <w:t xml:space="preserve">Tecnologías de la información aplicadas a la simulación probabilística de estabilidad geotécnica mediante Python</w:t>
      </w:r>
      <w:r>
        <w:rPr>
          <w:rFonts w:ascii="Times New Roman" w:hAnsi="Times New Roman" w:eastAsia="Times New Roman" w:cs="Times New Roman"/>
          <w:color w:val="000000"/>
          <w:sz w:val="24"/>
          <w:szCs w:val="24"/>
          <w:rtl w:val="0"/>
        </w:rPr>
        <w:t xml:space="preserve">. Zenodo. https://doi.org/10.5281/zenodo.21273130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5">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Arias-Valencia, D. C., &amp; Aristizábal-Arias, J. A. (2024). Análisis probabilístico de estabilidad de taludes con falla planar en la Comuna Universitaria de la ciudad de Manizales (Colombia). </w:t>
      </w:r>
      <w:r>
        <w:rPr>
          <w:rFonts w:ascii="Times New Roman" w:hAnsi="Times New Roman" w:eastAsia="Times New Roman" w:cs="Times New Roman"/>
          <w:i/>
          <w:iCs/>
          <w:color w:val="000000"/>
          <w:sz w:val="24"/>
          <w:szCs w:val="24"/>
          <w:rtl w:val="0"/>
        </w:rPr>
        <w:t xml:space="preserve">Información Tecnológica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35</w:t>
      </w:r>
      <w:r>
        <w:rPr>
          <w:rFonts w:ascii="Times New Roman" w:hAnsi="Times New Roman" w:eastAsia="Times New Roman" w:cs="Times New Roman"/>
          <w:color w:val="000000"/>
          <w:sz w:val="24"/>
          <w:szCs w:val="24"/>
          <w:rtl w:val="0"/>
        </w:rPr>
        <w:t xml:space="preserve">(3), 1–10. https://doi.org/10.4067/S0718-07642024000300001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6">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Avellán, E., Carrera, J., &amp; Sánchez, D. (2023). Análisis tenso-deformacional del talud ubicado en la Avenida Mariscal Sucre, sector La Comuna. </w:t>
      </w:r>
      <w:r>
        <w:rPr>
          <w:rFonts w:ascii="Times New Roman" w:hAnsi="Times New Roman" w:eastAsia="Times New Roman" w:cs="Times New Roman"/>
          <w:i/>
          <w:iCs/>
          <w:color w:val="000000"/>
          <w:sz w:val="24"/>
          <w:szCs w:val="24"/>
          <w:rtl w:val="0"/>
        </w:rPr>
        <w:t xml:space="preserve">Green World Journal</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(3). https://doi.org/10.53313/gwj62090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7">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Blas Cano, J. W., &amp; Milla Vergara, E. A. (2023). Caracterización geotécnica para determinar el modelo de estabilización del talud a escala reducida.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(51), e24403. https://doi.org/10.15381/iigeo.v26i51.24403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8">
      <w:pPr>
        <w:keepLines w:val="true"/>
        <w:widowControl w:val="true"/>
        <w:pBdr/>
        <w:spacing w:after="80" w:line="480" w:lineRule="auto"/>
        <w:ind w:hanging="425" w:left="425"/>
        <w:rPr>
          <w:rFonts w:ascii="Times New Roman" w:hAnsi="Times New Roman" w:eastAsia="Times New Roman" w:cs="Times New Roman"/>
          <w:sz w:val="24"/>
          <w:szCs w:val="24"/>
        </w:rPr>
      </w:pPr>
      <w:r>
        <w:t xml:space="preserve">Briceño, J., Guillén, M., Belandria, N., &amp; León, F. (2023). Análisis de estabilidad de taludes de secciones típicas en la construcción de carreteras a través de modelos numéricos. Tekhné, 26(3), 62–72. https://doi.org/10.62876/tekhn.v26i3.6137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9">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Briceño Balza, J. E., Belandria Rodriguez, N. T., &amp; León Oviedo, F. M. (2022). Ubicación y profundidad de la grieta de tracción en taludes con el empleo de modelos numéricos. </w:t>
      </w:r>
      <w:r>
        <w:rPr>
          <w:rFonts w:ascii="Times New Roman" w:hAnsi="Times New Roman" w:eastAsia="Times New Roman" w:cs="Times New Roman"/>
          <w:i/>
          <w:iCs/>
          <w:color w:val="000000"/>
          <w:sz w:val="24"/>
          <w:szCs w:val="24"/>
          <w:rtl w:val="0"/>
        </w:rPr>
        <w:t xml:space="preserve">Revista Técnica de la Facultad de Ingeniería Universidad del Zulia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45</w:t>
      </w:r>
      <w:r>
        <w:rPr>
          <w:rFonts w:ascii="Times New Roman" w:hAnsi="Times New Roman" w:eastAsia="Times New Roman" w:cs="Times New Roman"/>
          <w:color w:val="000000"/>
          <w:sz w:val="24"/>
          <w:szCs w:val="24"/>
          <w:rtl w:val="0"/>
        </w:rPr>
        <w:t xml:space="preserve">(2), 111–121. https://doi.org/10.22209/rt.v45n2a04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A">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Bustillos Cotrado, J. A. (2024). Análisis bidimensional de estabilidad del talud en una zona de falla geológica en Chinchao, Huánuco, Perú. </w:t>
      </w:r>
      <w:r>
        <w:rPr>
          <w:rFonts w:ascii="Times New Roman" w:hAnsi="Times New Roman" w:eastAsia="Times New Roman" w:cs="Times New Roman"/>
          <w:i/>
          <w:iCs/>
          <w:color w:val="000000"/>
          <w:sz w:val="24"/>
          <w:szCs w:val="24"/>
          <w:rtl w:val="0"/>
        </w:rPr>
        <w:t xml:space="preserve">Revista Peruana de Ingeniería, Arquitectura y Medio Ambiente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w:t>
      </w:r>
      <w:r>
        <w:rPr>
          <w:rFonts w:ascii="Times New Roman" w:hAnsi="Times New Roman" w:eastAsia="Times New Roman" w:cs="Times New Roman"/>
          <w:color w:val="000000"/>
          <w:sz w:val="24"/>
          <w:szCs w:val="24"/>
          <w:rtl w:val="0"/>
        </w:rPr>
        <w:t xml:space="preserve">(1), 9–17. https://doi.org/10.37711/repiama.2024.1.1.2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B">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Caballero, C., Castillo, P., Castrellón, J., &amp; Rodríguez, S. (2023). Análisis geomecánico mediante modelo de estabilidad de laderas en la zona de Bambito (Chiriquí). </w:t>
      </w:r>
      <w:r>
        <w:rPr>
          <w:rFonts w:ascii="Times New Roman" w:hAnsi="Times New Roman" w:eastAsia="Times New Roman" w:cs="Times New Roman"/>
          <w:i/>
          <w:iCs/>
          <w:color w:val="000000"/>
          <w:sz w:val="24"/>
          <w:szCs w:val="24"/>
          <w:rtl w:val="0"/>
        </w:rPr>
        <w:t xml:space="preserve">Revista de Iniciación Científica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(2), 91–97. https://doi.org/10.33412/rev-ric.v9.2.3846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C">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Campos, F., Mora, R., Sequeira, J., &amp; Garnier, M. (2022). Aplicación de análisis de admisibilidad cinemática y equilibrio límite para optimizar la geometría de explotación de una cantera en el cantón de León Cortes, San José, Costa Rica. </w:t>
      </w:r>
      <w:r>
        <w:rPr>
          <w:rFonts w:ascii="Times New Roman" w:hAnsi="Times New Roman" w:eastAsia="Times New Roman" w:cs="Times New Roman"/>
          <w:i/>
          <w:iCs/>
          <w:color w:val="000000"/>
          <w:sz w:val="24"/>
          <w:szCs w:val="24"/>
          <w:rtl w:val="0"/>
        </w:rPr>
        <w:t xml:space="preserve">Revista Geológica de América Central</w:t>
      </w:r>
      <w:r>
        <w:rPr>
          <w:rFonts w:ascii="Times New Roman" w:hAnsi="Times New Roman" w:eastAsia="Times New Roman" w:cs="Times New Roman"/>
          <w:color w:val="000000"/>
          <w:sz w:val="24"/>
          <w:szCs w:val="24"/>
          <w:rtl w:val="0"/>
        </w:rPr>
        <w:t xml:space="preserve">, (66), 1–25. https://doi.org/10.15517/rgac.v66i0.49786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D">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Catari Colque, P. P</w:t>
      </w:r>
      <w:r>
        <w:rPr>
          <w:rFonts w:ascii="Times New Roman" w:hAnsi="Times New Roman" w:eastAsia="Times New Roman" w:cs="Times New Roman"/>
          <w:color w:val="000000"/>
          <w:sz w:val="24"/>
          <w:szCs w:val="24"/>
          <w:rtl w:val="0"/>
        </w:rPr>
        <w:t xml:space="preserve">., Barriga Paria, C. J., Villanueva Ari, C. R., Gomez Velasquez, J. M., Alvarado Ramirez, H. L., Melgar Raymundo, D. R., &amp; Chirinos Quintanilla, E. A. (2025). Optimización del diseño de talud en minería superficial mediante el método de elementos finitos. </w:t>
      </w:r>
      <w:r>
        <w:rPr>
          <w:rFonts w:ascii="Times New Roman" w:hAnsi="Times New Roman" w:eastAsia="Times New Roman" w:cs="Times New Roman"/>
          <w:i/>
          <w:iCs/>
          <w:color w:val="000000"/>
          <w:sz w:val="24"/>
          <w:szCs w:val="24"/>
          <w:rtl w:val="0"/>
        </w:rPr>
        <w:t xml:space="preserve">Novasinergia Revista Digital de Ciencia, Ingeniería y Tecnología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33–51. https://doi.org/10.37135/ns.01.15.09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E">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Chilon Chilon, R. (2025). Análisis de relaves filtrados para la estabilización física en la conformación de una presa. </w:t>
      </w:r>
      <w:r>
        <w:rPr>
          <w:rFonts w:ascii="Times New Roman" w:hAnsi="Times New Roman" w:eastAsia="Times New Roman" w:cs="Times New Roman"/>
          <w:i/>
          <w:iCs/>
          <w:color w:val="000000"/>
          <w:sz w:val="24"/>
          <w:szCs w:val="24"/>
          <w:rtl w:val="0"/>
        </w:rPr>
        <w:t xml:space="preserve">Aporte Santiaguino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w:t>
      </w:r>
      <w:r>
        <w:rPr>
          <w:rFonts w:ascii="Times New Roman" w:hAnsi="Times New Roman" w:eastAsia="Times New Roman" w:cs="Times New Roman"/>
          <w:color w:val="000000"/>
          <w:sz w:val="24"/>
          <w:szCs w:val="24"/>
          <w:rtl w:val="0"/>
        </w:rPr>
        <w:t xml:space="preserve">(2), 157–168. https://doi.org/10.32911/as.2025.v18.n2.1232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BF">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Cusme Intriago, R. R., Herrera Martínez, Y. A., Lagla Guishcasho, A. E., &amp; Cruz Aguinda, E. A. (2026). Análisis de estabilidad de taludes para el reservorio de la comunidad de Maca Atapulo. </w:t>
      </w:r>
      <w:r>
        <w:rPr>
          <w:rFonts w:ascii="Times New Roman" w:hAnsi="Times New Roman" w:eastAsia="Times New Roman" w:cs="Times New Roman"/>
          <w:i/>
          <w:iCs/>
          <w:color w:val="000000"/>
          <w:sz w:val="24"/>
          <w:szCs w:val="24"/>
          <w:rtl w:val="0"/>
        </w:rPr>
        <w:t xml:space="preserve">RECIAMUC</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10</w:t>
      </w:r>
      <w:r>
        <w:rPr>
          <w:rFonts w:ascii="Times New Roman" w:hAnsi="Times New Roman" w:eastAsia="Times New Roman" w:cs="Times New Roman"/>
          <w:color w:val="000000"/>
          <w:sz w:val="24"/>
          <w:szCs w:val="24"/>
          <w:rtl w:val="0"/>
        </w:rPr>
        <w:t xml:space="preserve">(1 especial), 189–197. https://doi.org/10.26820/reciamuc/10.(1).especial.2026.189-197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0">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Dahal, A., &amp; Lombardo, L. (2025). Towards physics-informed neural networks for landslide prediction.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344</w:t>
      </w:r>
      <w:r>
        <w:rPr>
          <w:rFonts w:ascii="Times New Roman" w:hAnsi="Times New Roman" w:eastAsia="Times New Roman" w:cs="Times New Roman"/>
          <w:color w:val="000000"/>
          <w:sz w:val="24"/>
          <w:szCs w:val="24"/>
          <w:rtl w:val="0"/>
        </w:rPr>
        <w:t xml:space="preserve">, 107852. https://doi.org/10.1016/j.enggeo.2024.107852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1">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Dong, X., Li, S., Ma, R., Tian, W., Zhao, K., Xiang, H., Zhu, J., &amp; Qiu, Y. (2025). Cloud-based slope risk monitoring and early warning system for open-pit coal mines: A case study of Zhonglian Runshi.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44396. https://doi.org/10.1038/s41598-025-28190-4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2">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Du, K., Li, S., &amp; Li, C. (2026). An integrated simulation–AI framework for fast stability evaluation and risk-control-oriented design of open-pit mine slopes.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4932. https://doi.org/10.3390/app16104932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hanging="425" w:left="425"/>
        <w:rPr/>
      </w:pPr>
      <w:r>
        <w:rPr>
          <w:rFonts w:ascii="Times New Roman" w:hAnsi="Times New Roman"/>
          <w:i w:val="0"/>
          <w:sz w:val="24"/>
        </w:rPr>
        <w:t xml:space="preserve">Field, C. A., &amp; Welsh, A. H. (2007). Bootstrapping clustered data. </w:t>
      </w:r>
      <w:r>
        <w:rPr>
          <w:rFonts w:ascii="Times New Roman" w:hAnsi="Times New Roman"/>
          <w:i/>
          <w:sz w:val="24"/>
        </w:rPr>
        <w:t xml:space="preserve">Journal of the Royal Statistical Society: Series B (Statistical Methodology), 69</w:t>
      </w:r>
      <w:r>
        <w:rPr>
          <w:rFonts w:ascii="Times New Roman" w:hAnsi="Times New Roman"/>
          <w:i w:val="0"/>
          <w:sz w:val="24"/>
        </w:rPr>
        <w:t xml:space="preserve">(3), 369–390. https://doi.org/10.1111/j.1467-9868.2007.00593.x</w:t>
      </w:r>
      <w:r/>
    </w:p>
    <w:p w14:paraId="000001C3">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González Serrano, D. H. (2025). Metodología aplicada al análisis geotécnico y evaluación de la estabilidad de taludes mediante SIG en entornos mineros. </w:t>
      </w:r>
      <w:r>
        <w:rPr>
          <w:rFonts w:ascii="Times New Roman" w:hAnsi="Times New Roman" w:eastAsia="Times New Roman" w:cs="Times New Roman"/>
          <w:i/>
          <w:iCs/>
          <w:color w:val="000000"/>
          <w:sz w:val="24"/>
          <w:szCs w:val="24"/>
          <w:rtl w:val="0"/>
        </w:rPr>
        <w:t xml:space="preserve">Revista Científica de Salud y Desarrollo Humano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(4), 797–829. https://doi.org/10.61368/r.s.d.h.v6i4.907</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4">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Guan, Z., &amp; Wang, Y. (2024). Fusion of three-dimensional geotechnical and geophysical data for developing digital twin of underground space. </w:t>
      </w:r>
      <w:r>
        <w:rPr>
          <w:rFonts w:ascii="Times New Roman" w:hAnsi="Times New Roman" w:eastAsia="Times New Roman" w:cs="Times New Roman"/>
          <w:i/>
          <w:iCs/>
          <w:color w:val="000000"/>
          <w:sz w:val="24"/>
          <w:szCs w:val="24"/>
          <w:rtl w:val="0"/>
        </w:rPr>
        <w:t xml:space="preserve">Soils and Foundations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64</w:t>
      </w:r>
      <w:r>
        <w:rPr>
          <w:rFonts w:ascii="Times New Roman" w:hAnsi="Times New Roman" w:eastAsia="Times New Roman" w:cs="Times New Roman"/>
          <w:color w:val="000000"/>
          <w:sz w:val="24"/>
          <w:szCs w:val="24"/>
          <w:rtl w:val="0"/>
        </w:rPr>
        <w:t xml:space="preserve">(6), 101528. https://doi.org/10.1016/j.sandf.2024.101528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5">
      <w:pPr>
        <w:keepLines w:val="true"/>
        <w:widowControl w:val="true"/>
        <w:pBdr/>
        <w:spacing w:after="80" w:line="480" w:lineRule="auto"/>
        <w:ind w:hanging="425" w:left="425"/>
        <w:rPr>
          <w:rFonts w:ascii="Times New Roman" w:hAnsi="Times New Roman" w:eastAsia="Times New Roman" w:cs="Times New Roman"/>
          <w:sz w:val="24"/>
          <w:szCs w:val="24"/>
        </w:rPr>
      </w:pPr>
      <w:r>
        <w:t xml:space="preserve">Góme</w:t>
      </w:r>
      <w:r>
        <w:t xml:space="preserve">z Intriago, E. C., Guevara Sánchez, D. F., &amp; Ortiz Hernández, E. (2024). Diseño de estabilidad de talud del sector de la Simbocal, vía Margarita-San Vicente, provincia de Manabí. Polo del Conocimiento, 9(3), 1905–1917. https://doi.org/10.23857/pc.v9i3.6761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6">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Hamzaban, M.-T., Kanoundoust, S., &amp; Geraili Mikola, R. (2026). Evaluating 2D and 3D slope stability in a complex open-pit mine: A CAD-based numerical study.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 28126. https://doi.org/10.1038/s41598-026-58822-2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hanging="425" w:left="425"/>
        <w:rPr/>
      </w:pPr>
      <w:r>
        <w:rPr>
          <w:rFonts w:ascii="Times New Roman" w:hAnsi="Times New Roman"/>
          <w:i w:val="0"/>
          <w:sz w:val="24"/>
        </w:rPr>
        <w:t xml:space="preserve">Hochreiter, S., &amp; Schmidhuber, J. (1997). Long short-term memory. </w:t>
      </w:r>
      <w:r>
        <w:rPr>
          <w:rFonts w:ascii="Times New Roman" w:hAnsi="Times New Roman"/>
          <w:i/>
          <w:sz w:val="24"/>
        </w:rPr>
        <w:t xml:space="preserve">Neural Computation, 9</w:t>
      </w:r>
      <w:r>
        <w:rPr>
          <w:rFonts w:ascii="Times New Roman" w:hAnsi="Times New Roman"/>
          <w:i w:val="0"/>
          <w:sz w:val="24"/>
        </w:rPr>
        <w:t xml:space="preserve">(8), 1735–1780. https://doi.org/10.1162/neco.1997.9.8.1735</w:t>
      </w:r>
      <w:r/>
    </w:p>
    <w:p>
      <w:pPr>
        <w:widowControl w:val="true"/>
        <w:pBdr/>
        <w:spacing w:after="80" w:line="480" w:lineRule="auto"/>
        <w:ind w:hanging="425" w:left="425"/>
        <w:rPr/>
      </w:pPr>
      <w:r>
        <w:rPr>
          <w:rFonts w:ascii="Times New Roman" w:hAnsi="Times New Roman"/>
          <w:i w:val="0"/>
          <w:sz w:val="24"/>
        </w:rPr>
        <w:t xml:space="preserve">Karniadakis, G. E., Kevrekidis, I. G., Lu, L., Perdikaris, P., Wang, S., &amp; Yang, L. (2021). Physics-informed machine learning. </w:t>
      </w:r>
      <w:r>
        <w:rPr>
          <w:rFonts w:ascii="Times New Roman" w:hAnsi="Times New Roman"/>
          <w:i/>
          <w:sz w:val="24"/>
        </w:rPr>
        <w:t xml:space="preserve">Nature Reviews Physics, 3</w:t>
      </w:r>
      <w:r>
        <w:rPr>
          <w:rFonts w:ascii="Times New Roman" w:hAnsi="Times New Roman"/>
          <w:i w:val="0"/>
          <w:sz w:val="24"/>
        </w:rPr>
        <w:t xml:space="preserve">, 422–440. https://doi.org/10.1038/s42254-021-00314-5</w:t>
      </w:r>
      <w:r/>
    </w:p>
    <w:p>
      <w:pPr>
        <w:widowControl w:val="true"/>
        <w:pBdr/>
        <w:spacing w:after="80" w:line="480" w:lineRule="auto"/>
        <w:ind w:hanging="425" w:left="425"/>
        <w:rPr/>
      </w:pPr>
      <w:r>
        <w:rPr>
          <w:rFonts w:ascii="Times New Roman" w:hAnsi="Times New Roman"/>
          <w:i w:val="0"/>
          <w:sz w:val="24"/>
        </w:rPr>
        <w:t xml:space="preserve">Kingma, D. P., &amp; Ba, J. (2015). </w:t>
      </w:r>
      <w:r>
        <w:rPr>
          <w:rFonts w:ascii="Times New Roman" w:hAnsi="Times New Roman"/>
          <w:i/>
          <w:sz w:val="24"/>
        </w:rPr>
        <w:t xml:space="preserve">Adam: A method for stochastic optimization.</w:t>
      </w:r>
      <w:r>
        <w:rPr>
          <w:rFonts w:ascii="Times New Roman" w:hAnsi="Times New Roman"/>
          <w:i w:val="0"/>
          <w:sz w:val="24"/>
        </w:rPr>
        <w:t xml:space="preserve"> International Conference on Learning Representations. https://arxiv.org/abs/1412.6980</w:t>
      </w:r>
      <w:r/>
    </w:p>
    <w:p w14:paraId="000001C7">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X., Wang, Y., Koo, R. C. H., &amp; Kwan, J. S. H. (2022). Development of a slope digital twin for predicting temporal variation of rainfall-induced slope instability using past slope performance records and monitoring data.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308</w:t>
      </w:r>
      <w:r>
        <w:rPr>
          <w:rFonts w:ascii="Times New Roman" w:hAnsi="Times New Roman" w:eastAsia="Times New Roman" w:cs="Times New Roman"/>
          <w:color w:val="000000"/>
          <w:sz w:val="24"/>
          <w:szCs w:val="24"/>
          <w:rtl w:val="0"/>
        </w:rPr>
        <w:t xml:space="preserve">, 106825. https://doi.org/10.1016/j.enggeo.2022.106825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8">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Y., &amp; Jia, C. (2026). Integrating deep neural network with elastoplastic analysis: A hybrid approach for slope stability analysis. </w:t>
      </w:r>
      <w:r>
        <w:rPr>
          <w:rFonts w:ascii="Times New Roman" w:hAnsi="Times New Roman" w:eastAsia="Times New Roman" w:cs="Times New Roman"/>
          <w:i/>
          <w:iCs/>
          <w:color w:val="000000"/>
          <w:sz w:val="24"/>
          <w:szCs w:val="24"/>
          <w:rtl w:val="0"/>
        </w:rPr>
        <w:t xml:space="preserve">Environmental Earth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85</w:t>
      </w:r>
      <w:r>
        <w:rPr>
          <w:rFonts w:ascii="Times New Roman" w:hAnsi="Times New Roman" w:eastAsia="Times New Roman" w:cs="Times New Roman"/>
          <w:color w:val="000000"/>
          <w:sz w:val="24"/>
          <w:szCs w:val="24"/>
          <w:rtl w:val="0"/>
        </w:rPr>
        <w:t xml:space="preserve">(14), 368. https://doi.org/10.1007/s12665-026-13107-9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9">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Lyu, J., Hu, T., Liu, G., Cao, B., Wang, W., &amp; Li, S. (2024). Stability evaluation of open-pit mine slope based on Bayesian optimization 1D-CNN.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13995. https://doi.org/10.1038/s41598-024-64663-8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A">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Montúfar Chiriboga, G. J. (2025). Estudio de la estabilidad de taludes en Panamá bajo diferentes condiciones de carga utilizando elementos finitos. </w:t>
      </w:r>
      <w:r>
        <w:rPr>
          <w:rFonts w:ascii="Times New Roman" w:hAnsi="Times New Roman" w:eastAsia="Times New Roman" w:cs="Times New Roman"/>
          <w:i/>
          <w:iCs/>
          <w:color w:val="000000"/>
          <w:sz w:val="24"/>
          <w:szCs w:val="24"/>
          <w:rtl w:val="0"/>
        </w:rPr>
        <w:t xml:space="preserve">Revista Saberes APUDEP</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40–54. https://doi.org/10.48204/j.saberes.v8n1.a6780</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B">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Nanda, S., &amp; Patel, S. (2026). Evaluating LEM, FEM, and DFN approaches for rock slope stability across GSI ranges for open-pit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Publicación anticipada en línea. https://doi.org/10.1038/s41598-026-62662-5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C">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National Aeronautics and Space Administration. (s. f.). </w:t>
      </w:r>
      <w:r>
        <w:rPr>
          <w:rFonts w:ascii="Times New Roman" w:hAnsi="Times New Roman" w:eastAsia="Times New Roman" w:cs="Times New Roman"/>
          <w:i/>
          <w:iCs/>
          <w:color w:val="000000"/>
          <w:sz w:val="24"/>
          <w:szCs w:val="24"/>
          <w:rtl w:val="0"/>
        </w:rPr>
        <w:t xml:space="preserve">Prediction Of Worldwide Energy Resources (POWER)</w:t>
      </w:r>
      <w:r>
        <w:rPr>
          <w:rFonts w:ascii="Times New Roman" w:hAnsi="Times New Roman" w:eastAsia="Times New Roman" w:cs="Times New Roman"/>
          <w:color w:val="000000"/>
          <w:sz w:val="24"/>
          <w:szCs w:val="24"/>
          <w:rtl w:val="0"/>
        </w:rPr>
        <w:t xml:space="preserve"> [Conjunto de datos]. Recuperado el 22 de septiembre de 2026, de https://power.larc.nasa.gov/</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D">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Oliva González, A. O., Berumen Rodríguez, M. A., &amp; Mascareño Jiménez, D. (2023). Procedimiento práctico para evaluar la estabilidad y probabilidad de falla de taludes de corte en el área urbana de Tijuana, México. </w:t>
      </w:r>
      <w:r>
        <w:rPr>
          <w:rFonts w:ascii="Times New Roman" w:hAnsi="Times New Roman" w:eastAsia="Times New Roman" w:cs="Times New Roman"/>
          <w:i/>
          <w:iCs/>
          <w:color w:val="000000"/>
          <w:sz w:val="24"/>
          <w:szCs w:val="24"/>
          <w:rtl w:val="0"/>
        </w:rPr>
        <w:t xml:space="preserve">Revista Ingenio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20</w:t>
      </w:r>
      <w:r>
        <w:rPr>
          <w:rFonts w:ascii="Times New Roman" w:hAnsi="Times New Roman" w:eastAsia="Times New Roman" w:cs="Times New Roman"/>
          <w:color w:val="000000"/>
          <w:sz w:val="24"/>
          <w:szCs w:val="24"/>
          <w:rtl w:val="0"/>
        </w:rPr>
        <w:t xml:space="preserve">(1), 16–23. https://doi.org/10.22463/2011642X.3364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E">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Pei, T., Qiu, T., &amp; Shen, C. (2023). Applying knowledge-guided machine learning to slope stability prediction. </w:t>
      </w:r>
      <w:r>
        <w:rPr>
          <w:rFonts w:ascii="Times New Roman" w:hAnsi="Times New Roman" w:eastAsia="Times New Roman" w:cs="Times New Roman"/>
          <w:i/>
          <w:iCs/>
          <w:color w:val="000000"/>
          <w:sz w:val="24"/>
          <w:szCs w:val="24"/>
          <w:rtl w:val="0"/>
        </w:rPr>
        <w:t xml:space="preserve">Journal of Geotechnical and Geoenvironmental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149</w:t>
      </w:r>
      <w:r>
        <w:rPr>
          <w:rFonts w:ascii="Times New Roman" w:hAnsi="Times New Roman" w:eastAsia="Times New Roman" w:cs="Times New Roman"/>
          <w:color w:val="000000"/>
          <w:sz w:val="24"/>
          <w:szCs w:val="24"/>
          <w:rtl w:val="0"/>
        </w:rPr>
        <w:t xml:space="preserve">(10), 04023089. https://doi.org/10.1061/JGGEFK.GTENG-11053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CF">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Peña Anampa, I. V., Vera Teves, R. M., Vasquez Ramirez, A. A., &amp; Gálvez Quintana, M. A. (2023). Evaluación del peligro por inestabilidad de taludes en la ruta PE-3S, Abancay. </w:t>
      </w:r>
      <w:r>
        <w:rPr>
          <w:rFonts w:ascii="Times New Roman" w:hAnsi="Times New Roman" w:eastAsia="Times New Roman" w:cs="Times New Roman"/>
          <w:i/>
          <w:iCs/>
          <w:color w:val="000000"/>
          <w:sz w:val="24"/>
          <w:szCs w:val="24"/>
          <w:rtl w:val="0"/>
        </w:rPr>
        <w:t xml:space="preserve">Hatun Yachay Wasi</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w:t>
      </w:r>
      <w:r>
        <w:rPr>
          <w:rFonts w:ascii="Times New Roman" w:hAnsi="Times New Roman" w:eastAsia="Times New Roman" w:cs="Times New Roman"/>
          <w:color w:val="000000"/>
          <w:sz w:val="24"/>
          <w:szCs w:val="24"/>
          <w:rtl w:val="0"/>
        </w:rPr>
        <w:t xml:space="preserve">(2), 40–51. https://doi.org/10.57107/hyw.v2i2.45</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0">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Piciullo, L., Abraham, M. T., Drøsdal, I. N., &amp; Paulsen, E. S. (2025). An operational IoT-based slope stability forecast using a digital twin. </w:t>
      </w:r>
      <w:r>
        <w:rPr>
          <w:rFonts w:ascii="Times New Roman" w:hAnsi="Times New Roman" w:eastAsia="Times New Roman" w:cs="Times New Roman"/>
          <w:i/>
          <w:iCs/>
          <w:color w:val="000000"/>
          <w:sz w:val="24"/>
          <w:szCs w:val="24"/>
          <w:rtl w:val="0"/>
        </w:rPr>
        <w:t xml:space="preserve">Environmental Modelling &amp; Software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183</w:t>
      </w:r>
      <w:r>
        <w:rPr>
          <w:rFonts w:ascii="Times New Roman" w:hAnsi="Times New Roman" w:eastAsia="Times New Roman" w:cs="Times New Roman"/>
          <w:color w:val="000000"/>
          <w:sz w:val="24"/>
          <w:szCs w:val="24"/>
          <w:rtl w:val="0"/>
        </w:rPr>
        <w:t xml:space="preserve">, 106228. https://doi.org/10.1016/j.envsoft.2024.106228</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1">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Ragam, P., Kushal Kumar, N., Ajith, J. E., Karthik, G., Himanshu, V. K., Sree Machupalli, D., &amp; Ramesh Murlidhar, B. (2024). Estimation of slope stability using ensemble-based hybrid machine learning approaches. </w:t>
      </w:r>
      <w:r>
        <w:rPr>
          <w:rFonts w:ascii="Times New Roman" w:hAnsi="Times New Roman" w:eastAsia="Times New Roman" w:cs="Times New Roman"/>
          <w:i/>
          <w:iCs/>
          <w:color w:val="000000"/>
          <w:sz w:val="24"/>
          <w:szCs w:val="24"/>
          <w:rtl w:val="0"/>
        </w:rPr>
        <w:t xml:space="preserve">Frontiers in Materials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11</w:t>
      </w:r>
      <w:r>
        <w:rPr>
          <w:rFonts w:ascii="Times New Roman" w:hAnsi="Times New Roman" w:eastAsia="Times New Roman" w:cs="Times New Roman"/>
          <w:color w:val="000000"/>
          <w:sz w:val="24"/>
          <w:szCs w:val="24"/>
          <w:rtl w:val="0"/>
        </w:rPr>
        <w:t xml:space="preserve">, 1330609. https://doi.org/10.3389/fmats.2024.1330609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widowControl w:val="true"/>
        <w:pBdr/>
        <w:spacing w:after="80" w:line="480" w:lineRule="auto"/>
        <w:ind w:hanging="425" w:left="425"/>
        <w:rPr/>
      </w:pPr>
      <w:r>
        <w:rPr>
          <w:rFonts w:ascii="Times New Roman" w:hAnsi="Times New Roman"/>
          <w:i w:val="0"/>
          <w:sz w:val="24"/>
        </w:rPr>
        <w:t xml:space="preserve">Raissi, M., Perdikaris, P., &amp; Karniadakis, G. E. (2019). Physics-informed neural networks: A deep learning framework for solving forward and inverse problems involving nonlinear partial differential equations. </w:t>
      </w:r>
      <w:r>
        <w:rPr>
          <w:rFonts w:ascii="Times New Roman" w:hAnsi="Times New Roman"/>
          <w:i/>
          <w:sz w:val="24"/>
        </w:rPr>
        <w:t xml:space="preserve">Journal of Computational Physics, 378</w:t>
      </w:r>
      <w:r>
        <w:rPr>
          <w:rFonts w:ascii="Times New Roman" w:hAnsi="Times New Roman"/>
          <w:i w:val="0"/>
          <w:sz w:val="24"/>
        </w:rPr>
        <w:t xml:space="preserve">, 686–707. https://doi.org/10.1016/j.jcp.2018.10.045</w:t>
      </w:r>
      <w:r/>
    </w:p>
    <w:p w14:paraId="000001D2">
      <w:pPr>
        <w:keepLines w:val="true"/>
        <w:widowControl w:val="true"/>
        <w:pBdr/>
        <w:spacing w:after="80" w:line="480" w:lineRule="auto"/>
        <w:ind w:hanging="425" w:left="425"/>
        <w:rPr>
          <w:rFonts w:ascii="Times New Roman" w:hAnsi="Times New Roman" w:eastAsia="Times New Roman" w:cs="Times New Roman"/>
          <w:sz w:val="24"/>
          <w:szCs w:val="24"/>
        </w:rPr>
      </w:pPr>
      <w:r>
        <w:t xml:space="preserve">Sequeira-Arguedas, J. M. (2023). Contexto de inestabilidad de laderas en la Ruta Nacional 613 en 2020, Coto Brus, Costa Rica. Infraestructura Vial, 25(44), 1–14. https://doi.org/10.15517/iv.v25i44.54752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3">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Tan, W., Wu, S., Li, Y., &amp; Guo, Q. (2025). Digital twins’ application for geotechnical engineering: A review of current status and future directions in China.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(15), 8229. https://doi.org/10.3390/app15158229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4">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Tian, Y., Yang, Y., Ma, L., Qi, X., &amp; Lu, X. (2026). Enhancing the safety assessment of open-pit mine slopes with interpretable, data-driven stacking learning and three-dimensional stability analysis. </w:t>
      </w:r>
      <w:r>
        <w:rPr>
          <w:rFonts w:ascii="Times New Roman" w:hAnsi="Times New Roman" w:eastAsia="Times New Roman" w:cs="Times New Roman"/>
          <w:i/>
          <w:iCs/>
          <w:color w:val="000000"/>
          <w:sz w:val="24"/>
          <w:szCs w:val="24"/>
          <w:rtl w:val="0"/>
        </w:rPr>
        <w:t xml:space="preserve">Engineering Applications of Artificial Intelligence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177</w:t>
      </w:r>
      <w:r>
        <w:rPr>
          <w:rFonts w:ascii="Times New Roman" w:hAnsi="Times New Roman" w:eastAsia="Times New Roman" w:cs="Times New Roman"/>
          <w:color w:val="000000"/>
          <w:sz w:val="24"/>
          <w:szCs w:val="24"/>
          <w:rtl w:val="0"/>
        </w:rPr>
        <w:t xml:space="preserve">, 114862. https://doi.org/10.1016/j.engappai.2026.114862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5">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Úcar Navarro, R., Arlegui Crespo, L., Belandria Rodríguez, N., &amp; Toro Mora, R. (2024). Criterios de rotura no lineales para la estabilidad de taludes en macizos rocosos con deslizamiento plano. </w:t>
      </w:r>
      <w:r>
        <w:rPr>
          <w:rFonts w:ascii="Times New Roman" w:hAnsi="Times New Roman" w:eastAsia="Times New Roman" w:cs="Times New Roman"/>
          <w:i/>
          <w:iCs/>
          <w:color w:val="000000"/>
          <w:sz w:val="24"/>
          <w:szCs w:val="24"/>
          <w:rtl w:val="0"/>
        </w:rPr>
        <w:t xml:space="preserve">Geogaceta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75</w:t>
      </w:r>
      <w:r>
        <w:rPr>
          <w:rFonts w:ascii="Times New Roman" w:hAnsi="Times New Roman" w:eastAsia="Times New Roman" w:cs="Times New Roman"/>
          <w:color w:val="000000"/>
          <w:sz w:val="24"/>
          <w:szCs w:val="24"/>
          <w:rtl w:val="0"/>
        </w:rPr>
        <w:t xml:space="preserve">, 99–102. https://doi.org/10.55407/geogaceta100833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6">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Wang, S., Zhang, Z., &amp; Wang, C. (2023). Prediction of stability coefficient of open-pit mine slope based on artificial intelligence deep learning algorithm.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13</w:t>
      </w:r>
      <w:r>
        <w:rPr>
          <w:rFonts w:ascii="Times New Roman" w:hAnsi="Times New Roman" w:eastAsia="Times New Roman" w:cs="Times New Roman"/>
          <w:color w:val="000000"/>
          <w:sz w:val="24"/>
          <w:szCs w:val="24"/>
          <w:rtl w:val="0"/>
        </w:rPr>
        <w:t xml:space="preserve">, 12017. https://doi.org/10.1038/s41598-023-38896-y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7">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Yiğit, A. Y., &amp; Şenol, H. İ. (2025). Surface change and stability analysis in open-pit mines using UAV photogrammetric data and geospatial analysis. </w:t>
      </w:r>
      <w:r>
        <w:rPr>
          <w:rFonts w:ascii="Times New Roman" w:hAnsi="Times New Roman" w:eastAsia="Times New Roman" w:cs="Times New Roman"/>
          <w:i/>
          <w:iCs/>
          <w:color w:val="000000"/>
          <w:sz w:val="24"/>
          <w:szCs w:val="24"/>
          <w:rtl w:val="0"/>
        </w:rPr>
        <w:t xml:space="preserve">Drones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(7), 472. https://doi.org/10.3390/drones9070472</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8">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Yin, L., Wang, D., Xing, X., Meng, X., &amp; Wu, Y. (2025). Research on 3D stability algorithm of spatial concave slope.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22656. https://doi.org/10.1038/s41598-025-07733-9</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9">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Yuan, J., Liu, G., &amp; Chai, S. (2024). 3D geological fine modeling and dynamic updating method of fault slope in open-pit coal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29906. https://doi.org/10.1038/s41598-024-81872-3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A">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Zamora Nevado, R. M., &amp; Medina Vásquez, Y. E. (2023). Diseño de aplicativo en Python como soporte de enseñanza aprendizaje para la estabilidad de taludes.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(52), e25004. https://doi.org/10.15381/iigeo.v26i52.25004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B">
      <w:pPr>
        <w:keepLines w:val="true"/>
        <w:widowControl w:val="true"/>
        <w:pBdr/>
        <w:spacing w:after="80" w:line="480" w:lineRule="auto"/>
        <w:ind w:hanging="425" w:left="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Zhang, S., Ding, L., Xie, M., He, X., Yang, R., &amp; Tong, C. (2024). Reliability analysis of slope stability by neural network, principal component analysis, and transfer learning techniques. </w:t>
      </w:r>
      <w:r>
        <w:rPr>
          <w:rFonts w:ascii="Times New Roman" w:hAnsi="Times New Roman" w:eastAsia="Times New Roman" w:cs="Times New Roman"/>
          <w:i/>
          <w:iCs/>
          <w:color w:val="000000"/>
          <w:sz w:val="24"/>
          <w:szCs w:val="24"/>
          <w:rtl w:val="0"/>
        </w:rPr>
        <w:t xml:space="preserve">Journal of Rock Mechanics and Geotechnical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4034–4045. https://doi.org/10.1016/j.jrmge.2023.06.023</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1DC">
      <w:pPr>
        <w:keepLines w:val="true"/>
        <w:widowControl w:val="true"/>
        <w:pBdr/>
        <w:spacing w:after="80" w:line="480" w:lineRule="auto"/>
        <w:ind w:hanging="425" w:left="425"/>
        <w:rPr/>
        <w:sectPr>
          <w:footnotePr/>
          <w:endnotePr/>
          <w:type w:val="nextPage"/>
          <w:pgSz w:h="16834" w:orient="portrait" w:w="11909"/>
          <w:pgMar w:top="1224" w:right="1296" w:bottom="1080" w:left="1296" w:header="720" w:footer="720" w:gutter="0"/>
          <w:pgNumType w:start="1"/>
          <w:cols w:num="1" w:sep="0" w:space="1701" w:equalWidth="1"/>
        </w:sectPr>
      </w:pPr>
      <w:r>
        <w:rPr>
          <w:rFonts w:ascii="Times New Roman" w:hAnsi="Times New Roman" w:eastAsia="Times New Roman" w:cs="Times New Roman"/>
          <w:color w:val="000000"/>
          <w:sz w:val="24"/>
          <w:szCs w:val="24"/>
          <w:rtl w:val="0"/>
        </w:rPr>
        <w:t xml:space="preserve">Zhang, Z., Wang, B., Li, Z., Ye, X., Sun, Z., &amp; Dias, D. (2024). Physics-guided neural network-based framework for 3D modeling of slope stability. </w:t>
      </w:r>
      <w:r>
        <w:rPr>
          <w:rFonts w:ascii="Times New Roman" w:hAnsi="Times New Roman" w:eastAsia="Times New Roman" w:cs="Times New Roman"/>
          <w:i/>
          <w:iCs/>
          <w:color w:val="000000"/>
          <w:sz w:val="24"/>
          <w:szCs w:val="24"/>
          <w:rtl w:val="0"/>
        </w:rPr>
        <w:t xml:space="preserve">Computers and Geotechnics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176</w:t>
      </w:r>
      <w:r>
        <w:rPr>
          <w:rFonts w:ascii="Times New Roman" w:hAnsi="Times New Roman" w:eastAsia="Times New Roman" w:cs="Times New Roman"/>
          <w:color w:val="000000"/>
          <w:sz w:val="24"/>
          <w:szCs w:val="24"/>
          <w:rtl w:val="0"/>
        </w:rPr>
        <w:t xml:space="preserve">, 106801. https://doi.org/10.1016/j.compgeo.2024.106801</w:t>
      </w:r>
      <w:r>
        <w:rPr>
          <w:rFonts w:ascii="Times New Roman" w:hAnsi="Times New Roman"/>
          <w:color w:val="000000"/>
          <w:sz w:val="24"/>
        </w:rPr>
      </w:r>
      <w:r/>
    </w:p>
    <w:p w14:paraId="00000064">
      <w:pPr>
        <w:pStyle w:val="890"/>
        <w:keepNext w:val="true"/>
        <w:widowControl w:val="true"/>
        <w:pBdr/>
        <w:spacing w:after="80" w:before="160" w:line="480" w:lineRule="auto"/>
        <w:ind/>
        <w:jc w:val="center"/>
        <w:rPr>
          <w:rFonts w:ascii="Times New Roman" w:hAnsi="Times New Roman" w:eastAsia="Times New Roman" w:cs="Times New Roman"/>
          <w:sz w:val="24"/>
          <w:szCs w:val="24"/>
        </w:rPr>
      </w:pPr>
      <w:r>
        <w:rPr>
          <w:rFonts w:ascii="Times New Roman" w:hAnsi="Times New Roman"/>
          <w:b w:val="0"/>
          <w:i w:val="0"/>
          <w:color w:val="000000"/>
          <w:sz w:val="24"/>
        </w:rPr>
        <w:t xml:space="preserve">Material suplementario 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5">
      <w:pPr>
        <w:widowControl w:val="true"/>
        <w:pBdr/>
        <w:spacing w:after="80" w:line="480" w:lineRule="auto"/>
        <w:ind w:firstLine="283"/>
        <w:rPr>
          <w:rFonts w:ascii="Times New Roman" w:hAnsi="Times New Roman" w:eastAsia="Times New Roman" w:cs="Times New Roman"/>
          <w:sz w:val="24"/>
          <w:szCs w:val="24"/>
        </w:rPr>
      </w:pPr>
      <w:r>
        <w:t xml:space="preserve">Este material suplementario reúne la matriz de 40 antecedentes utilizada para contextualizar el trabajo. Se mantiene fuera del cuerpo principal para preservar el cierre de resultados, discusión y conclusiones.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6">
      <w:pPr>
        <w:keepNext w:val="true"/>
        <w:widowControl w:val="true"/>
        <w:pBdr/>
        <w:spacing w:after="80" w:line="480" w:lineRule="auto"/>
        <w:ind/>
        <w:rPr>
          <w:rFonts w:ascii="Times New Roman" w:hAnsi="Times New Roman" w:eastAsia="Times New Roman" w:cs="Times New Roman"/>
          <w:sz w:val="24"/>
          <w:szCs w:val="24"/>
        </w:rPr>
      </w:pPr>
      <w:r>
        <w:rPr>
          <w:rFonts w:ascii="Times New Roman" w:hAnsi="Times New Roman"/>
          <w:b w:val="0"/>
          <w:i w:val="0"/>
          <w:color w:val="000000"/>
          <w:sz w:val="24"/>
        </w:rPr>
        <w:t xml:space="preserve">Tabla A1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067">
      <w:pPr>
        <w:keepNext w:val="true"/>
        <w:widowControl w:val="true"/>
        <w:pBdr/>
        <w:spacing w:after="80" w:line="480" w:lineRule="auto"/>
        <w:ind w:firstLine="0"/>
        <w:rPr>
          <w:rFonts w:ascii="Times New Roman" w:hAnsi="Times New Roman" w:eastAsia="Times New Roman" w:cs="Times New Roman"/>
          <w:sz w:val="24"/>
          <w:szCs w:val="24"/>
        </w:rPr>
      </w:pPr>
      <w:r>
        <w:rPr>
          <w:rFonts w:ascii="Times New Roman" w:hAnsi="Times New Roman"/>
          <w:b w:val="0"/>
          <w:i w:val="0"/>
          <w:color w:val="000000"/>
          <w:sz w:val="24"/>
        </w:rPr>
        <w:t xml:space="preserve">Matriz de antecedentes con resultados y DOI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00"/>
        <w:jc w:val="center"/>
        <w:tblW w:w="15647"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107"/>
        <w:gridCol w:w="2551"/>
        <w:gridCol w:w="4110"/>
        <w:gridCol w:w="5669"/>
        <w:gridCol w:w="2209"/>
        <w:tblGridChange w:id="2">
          <w:tblGrid>
            <w:gridCol w:w="560"/>
            <w:gridCol w:w="1880"/>
            <w:gridCol w:w="2340"/>
            <w:gridCol w:w="3480"/>
            <w:gridCol w:w="2220"/>
          </w:tblGrid>
        </w:tblGridChange>
      </w:tblGrid>
      <w:tr>
        <w:trPr>
          <w:cantSplit/>
          <w:tblHeader/>
        </w:trPr>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b/>
                <w:bCs/>
                <w:color w:val="000000"/>
                <w:sz w:val="20"/>
                <w:szCs w:val="20"/>
                <w:rtl w:val="0"/>
              </w:rPr>
              <w:t xml:space="preserve">ID</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b/>
                <w:bCs/>
                <w:color w:val="000000"/>
                <w:sz w:val="20"/>
                <w:szCs w:val="20"/>
                <w:rtl w:val="0"/>
              </w:rPr>
              <w:t xml:space="preserve">Autor (año)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b/>
                <w:bCs/>
                <w:color w:val="000000"/>
                <w:sz w:val="20"/>
                <w:szCs w:val="20"/>
                <w:rtl w:val="0"/>
              </w:rPr>
              <w:t xml:space="preserve">Título del artículo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b/>
                <w:bCs/>
                <w:color w:val="000000"/>
                <w:sz w:val="20"/>
                <w:szCs w:val="20"/>
                <w:rtl w:val="0"/>
              </w:rPr>
              <w:t xml:space="preserve">Resultados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shd w:val="clear" w:color="auto" w:fill="eaeaea"/>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b/>
                <w:bCs/>
                <w:color w:val="000000"/>
                <w:sz w:val="20"/>
                <w:szCs w:val="20"/>
                <w:rtl w:val="0"/>
              </w:rPr>
              <w:t xml:space="preserve">DOI / enlace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Liu, X., Wang, Y., Koo, R. C. H. y Kwan, J. S. H. (2022)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6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Development of a slope digital twin for predicting temporal variation of rainfall-induced slope instability using past slope performance records and monitoring data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Propone y valida un gemelo digital de talud que actualiza parámetros hidráulicos y resistentes con lluvia, presión de poros y registros de desempeño; la variación prevista de estabilidad concuerda con una falla observada.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https://doi.org/10.1016/j.enggeo.2022.106825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Liu, Y. y Jia, C.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Integrating deep neural network with elastoplastic analysis: a hybrid approach for slope stability analysis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PINN con elastoplasticidad de Mohr–Coulomb predice desplazamiento, tensiones y FOS sin un conjunto de entrenamiento preconstruido; los ejemplos validan alta precisión frente a software comercial.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https://doi.org/10.1007/s12665-026-13107-9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Pei, T., Qiu, T. y Shen, C.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Applying Knowledge-Guided Machine Learning to Slope Stability Prediction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Los modelos híbridos conocimiento-datos y la función de pérdida guiada por conocimiento superan a modelos puramente físicos y puramente basados en datos, y se alinean mejor con el FOS reportado.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https://doi.org/10.1061/JGGEFK.GTENG-11053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Wang, S., Zhang, Z. y Wang, C.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Prediction of stability coefficient of open-pit mine slope based on artificial intelligence deep learning algorithm</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7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algoritmo de aprendizaje profundo estimó FOS de 1.086 antes y 1.227 después del tratamiento, y mejoró la eficiencia de predicción frente al algoritmo tradicional.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https://doi.org/10.1038/s41598-023-38896-y</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Lyu, J., Hu, T., Liu, G., Cao, B., Wang, W. y Li, S.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Stability evaluation of open-pit mine slope based on Bayesian optimization 1D-CNN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Desarrolla una B-1D CNN para evaluar estabilidad de taludes y optimiza sus hiperparámetros con Bayes; el enfoque mejora la extracción de características y el desempeño de clasificación.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https://doi.org/10.1038/s41598-024-64663-8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Zhang, Z., Wang, B., Li, Z., Ye, X., Sun, Z. y Dias, D.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Physics-guided neural network-based framework for 3D modeling of slope stability</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Presenta un PINN sin datos etiquetados para el análisis 3D y un PINN híbrido para excitaciones externas; la validación muestra viabilidad para estabilidad sísmica.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https://doi.org/10.1016/j.compgeo.2024.106801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Guan, Z. y Wang, Y.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Fusion of three-dimensional geotechnical and geophysical data for developing digital twin of underground space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Propone fusión 3D de datos geotécnicos y geofísicos para construir un modelo confiable de propiedades geotécnicas, base para gemelos digitales del subsuelo.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8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https://doi.org/10.1016/j.sandf.2024.101528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Ragam, P., Kushal Kumar, N., Ajith, J. E., Karthik, G., Himanshu, V. K., Sree Machupalli, D. y Ramesh Murlidhar, B.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Estimation of slope stability using ensemble-based hybrid machine learning approaches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Compara MLR, árbol de decisión, RF, XGBoost y un modelo híbrido XGBoost-RF para estimar el FOS de un talud de mina a cielo abierto.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https://doi.org/10.3389/fmats.2024.1330609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E-09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Zhang, S., Ding, L., Xie, M., He, X., Yang, R. y Tong, C.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Reliability analysis of slope stability by neural network, principal component analysis, and transfer learning techniques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PCA-NN reduce variables y costo computacional, y PCAeNN-eTL conserva potencial de evaluación con menos datos de entrenamiento para diferentes distribuciones espaciales.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https://doi.org/10.1016/j.jrmge.2023.06.023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Yuan, J., Liu, G. y Chai, S.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3D geological fine modeling and dynamic updating method of fault slope in open-pit coal mine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Desarrolla modelado geológico 3D fino y actualización dinámica de estratos y fallas para que el modelo represente los cambios conforme avanza la excavación.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https://doi.org/10.1038/s41598-024-81872-3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9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Yiğit, A. Y. y Şenol, H. İ.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Surface Change and Stability Analysis in Open-Pit Mines Using UAV Photogrammetric Data and Geospatial Analysis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fotogrametría UAV multitemporal y el análisis M3C2 cuantifican cambios y detectan zonas inestables mediante umbrales de variación, rugosidad y verticalidad.</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https://doi.org/10.3390/drones9070472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Dahal, A. y Lombardo, L.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Towards physics-informed neural networks for landslide prediction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Un PINN recupera parámetros geotécnicos desde variables proxy y genera mapas regionales; los resultados abren la posibilidad de predicción casi en tiempo real.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https://doi.org/10.1016/j.enggeo.2024.107852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Yin, L., Wang, D., Xing, X., Meng, X. y Wu, Y.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Research on 3D stability algorithm of spatial concave slope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Deriva un método de equilibrio límite para taludes cóncavos 3D; encuentra una superficie potencial elipsoidal y una relación exponencial entre FOS 3D y radio de curvatura.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https://doi.org/10.1038/s41598-025-07733-9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A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Piciullo, L., Abraham, M. T., Drøsdal, I. N. y Paulsen, E. S.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 operational IoT-based slope stability forecast using a digital twin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Integra monitoreo hidrológico en tiempo real, pronóstico meteorológico, modelos numéricos y RF/PR para pronosticar FOS diario a tres días y emitir alertas automáticas.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https://doi.org/10.1016/j.envsoft.2024.106228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Tan, W., Wu, S., Li, Y. y Guo, Q.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Digital Twins’ Application for Geotechnical Engineering: A Review of Current Status and Future Directions in China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Revisión de gemelos digitales geotécnicos: identifica retos de sensado multi-fuente, modelos geológicos 3D, interoperabilidad, plataformas de ciclo de vida y estándares de datos.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https://doi.org/10.3390/app15158229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Dong, X., Li, S., Ma, R., Tian, W., Zhao, K., Xiang, H., Zhu, J. y Qiu, Y.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Cloud-based slope risk monitoring and early warning system for openpit coal mines: a case study of Zhonglian Runshi</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EWS en nube combina IoT, LSTM y Dempster–Shafer; en campo logró R² = 0.91, RMSE &lt; 0.11 mm, 69 sensores y menor costo que Transformer.</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https://doi.org/10.1038/s41598-025-28190-4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Nanda, S. y Patel, S.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B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Evaluating LEM, FEM, and DFN approaches for rock slope stability across GSI ranges for open pit mine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comparación LEM–FEM–DFN muestra que LEM entrega el FoS más alto y DFN el más conservador; la selección depende del GSI y de discontinuidades.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https://doi.org/10.1038/s41598-026-62662-5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Hamzaban, M.-T., Kanoundoust, S. y Geraili Mikola, R.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Evaluating 2D and 3D slope stability in a complex open-pit mine: a CAD-based numerical study</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modelo 3D predijo FOS global de 1.285 y falla rotacional, mientras los cortes 2D produjeron FOS de 1.04 a 4.11 y no capturaron toda la superficie de falla.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https://doi.org/10.1038/s41598-026-58822-2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E-19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Tian, Y., Yang, Y., Ma, L., Qi, X. y Lu, X.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Enhancing the safety assessment of open-pit mine slopes with interpretable, data-driven stacking learning and three-dimensional stability analysis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Combina equilibrio límite 3D y stacking interpretable; logra AUC de 0.9515 y valida buena precisión en ocho casos reales.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https://doi.org/10.1016/j.engappai.2026.114862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Du, K., Li, S. y Li, C.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 Integrated Simulation–AI Framework for Fast Stability Evaluation and Risk-Control-Oriented Design of Open-Pit Mine Slopes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C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marco simulación–IA emplea escenarios numéricos y BO-SVR; obtiene R² &gt; 0.98 y permite evaluación rápida de riesgo y optimización del ángulo de banco.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https://doi.org/10.3390/app16104932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Catari Colque, P. P., Barriga Paria, C. J., Villanueva Ari, C. R., Gomez Velasquez, J. M., Alvarado Ramirez, H. L., Melgar Raymundo, D. R. y Chirinos Quintanilla, E. A.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Optimización del diseño de talud en minería superficial mediante el método de elementos finitos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Para la mina Cuajone, el modelo de elementos finitos recomienda un ángulo interrampa de 43° con FS 1.1 al sur y 38° con FS 1.57 al norte, facilitando un diseño de talud más seguro.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https://doi.org/10.37135/ns.01.15.09</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Bustillos Cotrado, J. A.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bidimensional de estabilidad del talud en una zona de falla geológica en Chinchao, Huánuco, Perú</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análisis de equilibrio límite encontró FS de 0.381 en condición estática y 0.214 en condición pseudoestática; el talud es inestable aunque la falla geológica está inactiva.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https://doi.org/10.37711/repiama.2024.1.1.2</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Cusme Intriago, R. R., Herrera Martínez, Y. A., Lagla Guishcasho, A. E. y Cruz Aguinda, E. A.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de estabilidad de taludes para el reservorio de la comunidad de Maca Atapulo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D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análisis Bishop y GEO5 obtuvo un FS promedio de 0.85 en suelo limoso de baja cohesión, por debajo del valor admisible; recomienda refuerzo para reducir la susceptibilidad a deslizamientos.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https://doi.org/10.26820/reciamuc/10.(1).especial.2026.189-197</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Peña Anampa, I. V., Vera Teves, R. M., Vasquez Ramirez, A. A. y Gálvez Quintana, M. A.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Evaluación del peligro por inestabilidad de taludes en la ruta PE-3S, Abancay</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Los cinco subtramos evaluados presentan peligro muy alto y factores de seguridad que indican alta probabilidad de deslizamiento, asociados a saturación, pendiente y lluvia.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https://doi.org/10.57107/hyw.v2i2.45</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Briceño, J., Guillén, M., Belandria, N. y León, F.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de estabilidad de taludes de secciones típicas en la construcción de carreteras a través de modelos numérico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Compara el método de equilibrio límite y el método de elementos finitos en secciones viales de diferentes materiales, y propone dimensiones geométricas de taludes que conservan condiciones de seguridad.</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https://doi.org/10.62876/tekhn.v26i3.6137</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ind w:firstLine="0"/>
              <w:jc w:val="left"/>
              <w:rPr>
                <w:sz w:val="20"/>
                <w:szCs w:val="20"/>
              </w:rPr>
            </w:pPr>
            <w:r>
              <w:rPr>
                <w:sz w:val="20"/>
                <w:szCs w:val="20"/>
              </w:rPr>
              <w:t xml:space="preserve">Gómez Intriago, E. C., Guevara Sánchez, D. F. y Ortiz Hernández, E. (2024)</w:t>
            </w:r>
            <w:r>
              <w:rPr>
                <w:sz w:val="20"/>
                <w:szCs w:val="20"/>
              </w:rPr>
            </w:r>
            <w:r>
              <w:rPr>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Diseño de estabilidad de talud del sector de la Simbocal, vía Margarita-San Vicente, provincia de Manabí</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estudio integra caracterización geotécnica, topografía, ensayos de laboratorio y modelación para plantear un diseño de talud orientado a reducir el riesgo vial en Simbocal.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https://doi.org/10.23857/pc.v9i3.6761</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E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Oliva González, A. O., Berumen Rodríguez, M. A. y Mascareño Jiménez, D.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Procedimiento práctico para evaluar la estabilidad y probabilidad de falla de taludes de corte en el área urbana de Tijuana, México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procedimiento estima el nivel de seguridad y la probabilidad anual de falla para distintas geometrías, sismicidad y saturación; los casos reales muestran que es útil para diseño y corrección de taludes.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https://doi.org/10.22463/2011642X.3364</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Caballero, C., Castillo, P., Castrellón, J. y Rodríguez, S.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geomecánico mediante modelo de estabilidad de laderas en la zona de Bambito (Chiriquí)</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análisis de cuatro estaciones con GeoSlope vinculó los principales factores de riesgo con el material, la estratigrafía y la topografía, e identificó configuraciones favorables a deslizamientos.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https://doi.org/10.33412/rev-ric.v9.2.3846</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S-09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Blas Cano, J. W. y Milla Vergara, E. A.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Caracterización geotécnica para determinar el modelo de estabilización del talud a escala reducida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modelo experimental elevó el FS de 0.86 en el talud natural a 1.20 en el estabilizado, un aumento de 28.33 %.</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https://doi.org/10.15381/iigeo.v26i51.24403</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0F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Avellán, E., Carrera, J. y Sánchez, D.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tenso-deformacional del talud ubicado en la Avenida Mariscal Sucre, sector La Comuna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análisis de muestras y escenarios de saturación y sismo identifica al contenido de humedad y al factor sísmico como la combinación crítica para la estabilidad del talud urbano.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https://doi.org/10.53313/gwj62090</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S-11</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Úcar Navarro, R., Arlegui Crespo, L., Belandria Rodríguez, N. y Toro Mora, R.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Criterios de rotura no lineales para la estabilidad de taludes en macizos rocosos con deslizamiento plano</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Compara los criterios no lineales de Úcar y Hoek-Brown para hallar el plano de deslizamiento crítico y el factor de seguridad mínimo en taludes rocosos.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https://doi.org/10.55407/geogaceta100833</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Montúfar Chiriboga, G. J.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Estudio de la estabilidad de taludes en Panamá bajo diferentes condiciones de carga utilizando elementos finitos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GEO5 muestra que la saturación y las sobrecargas incrementan la vulnerabilidad, especialmente en condiciones sísmicas, y pueden comprometer el factor de seguridad en un proyecto residencial.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https://doi.org/10.48204/j.saberes.v8n1.a6780</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Chilon Chilon, R.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0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de relaves filtrados para la estabilización física en la conformación de una presa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Las pruebas de relaves filtrados para una presa minera establecen condiciones de seguridad superiores a 1.5 en análisis estático y a 1.0 en condición pseudoestática.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https://doi.org/10.32911/as.2025.v18.n2.1232</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Campos, F., Mora, R., Sequeira, J. y Garnier, M. (2022)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Aplicación de análisis de admisibilidad cinemática y equilibrio límite para optimizar la geometría de explotación de una cantera en el cantón de León Cortes, San José, Costa Rica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5">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caracterización geomecánica y los análisis cinemáticos y de equilibrio límite definen orientaciones de explotación que favorecen taludes estables y una operación más segura de cantera.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https://doi.org/10.15517/rgac.v66i0.49786</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Sequeira-Arguedas, J. M.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Contexto de inestabilidad de laderas en la Ruta Nacional 613 en 2020, Coto Brus, Costa Rica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A">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zonificación regional concluye que al menos el 24 % del corredor es susceptible a remoción en masa, influida por controles geológico-estructurales y eventos extremos de precipitación.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https://doi.org/10.15517/iv.v25i44.54752</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González Serrano, D. H. (2025)</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Metodología aplicada al análisis geotécnico y evaluación de la estabilidad de taludes mediante SIG en entornos mineros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1F">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integración de sondeos, ensayos geotécnicos, SIG, análisis cinemático y medidas de mitigación identifica sectores críticos y eleva los factores de seguridad de la mina por encima de 1.2.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https://doi.org/10.61368/r.s.d.h.v6i4.907</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S-17</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Arias-Valencia, D. C. y Aristizábal-Arias, J. A. (2024)</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Análisis probabilístico de estabilidad de taludes con falla planar en la Comuna Universitaria de la ciudad de Manizales (Colombia)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4">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simulación Monte Carlo con 5000 iteraciones identificó que factores de seguridad determinísticos aceptables pueden coexistir con amenaza alta; el análisis probabilístico sirve para detección temprana.</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https://doi.org/10.4067/S0718-07642024000300001</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6">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S-18</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7">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Anchiraico Alderete, J. K., Orellana Mendoza, E. E., Ayre Balbin, V. y Toykin Mucha, C. R. (2026)</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8">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Tecnologías de la Información aplicadas a la simulación probabilística de estabilidad geotécnica mediante Python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9">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 herramienta Python obtuvo FS medio de 3.602, β de 4.512 y probabilidad de falla aproximada de 0.00 %, con una discrepancia menor de 1.5 % entre Monte Carlo y Rosenblueth.</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https://doi.org/10.5281/zenodo.21273130</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B">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S-19</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C">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Zamora Nevado, R. M. y Medina Vásquez, Y. E. (2023)</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D">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Diseño de aplicativo en Python como soporte de enseñanza aprendizaje para la estabilidad de taludes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2E">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El aplicativo Python calcula y grafica el FS de un talud mediante una interfaz gráfica; obtuvo FS = 1.26, coincidente con el procedimiento manual.</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https://doi.org/10.15381/iigeo.v26i52.25004</w:t>
            </w:r>
            <w:r>
              <w:rPr>
                <w:sz w:val="20"/>
                <w:szCs w:val="20"/>
              </w:rPr>
            </w:r>
            <w:r>
              <w:rPr>
                <w:sz w:val="20"/>
                <w:szCs w:val="20"/>
              </w:rPr>
            </w:r>
          </w:p>
        </w:tc>
      </w:tr>
      <w:tr>
        <w:trPr>
          <w:cantSplit/>
        </w:trPr>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30">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S-20</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31">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Briceño Balza, J. E., Belandria Rodriguez, N. T. y León Oviedo, F. M. (2022)</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32">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Ubicación y profundidad de la grieta de tracción en taludes con el empleo de modelos numéricos</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14:paraId="00000133">
            <w:pPr>
              <w:suppressLineNumbers w:val="false"/>
              <w:pBdr/>
              <w:spacing w:after="80" w:before="80" w:line="276" w:lineRule="auto"/>
              <w:ind w:firstLine="0"/>
              <w:jc w:val="left"/>
              <w:rPr>
                <w:rFonts w:ascii="Times New Roman" w:hAnsi="Times New Roman" w:eastAsia="Times New Roman" w:cs="Times New Roman"/>
                <w:sz w:val="20"/>
                <w:szCs w:val="20"/>
              </w:rPr>
            </w:pPr>
            <w:r>
              <w:rPr>
                <w:rFonts w:ascii="Times New Roman" w:hAnsi="Times New Roman" w:eastAsia="Times New Roman" w:cs="Times New Roman"/>
                <w:color w:val="000000"/>
                <w:sz w:val="20"/>
                <w:szCs w:val="20"/>
                <w:rtl w:val="0"/>
              </w:rPr>
              <w:t xml:space="preserve">Las simulaciones por elementos finitos muestran que al aumentar la altura e inclinación del talud crece la profundidad de la grieta de tracción y disminuyen su distancia a la cara y el factor de seguridad.</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c>
          <w:tcPr>
            <w:tcBorders>
              <w:top w:val="single" w:color="d9d9d9" w:sz="4" w:space="0"/>
              <w:left w:val="single" w:color="d9d9d9" w:sz="4" w:space="0"/>
              <w:bottom w:val="single" w:color="d9d9d9" w:sz="4" w:space="0"/>
              <w:right w:val="single" w:color="d9d9d9" w:sz="4" w:space="0"/>
            </w:tcBorders>
            <w:tcMar>
              <w:left w:w="80" w:type="dxa"/>
              <w:top w:w="70" w:type="dxa"/>
              <w:right w:w="80" w:type="dxa"/>
              <w:bottom w:w="70" w:type="dxa"/>
            </w:tcMar>
            <w:vAlign w:val="top"/>
          </w:tcPr>
          <w:p>
            <w:pPr>
              <w:suppressLineNumbers w:val="false"/>
              <w:pBdr/>
              <w:spacing w:after="80" w:before="80" w:line="276" w:lineRule="auto"/>
              <w:ind w:firstLine="0"/>
              <w:jc w:val="left"/>
              <w:rPr>
                <w:sz w:val="20"/>
                <w:szCs w:val="20"/>
              </w:rPr>
            </w:pPr>
            <w:r>
              <w:rPr>
                <w:rFonts w:ascii="Times New Roman" w:hAnsi="Times New Roman"/>
                <w:color w:val="000000"/>
                <w:sz w:val="20"/>
                <w:szCs w:val="20"/>
              </w:rPr>
              <w:t xml:space="preserve">https://doi.org/10.22209/rt.v45n2a04</w:t>
            </w:r>
            <w:r>
              <w:rPr>
                <w:sz w:val="20"/>
                <w:szCs w:val="20"/>
              </w:rPr>
            </w:r>
            <w:r>
              <w:rPr>
                <w:sz w:val="20"/>
                <w:szCs w:val="20"/>
              </w:rPr>
            </w:r>
          </w:p>
        </w:tc>
      </w:tr>
    </w:tbl>
    <w:sectPr>
      <w:footnotePr/>
      <w:endnotePr/>
      <w:type w:val="nextPage"/>
      <w:pgSz w:h="11909" w:orient="landscape" w:w="16834"/>
      <w:pgMar w:top="936" w:right="936" w:bottom="936" w:left="936" w:header="720" w:footer="720" w:gutter="0"/>
      <w:lnNumType w:countBy="1" w:restart="continuous"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Gungsu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480" w:lineRule="auto"/>
      <w:ind/>
    </w:pPr>
    <w:rPr>
      <w:rFonts w:ascii="Times New Roman" w:hAnsi="Times New Roman"/>
      <w:i/>
      <w:iCs/>
      <w:color w:val="000000"/>
      <w:sz w:val="24"/>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line="480" w:lineRule="auto"/>
      <w:ind/>
    </w:pPr>
    <w:rPr>
      <w:rFonts w:ascii="Times New Roman" w:hAnsi="Times New Roman"/>
      <w:color w:val="000000"/>
      <w:sz w:val="24"/>
    </w:rPr>
  </w:style>
  <w:style w:type="paragraph" w:styleId="890">
    <w:name w:val="Heading 1"/>
    <w:basedOn w:val="889"/>
    <w:next w:val="889"/>
    <w:pPr>
      <w:keepNext w:val="true"/>
      <w:keepLines w:val="true"/>
      <w:pageBreakBefore w:val="false"/>
      <w:pBdr/>
      <w:spacing w:after="120" w:before="400" w:line="480" w:lineRule="auto"/>
      <w:ind/>
    </w:pPr>
    <w:rPr>
      <w:rFonts w:ascii="Times New Roman" w:hAnsi="Times New Roman"/>
      <w:b/>
      <w:color w:val="000000"/>
      <w:sz w:val="24"/>
      <w:szCs w:val="40"/>
    </w:rPr>
  </w:style>
  <w:style w:type="paragraph" w:styleId="891">
    <w:name w:val="Heading 2"/>
    <w:basedOn w:val="889"/>
    <w:next w:val="889"/>
    <w:pPr>
      <w:keepNext w:val="true"/>
      <w:keepLines w:val="true"/>
      <w:pageBreakBefore w:val="false"/>
      <w:pBdr/>
      <w:spacing w:after="120" w:before="360" w:line="480" w:lineRule="auto"/>
      <w:ind/>
    </w:pPr>
    <w:rPr>
      <w:rFonts w:ascii="Times New Roman" w:hAnsi="Times New Roman"/>
      <w:b/>
      <w:bCs w:val="0"/>
      <w:color w:val="000000"/>
      <w:sz w:val="24"/>
      <w:szCs w:val="32"/>
    </w:rPr>
  </w:style>
  <w:style w:type="paragraph" w:styleId="892">
    <w:name w:val="Heading 3"/>
    <w:basedOn w:val="889"/>
    <w:next w:val="889"/>
    <w:pPr>
      <w:keepNext w:val="true"/>
      <w:keepLines w:val="true"/>
      <w:pageBreakBefore w:val="false"/>
      <w:pBdr/>
      <w:spacing w:after="80" w:before="320"/>
      <w:ind/>
    </w:pPr>
    <w:rPr>
      <w:b w:val="0"/>
      <w:bCs w:val="0"/>
      <w:color w:val="434343"/>
      <w:sz w:val="28"/>
      <w:szCs w:val="28"/>
    </w:rPr>
  </w:style>
  <w:style w:type="paragraph" w:styleId="893">
    <w:name w:val="Heading 4"/>
    <w:basedOn w:val="889"/>
    <w:next w:val="889"/>
    <w:pPr>
      <w:keepNext w:val="true"/>
      <w:keepLines w:val="true"/>
      <w:pageBreakBefore w:val="false"/>
      <w:pBdr/>
      <w:spacing w:after="80" w:before="280"/>
      <w:ind/>
    </w:pPr>
    <w:rPr>
      <w:color w:val="666666"/>
      <w:sz w:val="24"/>
      <w:szCs w:val="24"/>
    </w:rPr>
  </w:style>
  <w:style w:type="paragraph" w:styleId="894">
    <w:name w:val="Heading 5"/>
    <w:basedOn w:val="889"/>
    <w:next w:val="889"/>
    <w:pPr>
      <w:keepNext w:val="true"/>
      <w:keepLines w:val="true"/>
      <w:pageBreakBefore w:val="false"/>
      <w:pBdr/>
      <w:spacing w:after="80" w:before="240"/>
      <w:ind/>
    </w:pPr>
    <w:rPr>
      <w:color w:val="666666"/>
      <w:sz w:val="22"/>
      <w:szCs w:val="22"/>
    </w:rPr>
  </w:style>
  <w:style w:type="paragraph" w:styleId="895">
    <w:name w:val="Heading 6"/>
    <w:basedOn w:val="889"/>
    <w:next w:val="889"/>
    <w:pPr>
      <w:keepNext w:val="true"/>
      <w:keepLines w:val="true"/>
      <w:pageBreakBefore w:val="false"/>
      <w:pBdr/>
      <w:spacing w:after="80" w:before="240"/>
      <w:ind/>
    </w:pPr>
    <w:rPr>
      <w:i/>
      <w:iCs/>
      <w:color w:val="666666"/>
      <w:sz w:val="22"/>
      <w:szCs w:val="22"/>
    </w:rPr>
  </w:style>
  <w:style w:type="paragraph" w:styleId="896">
    <w:name w:val="Title"/>
    <w:basedOn w:val="889"/>
    <w:next w:val="889"/>
    <w:pPr>
      <w:keepNext w:val="true"/>
      <w:keepLines w:val="true"/>
      <w:pageBreakBefore w:val="false"/>
      <w:pBdr/>
      <w:spacing w:after="60" w:before="0" w:line="480" w:lineRule="auto"/>
      <w:ind/>
    </w:pPr>
    <w:rPr>
      <w:rFonts w:ascii="Times New Roman" w:hAnsi="Times New Roman"/>
      <w:b/>
      <w:color w:val="000000"/>
      <w:sz w:val="32"/>
      <w:szCs w:val="52"/>
    </w:rPr>
  </w:style>
  <w:style w:type="paragraph" w:styleId="897">
    <w:name w:val="Subtitle"/>
    <w:basedOn w:val="889"/>
    <w:next w:val="889"/>
    <w:pPr>
      <w:keepNext w:val="true"/>
      <w:keepLines w:val="true"/>
      <w:pageBreakBefore w:val="false"/>
      <w:pBdr/>
      <w:spacing w:after="320" w:before="0" w:line="480" w:lineRule="auto"/>
      <w:ind/>
    </w:pPr>
    <w:rPr>
      <w:rFonts w:ascii="Times New Roman" w:hAnsi="Times New Roman" w:eastAsia="Arial" w:cs="Arial"/>
      <w:b/>
      <w:i w:val="0"/>
      <w:iCs w:val="0"/>
      <w:color w:val="000000"/>
      <w:sz w:val="24"/>
      <w:szCs w:val="30"/>
    </w:rPr>
  </w:style>
  <w:style w:type="table" w:styleId="898">
    <w:name w:val="StGen0"/>
    <w:basedOn w:val="88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StGen1"/>
    <w:basedOn w:val="88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StGen2"/>
    <w:basedOn w:val="88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StGen3"/>
    <w:basedOn w:val="888"/>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mctellofu@unitru.edu.pe"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2026-09-30T17:55:37Z</dcterms:modified>
</cp:coreProperties>
</file>