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40"/>
        </w:rPr>
        <w:t>Informe técnico del proyecto sslope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Entregable 1 · Evidencia técnica para la práctica académica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Roberto Enrique Quezada-Rodríguez y Melanie Celeste Tello Fuentes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Universidad Nacional de Trujillo · Perú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20"/>
        </w:rPr>
        <w:t>Fecha de preparación y consulta de fuentes: 30 de septiembre de 2026</w:t>
      </w:r>
    </w:p>
    <w:p>
      <w:pPr>
        <w:pStyle w:val="Heading1"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Objetivo y alcance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Desarrollamos un prototipo para visualizar taludes y evaluar pronósticos de desplazamiento mediante el método de elementos finitos (FEM) y redes de memoria a corto y largo plazo (LSTM). Este informe documenta el código y los artefactos disponibles, y explica cómo sustentan el artículo. No certifica asistencia, una actividad ejecutada en aula ni una validación en mina; esas evidencias no fueron proporcionadas.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El artículo estudia el caso semisintético TA-01. Los módulos de Century Mine y el laboratorio de entrenamiento son desarrollos independientes y no deben presentarse como resultados de campo que validen ese artículo.</w:t>
      </w:r>
    </w:p>
    <w:p>
      <w:pPr>
        <w:pStyle w:val="Heading1"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Autoría y contribuciones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3960"/>
        <w:gridCol w:w="6120"/>
      </w:tblGrid>
      <w:tr>
        <w:trPr>
          <w:tblHeader/>
          <w:cantSplit/>
        </w:trPr>
        <w:tc>
          <w:tcPr>
            <w:tcW w:type="dxa" w:w="3960"/>
            <w:shd w:fill="EDEDED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Integrante</w:t>
            </w:r>
          </w:p>
        </w:tc>
        <w:tc>
          <w:tcPr>
            <w:tcW w:type="dxa" w:w="6120"/>
            <w:shd w:fill="EDEDED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Contribución declarada</w:t>
            </w:r>
          </w:p>
        </w:tc>
      </w:tr>
      <w:tr>
        <w:trPr>
          <w:cantSplit/>
        </w:trPr>
        <w:tc>
          <w:tcPr>
            <w:tcW w:type="dxa" w:w="3960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Roberto Enrique Quezada-Rodríguez</w:t>
            </w:r>
          </w:p>
        </w:tc>
        <w:tc>
          <w:tcPr>
            <w:tcW w:type="dxa" w:w="6120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Software, análisis y redacción. Autor de correspondencia: requezadaro@unitru.edu.pe.</w:t>
            </w:r>
          </w:p>
        </w:tc>
      </w:tr>
      <w:tr>
        <w:trPr>
          <w:cantSplit/>
        </w:trPr>
        <w:tc>
          <w:tcPr>
            <w:tcW w:type="dxa" w:w="3960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Melanie Celeste Tello Fuentes</w:t>
            </w:r>
          </w:p>
        </w:tc>
        <w:tc>
          <w:tcPr>
            <w:tcW w:type="dxa" w:w="6120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Análisis, redacción, revisión y validación. ORCID: 0009-0007-4728-138X.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Tres productos de la entrega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448"/>
        <w:gridCol w:w="7632"/>
      </w:tblGrid>
      <w:tr>
        <w:trPr>
          <w:tblHeader/>
          <w:cantSplit/>
        </w:trPr>
        <w:tc>
          <w:tcPr>
            <w:tcW w:type="dxa" w:w="2448"/>
            <w:shd w:fill="EDEDED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Producto</w:t>
            </w:r>
          </w:p>
        </w:tc>
        <w:tc>
          <w:tcPr>
            <w:tcW w:type="dxa" w:w="7632"/>
            <w:shd w:fill="EDEDED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Estado y contenido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Informe de práctica</w:t>
            </w:r>
          </w:p>
        </w:tc>
        <w:tc>
          <w:tcPr>
            <w:tcW w:type="dxa" w:w="7632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Este documento reúne arquitectura, trazabilidad, procedimiento de demostración y límites.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Artículo de investigación</w:t>
            </w:r>
          </w:p>
        </w:tc>
        <w:tc>
          <w:tcPr>
            <w:tcW w:type="dxa" w:w="7632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Manuscrito_TA01_RGN.docx ya existe. Está adaptado a Rudarsko-geološko-naftni zbornik, con tablas y figuras. No es una constancia de envío o aceptación.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Reporte de revistas</w:t>
            </w:r>
          </w:p>
        </w:tc>
        <w:tc>
          <w:tcPr>
            <w:tcW w:type="dxa" w:w="7632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Documento separado con cuatro opciones, requisitos de revisión, periodicidad, cuartiles, costos y fuentes.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20"/>
        </w:rPr>
        <w:t>No se ha generado un archivo comprimido. Los apellidos del equipo figuran en los nombres de los dos nuevos informes.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Componentes y archivos del proyecto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La aplicación principal utiliza Node.js, JavaScript y Three.js. El servidor conserva telemetría en SQLite y expone una API local. El visor muestra geometría, lluvia y desplazamientos; la amplificación visual facilita observar deformaciones pequeñas, pero no cambia las unidades ni las métricas.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800"/>
        <w:gridCol w:w="4032"/>
        <w:gridCol w:w="4248"/>
      </w:tblGrid>
      <w:tr>
        <w:trPr>
          <w:tblHeader/>
          <w:cantSplit/>
        </w:trPr>
        <w:tc>
          <w:tcPr>
            <w:tcW w:type="dxa" w:w="1800"/>
            <w:shd w:fill="EDEDED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Componente</w:t>
            </w:r>
          </w:p>
        </w:tc>
        <w:tc>
          <w:tcPr>
            <w:tcW w:type="dxa" w:w="4032"/>
            <w:shd w:fill="EDEDED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Archivos o carpeta</w:t>
            </w:r>
          </w:p>
        </w:tc>
        <w:tc>
          <w:tcPr>
            <w:tcW w:type="dxa" w:w="4248"/>
            <w:shd w:fill="EDEDED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Función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Visor y API</w:t>
            </w:r>
          </w:p>
        </w:tc>
        <w:tc>
          <w:tcPr>
            <w:tcW w:type="dxa" w:w="4032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public/</w:t>
              <w:br/>
              <w:t>src/server.js</w:t>
              <w:br/>
              <w:t>src/persistence.js</w:t>
            </w:r>
          </w:p>
        </w:tc>
        <w:tc>
          <w:tcPr>
            <w:tcW w:type="dxa" w:w="4248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Interfaz 3D, controles, consultas y almacenamiento.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Mecánica TA-01</w:t>
            </w:r>
          </w:p>
        </w:tc>
        <w:tc>
          <w:tcPr>
            <w:tcW w:type="dxa" w:w="4032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src/core/fem-2d.js</w:t>
              <w:br/>
              <w:t>src/core/study-case-ta01.js</w:t>
            </w:r>
          </w:p>
        </w:tc>
        <w:tc>
          <w:tcPr>
            <w:tcW w:type="dxa" w:w="4248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FEM triangular lineal 2D y definición del caso supuesto.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Datos y particiones</w:t>
            </w:r>
          </w:p>
        </w:tc>
        <w:tc>
          <w:tcPr>
            <w:tcW w:type="dxa" w:w="4032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scripts/generate-fem-dataset.js</w:t>
              <w:br/>
              <w:t>scripts/split-fem-chronological.js</w:t>
            </w:r>
          </w:p>
        </w:tc>
        <w:tc>
          <w:tcPr>
            <w:tcW w:type="dxa" w:w="4248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Generación de escenarios y separación temporal.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Aprendizaje</w:t>
            </w:r>
          </w:p>
        </w:tc>
        <w:tc>
          <w:tcPr>
            <w:tcW w:type="dxa" w:w="4032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scripts/train-lstm.py</w:t>
              <w:br/>
              <w:t>scripts/train-physics-guided.py</w:t>
            </w:r>
          </w:p>
        </w:tc>
        <w:tc>
          <w:tcPr>
            <w:tcW w:type="dxa" w:w="4248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Entrenamiento temporal y corrector residual guiado por física.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Evaluación</w:t>
            </w:r>
          </w:p>
        </w:tc>
        <w:tc>
          <w:tcPr>
            <w:tcW w:type="dxa" w:w="4032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data/validation/</w:t>
              <w:br/>
              <w:t>src/core/research-engine.js</w:t>
            </w:r>
          </w:p>
        </w:tc>
        <w:tc>
          <w:tcPr>
            <w:tcW w:type="dxa" w:w="4248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Comparaciones, incertidumbre y verificaciones archivadas.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Century Mine</w:t>
            </w:r>
          </w:p>
        </w:tc>
        <w:tc>
          <w:tcPr>
            <w:tcW w:type="dxa" w:w="4032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docs/CENTURY_DATASET.md</w:t>
              <w:br/>
              <w:t>src/core/century-dataset.js</w:t>
            </w:r>
          </w:p>
        </w:tc>
        <w:tc>
          <w:tcPr>
            <w:tcW w:type="dxa" w:w="4248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Preparación de observaciones públicas y evaluación retrospectiva independiente.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Laboratorio separado</w:t>
            </w:r>
          </w:p>
        </w:tc>
        <w:tc>
          <w:tcPr>
            <w:tcW w:type="dxa" w:w="4032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research-app/</w:t>
            </w:r>
          </w:p>
        </w:tc>
        <w:tc>
          <w:tcPr>
            <w:tcW w:type="dxa" w:w="4248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Análisis exploratorio de datos (EDA), limpieza, ajuste y comparación. Versión Next.js/FastAPI y entrega posterior Python/Streamlit.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Distinción entre las aplicaciones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El visor del artículo funciona en el puerto 3000. El laboratorio anterior usa interfaz 3001 y API 8001; la entrega Streamlit documentada utiliza 8501. Sus datos, historial y resultados son independientes. La presencia del laboratorio no cambia automáticamente el protocolo ni las conclusiones del manuscrito TA-01.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Cómo se obtiene la evidencia del artículo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TA-01 combina lluvia diaria de NASA POWER/MERRA-2 para 2020–2025 con una geometría y propiedades geotécnicas supuestas. La lluvia es reanálisis, no una estación instalada en la mina. El desplazamiento objetivo lo genera el FEM; por eso el conjunto es semisintético.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872"/>
        <w:gridCol w:w="3888"/>
        <w:gridCol w:w="4320"/>
      </w:tblGrid>
      <w:tr>
        <w:trPr>
          <w:tblHeader/>
          <w:cantSplit/>
        </w:trPr>
        <w:tc>
          <w:tcPr>
            <w:tcW w:type="dxa" w:w="1872"/>
            <w:shd w:fill="EDEDED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Etapa</w:t>
            </w:r>
          </w:p>
        </w:tc>
        <w:tc>
          <w:tcPr>
            <w:tcW w:type="dxa" w:w="3888"/>
            <w:shd w:fill="EDEDED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Evidencia conservada</w:t>
            </w:r>
          </w:p>
        </w:tc>
        <w:tc>
          <w:tcPr>
            <w:tcW w:type="dxa" w:w="4320"/>
            <w:shd w:fill="EDEDED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Qué permite comprobar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Escenarios</w:t>
            </w:r>
          </w:p>
        </w:tc>
        <w:tc>
          <w:tcPr>
            <w:tcW w:type="dxa" w:w="3888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data/generated/ta01-fem-500-manifest.json</w:t>
            </w:r>
          </w:p>
        </w:tc>
        <w:tc>
          <w:tcPr>
            <w:tcW w:type="dxa" w:w="4320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Configuración e identificación de los 500 escenarios.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Partición inicial</w:t>
            </w:r>
          </w:p>
        </w:tc>
        <w:tc>
          <w:tcPr>
            <w:tcW w:type="dxa" w:w="3888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ta01-replication-manifest.json</w:t>
            </w:r>
          </w:p>
        </w:tc>
        <w:tc>
          <w:tcPr>
            <w:tcW w:type="dxa" w:w="4320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350/75/75 escenarios, agrupados por fecha de lluvia. No es una prueba cronológica.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Prueba 2024</w:t>
            </w:r>
          </w:p>
        </w:tc>
        <w:tc>
          <w:tcPr>
            <w:tcW w:type="dxa" w:w="3888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Manifiesto de replicación</w:t>
            </w:r>
          </w:p>
        </w:tc>
        <w:tc>
          <w:tcPr>
            <w:tcW w:type="dxa" w:w="4320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258/82/82 escenarios de entrenamiento, validación y prueba; 78 escenarios futuros excluidos.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Prueba 2025</w:t>
            </w:r>
          </w:p>
        </w:tc>
        <w:tc>
          <w:tcPr>
            <w:tcW w:type="dxa" w:w="3888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Manifiesto de replicación</w:t>
            </w:r>
          </w:p>
        </w:tc>
        <w:tc>
          <w:tcPr>
            <w:tcW w:type="dxa" w:w="4320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340/82/78 escenarios de entrenamiento, validación y prueba.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Comparación</w:t>
            </w:r>
          </w:p>
        </w:tc>
        <w:tc>
          <w:tcPr>
            <w:tcW w:type="dxa" w:w="3888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ta01-rolling-origin-model-comparison.csv</w:t>
            </w:r>
          </w:p>
        </w:tc>
        <w:tc>
          <w:tcPr>
            <w:tcW w:type="dxa" w:w="4320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MAE, RMSE y R² del pronóstico a 1 h y 6 h.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Incertidumbre</w:t>
            </w:r>
          </w:p>
        </w:tc>
        <w:tc>
          <w:tcPr>
            <w:tcW w:type="dxa" w:w="3888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ta01-rolling-origin-bootstrap.json</w:t>
            </w:r>
          </w:p>
        </w:tc>
        <w:tc>
          <w:tcPr>
            <w:tcW w:type="dxa" w:w="4320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5000 remuestreos agrupados por fecha e intervalos del 95 %. No es bootstrap de bloques consecutivos.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Preguntas y conclusiones trazables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RQ1 compara persistencia, ridge, LSTM e híbrido. El ranking cambia entre las pruebas cronológicas. RQ2 evalúa el corrector: LSTM obtiene mejores errores en 2024 y el híbrido en 2025; los cuatro intervalos pareados incluyen cero. No hay evidencia de ventaja consistente ni una prueba de equivalencia.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RQ3 muestra deterioro ante ruido y datos faltantes, con mayor degradación del híbrido en las condiciones evaluadas. RQ4 verifica internamente el FEM y una aproximación espacial bajo el mismo operador. Compartir el solver de referencia no constituye validación geotécnica independiente.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MAE es el error absoluto medio; RMSE, la raíz del error cuadrático medio; R², el coeficiente de determinación. No se añaden valores p: el manuscrito no informa pruebas de hipótesis cuya ejecución reproducible no esté conservada. Las cifras detalladas permanecen en sus tablas y archivos originales.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Verificación de esta entrega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520"/>
        <w:gridCol w:w="7560"/>
      </w:tblGrid>
      <w:tr>
        <w:trPr>
          <w:tblHeader/>
          <w:cantSplit/>
        </w:trPr>
        <w:tc>
          <w:tcPr>
            <w:tcW w:type="dxa" w:w="2520"/>
            <w:shd w:fill="EDEDED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Comprobación</w:t>
            </w:r>
          </w:p>
        </w:tc>
        <w:tc>
          <w:tcPr>
            <w:tcW w:type="dxa" w:w="7560"/>
            <w:shd w:fill="EDEDED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Resultado al 30 de septiembre de 2026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Integridad de artefactos TA-01</w:t>
            </w:r>
          </w:p>
        </w:tc>
        <w:tc>
          <w:tcPr>
            <w:tcW w:type="dxa" w:w="7560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86 de 86 archivos enumerados en sources coinciden con el SHA-256 de ta01-replication-manifest.json. Sin ausencias ni discrepancias en ese conjunto.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Pruebas automatizadas</w:t>
            </w:r>
          </w:p>
        </w:tc>
        <w:tc>
          <w:tcPr>
            <w:tcW w:type="dxa" w:w="7560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Node.js v24.19.0: 117 pruebas aprobadas, ninguna fallida, en 25 archivos. La primera ejecución restringida bloqueó un servidor local y la extracción del ZIP; la repetición autorizada sin esas restricciones resolvió ambos bloqueos. No es una medida de exactitud científica.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Alcance de la revisión</w:t>
            </w:r>
          </w:p>
        </w:tc>
        <w:tc>
          <w:tcPr>
            <w:tcW w:type="dxa" w:w="7560"/>
          </w:tcPr>
          <w:p>
            <w:pPr>
              <w:spacing w:after="4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No se reentrenaron modelos ni se regeneraron resultados científicos. Los hashes comprueban integridad, no reproducibilidad bit a bit del entrenamiento.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Procedimiento para demostrar el software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1. Desde la raíz del proyecto, ejecutar npm start con Node.js 24 o superior y las dependencias instaladas. Abrir http://127.0.0.1:3000.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2. Seleccionar el caso TA-01. Mostrar el FEM 2D y las comparaciones a 1 h y 6 h; contrastar los valores con los artefactos de data/validation.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3. Activar la deformación del visor y alternar 1× con una escala ampliada. Explicar que la escala modifica la representación, no el desplazamiento calculado.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4. Mostrar Century Mine por separado. Identificar sus observaciones como históricas y las predicciones como evaluación retrospectiva, no monitoreo actual.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5. Para EDA y ajuste independiente, usar research-app/ y su README. No mezclar ese historial con los experimentos TA-01 del artículo.</w:t>
      </w:r>
    </w:p>
    <w:p>
      <w:pPr>
        <w:pStyle w:val="Heading2"/>
        <w:widowControl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Límites y siguiente validación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El prototipo permite comparar métodos, estudiar sensibilidad y comprobar partes de la implementación. No permite certificar estabilidad de una mina ni emitir alertas operacionales. Para ello se requieren geometría y materiales del sitio, condiciones hidráulicas, sensores calibrados y evaluación prospectiva independiente. Los datos públicos de Century ayudan a estudiar pronósticos observados, pero no aportan todos los parámetros necesarios para validar el FEM del sitio.</w:t>
      </w:r>
    </w:p>
    <w:p>
      <w:pPr>
        <w:pStyle w:val="Heading2"/>
        <w:widowControl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Disponibilidad y uso de IA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20"/>
        </w:rPr>
        <w:t>Fuentes locales: README.md; docs/CASO_TA01_FEM.md; docs/CENTURY_DATASET.md; research-app/README.md; data/validation/ta01-replication-manifest.json. Artículo existente: artifacts/manuscript-review-2026-09-29/rgn-2026-09-30/Manuscrito_TA01_RGN.docx.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20"/>
        </w:rPr>
        <w:t>OpenAI Codex se utilizó como asistencia para desarrollo de software, revisión documental y preparación editorial. Los autores son responsables de verificar el contenido, interpretar los resultados y aprobar la versión que presenten. Financiación y conflictos de interés: ninguno declarado por los autores.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5555"/>
        <w:sz w:val="18"/>
      </w:rPr>
      <w:t xml:space="preserve">30 de septiembre de 2026   ·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5555"/>
        <w:sz w:val="18"/>
      </w:rPr>
      <w:t>QUEZADA RODRÍGUEZ · TELLO FUENTES   |   Informe técnico de la práctica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59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9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59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Informe técnico de la práctica</dc:subject>
  <dc:creator>Roberto Enrique Quezada-Rodríguez y Melanie Celeste Tello Fuentes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