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pPr>
        <w:pStyle w:val="677"/>
        <w:widowControl/>
        <w:pBdr/>
        <w:spacing w:after="80" w:line="480" w:lineRule="auto"/>
        <w:ind/>
        <w:jc w:val="center"/>
        <w:rPr>
          <w:rFonts w:ascii="Times New Roman" w:hAnsi="Times New Roman" w:eastAsia="Times New Roman" w:cs="Times New Roman"/>
          <w:b/>
          <w:bCs/>
          <w:sz w:val="28"/>
          <w:szCs w:val="28"/>
        </w:rPr>
      </w:pPr>
      <w:r>
        <w:t>Semisynthetic FEM LSTM prototype with physics guided correction for slope displacement forecasting</w:t>
      </w:r>
    </w:p>
    <w:p w14:paraId="00000003">
      <w:pPr>
        <w:widowControl/>
        <w:pBdr/>
        <w:spacing w:after="80" w:line="480" w:lineRule="auto"/>
        <w:ind w:firstLine="283"/>
        <w:jc w:val="left"/>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Roberto Enrique Quezada-Rodríguez. Universidad Nacional de Trujillo. Trujillo, Perú.</w:t>
      </w:r>
      <w:r>
        <w:rPr>
          <w:rFonts w:ascii="Times New Roman" w:hAnsi="Times New Roman" w:eastAsia="Times New Roman" w:cs="Times New Roman"/>
          <w:b/>
          <w:bCs/>
          <w:color w:val="000000"/>
          <w:sz w:val="24"/>
          <w:szCs w:val="24"/>
        </w:rPr>
      </w:r>
      <w:r>
        <w:rPr/>
      </w:r>
    </w:p>
    <w:p w14:paraId="00000004">
      <w:pPr>
        <w:widowControl/>
        <w:pBdr/>
        <w:spacing w:after="80" w:line="480" w:lineRule="auto"/>
        <w:ind w:firstLine="283"/>
        <w:jc w:val="left"/>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requezadaro@unitru.edu.pe. ORCID 0009-0004-0869-3881 </w:t>
      </w:r>
      <w:r>
        <w:rPr>
          <w:rFonts w:ascii="Times New Roman" w:hAnsi="Times New Roman" w:eastAsia="Times New Roman" w:cs="Times New Roman"/>
          <w:b/>
          <w:bCs/>
          <w:color w:val="000000"/>
          <w:sz w:val="24"/>
          <w:szCs w:val="24"/>
        </w:rPr>
      </w:r>
    </w:p>
    <w:p w14:paraId="00000005">
      <w:pPr>
        <w:widowControl/>
        <w:pBdr/>
        <w:spacing w:after="80" w:line="480" w:lineRule="auto"/>
        <w:ind w:firstLine="283"/>
        <w:jc w:val="left"/>
        <w:rPr>
          <w:rFonts w:ascii="Times New Roman" w:hAnsi="Times New Roman" w:eastAsia="Times New Roman" w:cs="Times New Roman"/>
          <w:b/>
          <w:bCs/>
          <w:sz w:val="24"/>
          <w:szCs w:val="24"/>
        </w:rPr>
      </w:pPr>
      <w:r>
        <w:rPr>
          <w:rFonts w:ascii="Times New Roman" w:hAnsi="Times New Roman" w:eastAsia="Times New Roman" w:cs="Times New Roman"/>
          <w:b/>
          <w:bCs/>
          <w:color w:val="000000"/>
          <w:sz w:val="24"/>
          <w:szCs w:val="24"/>
          <w:rtl w:val="0"/>
        </w:rPr>
        <w:t xml:space="preserve">Melanie Celeste Tello Fuentes. Universidad Nacional de Trujillo. Trujillo, Perú.</w:t>
      </w:r>
      <w:r>
        <w:rPr>
          <w:rFonts w:ascii="Times New Roman" w:hAnsi="Times New Roman" w:eastAsia="Times New Roman" w:cs="Times New Roman"/>
          <w:b/>
          <w:bCs/>
          <w:color w:val="000000"/>
          <w:sz w:val="24"/>
          <w:szCs w:val="24"/>
        </w:rPr>
      </w:r>
    </w:p>
    <w:p w14:paraId="00000006">
      <w:pPr>
        <w:widowControl/>
        <w:pBdr/>
        <w:spacing w:after="80" w:line="480" w:lineRule="auto"/>
        <w:ind w:firstLine="283"/>
        <w:jc w:val="left"/>
        <w:rPr>
          <w:rFonts w:ascii="Times New Roman" w:hAnsi="Times New Roman" w:eastAsia="Times New Roman" w:cs="Times New Roman"/>
          <w:b/>
          <w:bCs/>
          <w:sz w:val="24"/>
          <w:szCs w:val="24"/>
        </w:rPr>
      </w:pPr>
      <w:r>
        <w:rPr>
          <w:rFonts w:ascii="Times New Roman" w:hAnsi="Times New Roman"/>
          <w:color w:val="000000"/>
          <w:sz w:val="24"/>
        </w:rPr>
      </w:r>
      <w:hyperlink r:id="rId8" w:tooltip="mailto:mctellofu@unitru.edu.pe" w:history="1">
        <w:r>
          <w:rPr>
            <w:rFonts w:ascii="Times New Roman" w:hAnsi="Times New Roman" w:eastAsia="Times New Roman" w:cs="Times New Roman"/>
            <w:b/>
            <w:bCs/>
            <w:sz w:val="24"/>
            <w:szCs w:val="24"/>
            <w:rtl w:val="0"/>
          </w:rPr>
          <w:t xml:space="preserve">mctellofu@unitru.edu.pe</w:t>
        </w:r>
      </w:hyperlink>
      <w:r>
        <w:rPr>
          <w:rFonts w:ascii="Times New Roman" w:hAnsi="Times New Roman" w:eastAsia="Times New Roman" w:cs="Times New Roman"/>
          <w:b/>
          <w:bCs/>
          <w:color w:val="000000"/>
          <w:sz w:val="24"/>
          <w:szCs w:val="24"/>
          <w:rtl w:val="0"/>
        </w:rPr>
        <w:t xml:space="preserve">.</w:t>
        <w:br/>
      </w:r>
      <w:r>
        <w:rPr>
          <w:rFonts w:ascii="Times New Roman" w:hAnsi="Times New Roman" w:eastAsia="Times New Roman" w:cs="Times New Roman"/>
          <w:b/>
          <w:bCs/>
          <w:color w:val="000000"/>
          <w:sz w:val="24"/>
          <w:szCs w:val="24"/>
        </w:rPr>
      </w:r>
    </w:p>
    <w:p w14:paraId="0000000A">
      <w:pPr>
        <w:keepNext w:val="true"/>
        <w:widowControl/>
        <w:pBdr/>
        <w:spacing w:after="80" w:before="160" w:line="480" w:lineRule="auto"/>
        <w:ind w:firstLine="283"/>
        <w:jc w:val="center"/>
        <w:rPr>
          <w:rFonts w:ascii="Times New Roman" w:hAnsi="Times New Roman" w:eastAsia="Times New Roman" w:cs="Times New Roman"/>
          <w:b/>
          <w:bCs/>
          <w:sz w:val="24"/>
          <w:szCs w:val="24"/>
        </w:rPr>
      </w:pPr>
      <w:r>
        <w:t>ABSTRACT</w:t>
      </w:r>
    </w:p>
    <w:p w14:paraId="0000000B">
      <w:pPr>
        <w:widowControl/>
        <w:pBdr/>
        <w:spacing w:after="80" w:line="480" w:lineRule="auto"/>
        <w:ind w:firstLine="283"/>
        <w:jc w:val="both"/>
        <w:rPr>
          <w:rFonts w:ascii="Times New Roman" w:hAnsi="Times New Roman" w:eastAsia="Times New Roman" w:cs="Times New Roman"/>
          <w:b/>
          <w:bCs/>
          <w:sz w:val="24"/>
          <w:szCs w:val="24"/>
        </w:rPr>
      </w:pPr>
      <w:r>
        <w:rPr>
          <w:rFonts w:ascii="Times New Roman" w:hAnsi="Times New Roman"/>
          <w:color w:val="000000"/>
          <w:sz w:val="24"/>
        </w:rPr>
        <w:t xml:space="preserve">Introduction. Frequent slope-model updates require rainfall, mechanical response, and time-series information to be related without confusing a computational demonstration with a field-validated system. Objective. To evaluate a semisynthetic prototype combining a two-dimensional finite element model (FEM), a long short-term memory network (LSTM), and a residual correction constrained by monotonicity for </w:t>
      </w:r>
      <w:r>
        <w:rPr>
          <w:rFonts w:ascii="Times New Roman" w:hAnsi="Times New Roman"/>
          <w:color w:val="000000"/>
          <w:sz w:val="24"/>
        </w:rPr>
        <w:t xml:space="preserve">forecasting maximum </w:t>
      </w:r>
      <w:r>
        <w:rPr>
          <w:rFonts w:ascii="Times New Roman" w:hAnsi="Times New Roman"/>
          <w:color w:val="000000"/>
          <w:sz w:val="24"/>
        </w:rPr>
        <w:t>rainfall-induced displacement</w:t>
      </w:r>
      <w:r>
        <w:rPr>
          <w:rFonts w:ascii="Times New Roman" w:hAnsi="Times New Roman"/>
          <w:color w:val="000000"/>
          <w:sz w:val="24"/>
        </w:rPr>
        <w:t xml:space="preserve"> relative to the </w:t>
      </w:r>
      <w:r>
        <w:rPr>
          <w:rFonts w:ascii="Times New Roman" w:hAnsi="Times New Roman"/>
          <w:color w:val="000000"/>
          <w:sz w:val="24"/>
        </w:rPr>
        <w:t>in</w:t>
      </w:r>
      <w:r>
        <w:rPr>
          <w:rFonts w:ascii="Times New Roman" w:hAnsi="Times New Roman"/>
          <w:color w:val="000000"/>
          <w:sz w:val="24"/>
        </w:rPr>
        <w:t>i</w:t>
      </w:r>
      <w:r>
        <w:rPr>
          <w:rFonts w:ascii="Times New Roman" w:hAnsi="Times New Roman"/>
          <w:color w:val="000000"/>
          <w:sz w:val="24"/>
        </w:rPr>
        <w:t>t</w:t>
      </w:r>
      <w:r>
        <w:rPr>
          <w:rFonts w:ascii="Times New Roman" w:hAnsi="Times New Roman"/>
          <w:color w:val="000000"/>
          <w:sz w:val="24"/>
        </w:rPr>
        <w:t>ial</w:t>
      </w:r>
      <w:r>
        <w:rPr>
          <w:rFonts w:ascii="Times New Roman" w:hAnsi="Times New Roman"/>
          <w:color w:val="000000"/>
          <w:sz w:val="24"/>
        </w:rPr>
        <w:t xml:space="preserve"> </w:t>
      </w:r>
      <w:r>
        <w:rPr>
          <w:rFonts w:ascii="Times New Roman" w:hAnsi="Times New Roman"/>
          <w:color w:val="000000"/>
          <w:sz w:val="24"/>
        </w:rPr>
        <w:t>st</w:t>
      </w:r>
      <w:r>
        <w:rPr>
          <w:rFonts w:ascii="Times New Roman" w:hAnsi="Times New Roman"/>
          <w:color w:val="000000"/>
          <w:sz w:val="24"/>
        </w:rPr>
        <w:t>ate</w:t>
      </w:r>
      <w:r>
        <w:rPr>
          <w:rFonts w:ascii="Times New Roman" w:hAnsi="Times New Roman"/>
          <w:color w:val="000000"/>
          <w:sz w:val="24"/>
        </w:rPr>
        <w:t xml:space="preserve">. Methods. The TA-01 case used assumed geometry, daily NASA POWER reanalysis precipitation from 2020 to 2025, and 500 simulated 24-hour scenarios. Persistence, ridge regression, LSTM, and the hybrid were compared using a rainfall-date split and two chronological tests; uncertainty was estimated with 5.000 </w:t>
      </w:r>
      <w:r>
        <w:rPr>
          <w:rFonts w:ascii="Times New Roman" w:hAnsi="Times New Roman"/>
          <w:color w:val="000000"/>
          <w:sz w:val="24"/>
        </w:rPr>
        <w:t>rainfall-</w:t>
      </w:r>
      <w:r>
        <w:rPr>
          <w:rFonts w:ascii="Times New Roman" w:hAnsi="Times New Roman"/>
          <w:color w:val="000000"/>
          <w:sz w:val="24"/>
        </w:rPr>
        <w:t>date</w:t>
      </w:r>
      <w:r>
        <w:rPr>
          <w:rFonts w:ascii="Times New Roman" w:hAnsi="Times New Roman"/>
          <w:color w:val="000000"/>
          <w:sz w:val="24"/>
        </w:rPr>
        <w:t xml:space="preserve"> c</w:t>
      </w:r>
      <w:r>
        <w:rPr>
          <w:rFonts w:ascii="Times New Roman" w:hAnsi="Times New Roman"/>
          <w:color w:val="000000"/>
          <w:sz w:val="24"/>
        </w:rPr>
        <w:t>l</w:t>
      </w:r>
      <w:r>
        <w:rPr>
          <w:rFonts w:ascii="Times New Roman" w:hAnsi="Times New Roman"/>
          <w:color w:val="000000"/>
          <w:sz w:val="24"/>
        </w:rPr>
        <w:t>uster</w:t>
      </w:r>
      <w:r>
        <w:rPr>
          <w:rFonts w:ascii="Times New Roman" w:hAnsi="Times New Roman"/>
          <w:color w:val="000000"/>
          <w:sz w:val="24"/>
        </w:rPr>
        <w:t xml:space="preserve"> resamples. Results. In the date-separated test, hybrid mean absolute error (MAE) was 0.00000798 mm at 1 h and 0.00006176 mm at 6 h, compared with 0.00000858 and 0.00006332 mm for LSTM. LSTM had lower MAE in 2024, whereas the hybrid had lower MAE in 2025. All four 95% confidence intervals for the difference included zero. Conclusions. The workflow supports controlled study of FEM and temporal learning, but the evidence does not establish a general advantage for the correction model or validity for operational alerts.</w:t>
      </w:r>
    </w:p>
    <w:p w14:paraId="0000000C">
      <w:pPr>
        <w:widowControl/>
        <w:pBdr/>
        <w:spacing w:after="80" w:line="480" w:lineRule="auto"/>
        <w:ind/>
        <w:rPr>
          <w:rFonts w:ascii="Times New Roman" w:hAnsi="Times New Roman" w:eastAsia="Times New Roman" w:cs="Times New Roman"/>
          <w:sz w:val="24"/>
          <w:szCs w:val="24"/>
        </w:rPr>
      </w:pPr>
      <w:r>
        <w:t>Keywords: Slope stability; Finite elements; LSTM; Physics-guided learning; Semisynthetic data.</w:t>
      </w:r>
    </w:p>
    <w:p>
      <w:pPr>
        <w:pStyle w:val="672"/>
        <w:keepNext/>
        <w:widowControl/>
        <w:pBdr/>
        <w:spacing w:line="480" w:lineRule="auto" w:after="80"/>
        <w:ind/>
        <w:rPr/>
      </w:pPr>
      <w:r>
        <w:t>Abbreviations</w:t>
      </w:r>
    </w:p>
    <w:p>
      <w:pPr>
        <w:widowControl/>
        <w:pBdr/>
        <w:spacing w:after="80" w:line="480" w:lineRule="auto"/>
        <w:ind w:firstLine="283"/>
        <w:rPr/>
      </w:pPr>
      <w:r>
        <w:t>FEM: finite element method; FoS: factor of safety; CI: confidence interval; IoT: Internet of Things; LHS: Latin hypercube sampling; LSTM: long short-term memory; MAE: mean absolute error; MLP: multilayer perceptron; MSE: mean squared error; PIELM: physics-informed extreme learning machine; PINN: physics-informed neural network; RBF: radial basis function; RMSE: root mean squared error; RQ: research question.</w:t>
      </w:r>
    </w:p>
    <w:p w14:paraId="0000000D">
      <w:pPr>
        <w:pStyle w:val="671"/>
        <w:keepNext/>
        <w:widowControl/>
        <w:pBdr/>
        <w:spacing w:before="160" w:line="480" w:lineRule="auto" w:after="80"/>
        <w:ind/>
        <w:jc w:val="center"/>
        <w:rPr>
          <w:rFonts w:ascii="Times New Roman" w:hAnsi="Times New Roman" w:eastAsia="Times New Roman" w:cs="Times New Roman"/>
          <w:b/>
          <w:bCs/>
          <w:sz w:val="24"/>
          <w:szCs w:val="24"/>
        </w:rPr>
      </w:pPr>
      <w:r>
        <w:t>INTRODUCTION</w:t>
      </w:r>
    </w:p>
    <w:p w14:paraId="0000000E">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La estabilidad de los taludes constituye una condición crítica para la continuidad y seguridad de las operaciones en minas a cielo abierto. La excavación modifica de manera progresiva la geometría del macizo rocoso, el estado tensional y los regímenes de infiltración y presión de poros. En consecuencia, una estimación aislada del factor de seguridad (FoS) resulta insuficiente cuando las condiciones geotécnicas y operacionales cambian a lo largo del tiempo. Wang et al. (2023) señalan que el aprendizaje profundo </w:t>
      </w:r>
      <w:r>
        <w:rPr>
          <w:rFonts w:ascii="Times New Roman" w:hAnsi="Times New Roman"/>
          <w:color w:val="000000"/>
          <w:sz w:val="24"/>
        </w:rPr>
        <w:t>pu</w:t>
      </w:r>
      <w:r>
        <w:rPr>
          <w:rFonts w:ascii="Times New Roman" w:hAnsi="Times New Roman"/>
          <w:color w:val="000000"/>
          <w:sz w:val="24"/>
        </w:rPr>
        <w:t>e</w:t>
      </w:r>
      <w:r>
        <w:rPr>
          <w:rFonts w:ascii="Times New Roman" w:hAnsi="Times New Roman"/>
          <w:color w:val="000000"/>
          <w:sz w:val="24"/>
        </w:rPr>
        <w:t>de f</w:t>
      </w:r>
      <w:r>
        <w:rPr>
          <w:rFonts w:ascii="Times New Roman" w:hAnsi="Times New Roman"/>
          <w:color w:val="000000"/>
          <w:sz w:val="24"/>
        </w:rPr>
        <w:t>a</w:t>
      </w:r>
      <w:r>
        <w:rPr>
          <w:rFonts w:ascii="Times New Roman" w:hAnsi="Times New Roman"/>
          <w:color w:val="000000"/>
          <w:sz w:val="24"/>
        </w:rPr>
        <w:t>ci</w:t>
      </w:r>
      <w:r>
        <w:rPr>
          <w:rFonts w:ascii="Times New Roman" w:hAnsi="Times New Roman"/>
          <w:color w:val="000000"/>
          <w:sz w:val="24"/>
        </w:rPr>
        <w:t>l</w:t>
      </w:r>
      <w:r>
        <w:rPr>
          <w:rFonts w:ascii="Times New Roman" w:hAnsi="Times New Roman"/>
          <w:color w:val="000000"/>
          <w:sz w:val="24"/>
        </w:rPr>
        <w:t>i</w:t>
      </w:r>
      <w:r>
        <w:rPr>
          <w:rFonts w:ascii="Times New Roman" w:hAnsi="Times New Roman"/>
          <w:color w:val="000000"/>
          <w:sz w:val="24"/>
        </w:rPr>
        <w:t>t</w:t>
      </w:r>
      <w:r>
        <w:rPr>
          <w:rFonts w:ascii="Times New Roman" w:hAnsi="Times New Roman"/>
          <w:color w:val="000000"/>
          <w:sz w:val="24"/>
        </w:rPr>
        <w:t>a</w:t>
      </w:r>
      <w:r>
        <w:rPr>
          <w:rFonts w:ascii="Times New Roman" w:hAnsi="Times New Roman"/>
          <w:color w:val="000000"/>
          <w:sz w:val="24"/>
        </w:rPr>
        <w:t>r</w:t>
      </w:r>
      <w:r>
        <w:rPr>
          <w:rFonts w:ascii="Times New Roman" w:hAnsi="Times New Roman"/>
          <w:color w:val="000000"/>
          <w:sz w:val="24"/>
        </w:rPr>
        <w:t xml:space="preserve"> la predicción del factor de estabilidad </w:t>
      </w:r>
      <w:r>
        <w:rPr>
          <w:rFonts w:ascii="Times New Roman" w:hAnsi="Times New Roman"/>
          <w:color w:val="000000"/>
          <w:sz w:val="24"/>
        </w:rPr>
        <w:t>e</w:t>
      </w:r>
      <w:r>
        <w:rPr>
          <w:rFonts w:ascii="Times New Roman" w:hAnsi="Times New Roman"/>
          <w:color w:val="000000"/>
          <w:sz w:val="24"/>
        </w:rPr>
        <w:t>n</w:t>
      </w:r>
      <w:r>
        <w:rPr>
          <w:rFonts w:ascii="Times New Roman" w:hAnsi="Times New Roman"/>
          <w:color w:val="000000"/>
          <w:sz w:val="24"/>
        </w:rPr>
        <w:t xml:space="preserve"> el </w:t>
      </w:r>
      <w:r>
        <w:rPr>
          <w:rFonts w:ascii="Times New Roman" w:hAnsi="Times New Roman"/>
          <w:color w:val="000000"/>
          <w:sz w:val="24"/>
        </w:rPr>
        <w:t xml:space="preserve">caso </w:t>
      </w:r>
      <w:r>
        <w:rPr>
          <w:rFonts w:ascii="Times New Roman" w:hAnsi="Times New Roman"/>
          <w:color w:val="000000"/>
          <w:sz w:val="24"/>
        </w:rPr>
        <w:t>es</w:t>
      </w:r>
      <w:r>
        <w:rPr>
          <w:rFonts w:ascii="Times New Roman" w:hAnsi="Times New Roman"/>
          <w:color w:val="000000"/>
          <w:sz w:val="24"/>
        </w:rPr>
        <w:t>tudi</w:t>
      </w:r>
      <w:r>
        <w:rPr>
          <w:rFonts w:ascii="Times New Roman" w:hAnsi="Times New Roman"/>
          <w:color w:val="000000"/>
          <w:sz w:val="24"/>
        </w:rPr>
        <w:t>a</w:t>
      </w:r>
      <w:r>
        <w:rPr>
          <w:rFonts w:ascii="Times New Roman" w:hAnsi="Times New Roman"/>
          <w:color w:val="000000"/>
          <w:sz w:val="24"/>
        </w:rPr>
        <w:t>d</w:t>
      </w:r>
      <w:r>
        <w:rPr>
          <w:rFonts w:ascii="Times New Roman" w:hAnsi="Times New Roman"/>
          <w:color w:val="000000"/>
          <w:sz w:val="24"/>
        </w:rPr>
        <w:t>o. Por ello, una capacidad de previsión que anticipe la tendencia de desplazamientos, las variaciones de presión de poros y la reducción del FoS p</w:t>
      </w:r>
      <w:r>
        <w:rPr>
          <w:rFonts w:ascii="Times New Roman" w:hAnsi="Times New Roman"/>
          <w:color w:val="000000"/>
          <w:sz w:val="24"/>
        </w:rPr>
        <w:t>o</w:t>
      </w:r>
      <w:r>
        <w:rPr>
          <w:rFonts w:ascii="Times New Roman" w:hAnsi="Times New Roman"/>
          <w:color w:val="000000"/>
          <w:sz w:val="24"/>
        </w:rPr>
        <w:t>d</w:t>
      </w:r>
      <w:r>
        <w:rPr>
          <w:rFonts w:ascii="Times New Roman" w:hAnsi="Times New Roman"/>
          <w:color w:val="000000"/>
          <w:sz w:val="24"/>
        </w:rPr>
        <w:t>ría</w:t>
      </w:r>
      <w:r>
        <w:rPr>
          <w:rFonts w:ascii="Times New Roman" w:hAnsi="Times New Roman"/>
          <w:color w:val="000000"/>
          <w:sz w:val="24"/>
        </w:rPr>
        <w:t xml:space="preserve"> apoyar decisiones de alerta, evacuación, rediseño de bancos y control de producción</w:t>
      </w:r>
      <w:r>
        <w:rPr>
          <w:rFonts w:ascii="Times New Roman" w:hAnsi="Times New Roman"/>
          <w:color w:val="000000"/>
          <w:sz w:val="24"/>
        </w:rPr>
        <w:t>, siempre que su desempeño y sus umbrales se validen para el sitio</w:t>
      </w:r>
      <w:r>
        <w:rPr>
          <w:rFonts w:ascii="Times New Roman" w:hAnsi="Times New Roman"/>
          <w:color w:val="000000"/>
          <w:sz w:val="24"/>
        </w:rPr>
        <w:t>.</w:t>
      </w:r>
    </w:p>
    <w:p w14:paraId="0000000F">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Los enfoques convencionales de análisis de estabilidad, incluidos los modelos de equilibrio límite y de elementos finitos (FEM), representan de forma explícita la geometría, la resistencia y las condiciones de frontera. Esta base física </w:t>
      </w:r>
      <w:r>
        <w:rPr>
          <w:rFonts w:ascii="Times New Roman" w:hAnsi="Times New Roman"/>
          <w:color w:val="000000"/>
          <w:sz w:val="24"/>
        </w:rPr>
        <w:t>pe</w:t>
      </w:r>
      <w:r>
        <w:rPr>
          <w:rFonts w:ascii="Times New Roman" w:hAnsi="Times New Roman"/>
          <w:color w:val="000000"/>
          <w:sz w:val="24"/>
        </w:rPr>
        <w:t>rmit</w:t>
      </w:r>
      <w:r>
        <w:rPr>
          <w:rFonts w:ascii="Times New Roman" w:hAnsi="Times New Roman"/>
          <w:color w:val="000000"/>
          <w:sz w:val="24"/>
        </w:rPr>
        <w:t>e</w:t>
      </w:r>
      <w:r>
        <w:rPr>
          <w:rFonts w:ascii="Times New Roman" w:hAnsi="Times New Roman"/>
          <w:color w:val="000000"/>
          <w:sz w:val="24"/>
        </w:rPr>
        <w:t xml:space="preserve"> interpretar mecanismos de falla y evaluar escenarios de lluvia, excavación o cambios en las propiedades del material. Sin embargo, sus resultados </w:t>
      </w:r>
      <w:r>
        <w:rPr>
          <w:rFonts w:ascii="Times New Roman" w:hAnsi="Times New Roman"/>
          <w:color w:val="000000"/>
          <w:sz w:val="24"/>
        </w:rPr>
        <w:t>depende</w:t>
      </w:r>
      <w:r>
        <w:rPr>
          <w:rFonts w:ascii="Times New Roman" w:hAnsi="Times New Roman"/>
          <w:color w:val="000000"/>
          <w:sz w:val="24"/>
        </w:rPr>
        <w:t>n</w:t>
      </w:r>
      <w:r>
        <w:rPr>
          <w:rFonts w:ascii="Times New Roman" w:hAnsi="Times New Roman"/>
          <w:color w:val="000000"/>
          <w:sz w:val="24"/>
        </w:rPr>
        <w:t xml:space="preserve"> de parámetros </w:t>
      </w:r>
      <w:r>
        <w:rPr>
          <w:rFonts w:ascii="Times New Roman" w:hAnsi="Times New Roman"/>
          <w:color w:val="000000"/>
          <w:sz w:val="24"/>
        </w:rPr>
        <w:t>inc</w:t>
      </w:r>
      <w:r>
        <w:rPr>
          <w:rFonts w:ascii="Times New Roman" w:hAnsi="Times New Roman"/>
          <w:color w:val="000000"/>
          <w:sz w:val="24"/>
        </w:rPr>
        <w:t>i</w:t>
      </w:r>
      <w:r>
        <w:rPr>
          <w:rFonts w:ascii="Times New Roman" w:hAnsi="Times New Roman"/>
          <w:color w:val="000000"/>
          <w:sz w:val="24"/>
        </w:rPr>
        <w:t>ert</w:t>
      </w:r>
      <w:r>
        <w:rPr>
          <w:rFonts w:ascii="Times New Roman" w:hAnsi="Times New Roman"/>
          <w:color w:val="000000"/>
          <w:sz w:val="24"/>
        </w:rPr>
        <w:t>os</w:t>
      </w:r>
      <w:r>
        <w:rPr>
          <w:rFonts w:ascii="Times New Roman" w:hAnsi="Times New Roman"/>
          <w:color w:val="000000"/>
          <w:sz w:val="24"/>
        </w:rPr>
        <w:t xml:space="preserve"> y de actualizaciones que no siempre acompañan la velocidad del monitoreo en campo. </w:t>
      </w:r>
      <w:r>
        <w:rPr>
          <w:rFonts w:ascii="Times New Roman" w:hAnsi="Times New Roman"/>
          <w:color w:val="000000"/>
          <w:sz w:val="24"/>
        </w:rPr>
        <w:t>Liu et al. (2022) contrastaro</w:t>
      </w:r>
      <w:r>
        <w:rPr>
          <w:rFonts w:ascii="Times New Roman" w:hAnsi="Times New Roman"/>
          <w:color w:val="000000"/>
          <w:sz w:val="24"/>
        </w:rPr>
        <w:t xml:space="preserve">n </w:t>
      </w:r>
      <w:r>
        <w:rPr>
          <w:rFonts w:ascii="Times New Roman" w:hAnsi="Times New Roman"/>
          <w:color w:val="000000"/>
          <w:sz w:val="24"/>
        </w:rPr>
        <w:t>l</w:t>
      </w:r>
      <w:r>
        <w:rPr>
          <w:rFonts w:ascii="Times New Roman" w:hAnsi="Times New Roman"/>
          <w:color w:val="000000"/>
          <w:sz w:val="24"/>
        </w:rPr>
        <w:t xml:space="preserve">a </w:t>
      </w:r>
      <w:r>
        <w:rPr>
          <w:rFonts w:ascii="Times New Roman" w:hAnsi="Times New Roman"/>
          <w:color w:val="000000"/>
          <w:sz w:val="24"/>
        </w:rPr>
        <w:t>evo</w:t>
      </w:r>
      <w:r>
        <w:rPr>
          <w:rFonts w:ascii="Times New Roman" w:hAnsi="Times New Roman"/>
          <w:color w:val="000000"/>
          <w:sz w:val="24"/>
        </w:rPr>
        <w:t>l</w:t>
      </w:r>
      <w:r>
        <w:rPr>
          <w:rFonts w:ascii="Times New Roman" w:hAnsi="Times New Roman"/>
          <w:color w:val="000000"/>
          <w:sz w:val="24"/>
        </w:rPr>
        <w:t>u</w:t>
      </w:r>
      <w:r>
        <w:rPr>
          <w:rFonts w:ascii="Times New Roman" w:hAnsi="Times New Roman"/>
          <w:color w:val="000000"/>
          <w:sz w:val="24"/>
        </w:rPr>
        <w:t>ción de</w:t>
      </w:r>
      <w:r>
        <w:rPr>
          <w:rFonts w:ascii="Times New Roman" w:hAnsi="Times New Roman"/>
          <w:color w:val="000000"/>
          <w:sz w:val="24"/>
        </w:rPr>
        <w:t xml:space="preserve"> la estabilidad de un</w:t>
      </w:r>
      <w:r>
        <w:rPr>
          <w:rFonts w:ascii="Times New Roman" w:hAnsi="Times New Roman"/>
          <w:color w:val="000000"/>
          <w:sz w:val="24"/>
        </w:rPr>
        <w:t xml:space="preserve"> gemelo digital de talud</w:t>
      </w:r>
      <w:r>
        <w:rPr>
          <w:rFonts w:ascii="Times New Roman" w:hAnsi="Times New Roman"/>
          <w:color w:val="000000"/>
          <w:sz w:val="24"/>
        </w:rPr>
        <w:t xml:space="preserve"> con </w:t>
      </w:r>
      <w:r>
        <w:rPr>
          <w:rFonts w:ascii="Times New Roman" w:hAnsi="Times New Roman"/>
          <w:color w:val="000000"/>
          <w:sz w:val="24"/>
        </w:rPr>
        <w:t>un</w:t>
      </w:r>
      <w:r>
        <w:rPr>
          <w:rFonts w:ascii="Times New Roman" w:hAnsi="Times New Roman"/>
          <w:color w:val="000000"/>
          <w:sz w:val="24"/>
        </w:rPr>
        <w:t>a falla observada</w:t>
      </w:r>
      <w:r>
        <w:rPr>
          <w:rFonts w:ascii="Times New Roman" w:hAnsi="Times New Roman"/>
          <w:color w:val="000000"/>
          <w:sz w:val="24"/>
        </w:rPr>
        <w:t xml:space="preserve"> </w:t>
      </w:r>
      <w:r>
        <w:rPr>
          <w:rFonts w:ascii="Times New Roman" w:hAnsi="Times New Roman"/>
          <w:color w:val="000000"/>
          <w:sz w:val="24"/>
        </w:rPr>
        <w:t>aso</w:t>
      </w:r>
      <w:r>
        <w:rPr>
          <w:rFonts w:ascii="Times New Roman" w:hAnsi="Times New Roman"/>
          <w:color w:val="000000"/>
          <w:sz w:val="24"/>
        </w:rPr>
        <w:t>ci</w:t>
      </w:r>
      <w:r>
        <w:rPr>
          <w:rFonts w:ascii="Times New Roman" w:hAnsi="Times New Roman"/>
          <w:color w:val="000000"/>
          <w:sz w:val="24"/>
        </w:rPr>
        <w:t>a</w:t>
      </w:r>
      <w:r>
        <w:rPr>
          <w:rFonts w:ascii="Times New Roman" w:hAnsi="Times New Roman"/>
          <w:color w:val="000000"/>
          <w:sz w:val="24"/>
        </w:rPr>
        <w:t xml:space="preserve">da </w:t>
      </w:r>
      <w:r>
        <w:rPr>
          <w:rFonts w:ascii="Times New Roman" w:hAnsi="Times New Roman"/>
          <w:color w:val="000000"/>
          <w:sz w:val="24"/>
        </w:rPr>
        <w:t xml:space="preserve">a </w:t>
      </w:r>
      <w:r>
        <w:rPr>
          <w:rFonts w:ascii="Times New Roman" w:hAnsi="Times New Roman"/>
          <w:color w:val="000000"/>
          <w:sz w:val="24"/>
        </w:rPr>
        <w:t>lluvi</w:t>
      </w:r>
      <w:r>
        <w:rPr>
          <w:rFonts w:ascii="Times New Roman" w:hAnsi="Times New Roman"/>
          <w:color w:val="000000"/>
          <w:sz w:val="24"/>
        </w:rPr>
        <w:t>a extrema</w:t>
      </w:r>
      <w:r>
        <w:rPr>
          <w:rFonts w:ascii="Times New Roman" w:hAnsi="Times New Roman"/>
          <w:color w:val="000000"/>
          <w:sz w:val="24"/>
        </w:rPr>
        <w:t xml:space="preserve">. Este antecedente muestra </w:t>
      </w:r>
      <w:r>
        <w:rPr>
          <w:rFonts w:ascii="Times New Roman" w:hAnsi="Times New Roman"/>
          <w:color w:val="000000"/>
          <w:sz w:val="24"/>
        </w:rPr>
        <w:t>l</w:t>
      </w:r>
      <w:r>
        <w:rPr>
          <w:rFonts w:ascii="Times New Roman" w:hAnsi="Times New Roman"/>
          <w:color w:val="000000"/>
          <w:sz w:val="24"/>
        </w:rPr>
        <w:t>a</w:t>
      </w:r>
      <w:r>
        <w:rPr>
          <w:rFonts w:ascii="Times New Roman" w:hAnsi="Times New Roman"/>
          <w:color w:val="000000"/>
          <w:sz w:val="24"/>
        </w:rPr>
        <w:t xml:space="preserve"> </w:t>
      </w:r>
      <w:r>
        <w:rPr>
          <w:rFonts w:ascii="Times New Roman" w:hAnsi="Times New Roman"/>
          <w:color w:val="000000"/>
          <w:sz w:val="24"/>
        </w:rPr>
        <w:t>imp</w:t>
      </w:r>
      <w:r>
        <w:rPr>
          <w:rFonts w:ascii="Times New Roman" w:hAnsi="Times New Roman"/>
          <w:color w:val="000000"/>
          <w:sz w:val="24"/>
        </w:rPr>
        <w:t>or</w:t>
      </w:r>
      <w:r>
        <w:rPr>
          <w:rFonts w:ascii="Times New Roman" w:hAnsi="Times New Roman"/>
          <w:color w:val="000000"/>
          <w:sz w:val="24"/>
        </w:rPr>
        <w:t>tancia</w:t>
      </w:r>
      <w:r>
        <w:rPr>
          <w:rFonts w:ascii="Times New Roman" w:hAnsi="Times New Roman"/>
          <w:color w:val="000000"/>
          <w:sz w:val="24"/>
        </w:rPr>
        <w:t xml:space="preserve"> de actualiz</w:t>
      </w:r>
      <w:r>
        <w:rPr>
          <w:rFonts w:ascii="Times New Roman" w:hAnsi="Times New Roman"/>
          <w:color w:val="000000"/>
          <w:sz w:val="24"/>
        </w:rPr>
        <w:t>ar y contrast</w:t>
      </w:r>
      <w:r>
        <w:rPr>
          <w:rFonts w:ascii="Times New Roman" w:hAnsi="Times New Roman"/>
          <w:color w:val="000000"/>
          <w:sz w:val="24"/>
        </w:rPr>
        <w:t>ar el modelo con registros de desempeño y observaciones</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TA-01 n</w:t>
      </w:r>
      <w:r>
        <w:rPr>
          <w:rFonts w:ascii="Times New Roman" w:hAnsi="Times New Roman"/>
          <w:color w:val="000000"/>
          <w:sz w:val="24"/>
        </w:rPr>
        <w:t xml:space="preserve">o </w:t>
      </w:r>
      <w:r>
        <w:rPr>
          <w:rFonts w:ascii="Times New Roman" w:hAnsi="Times New Roman"/>
          <w:color w:val="000000"/>
          <w:sz w:val="24"/>
        </w:rPr>
        <w:t>d</w:t>
      </w:r>
      <w:r>
        <w:rPr>
          <w:rFonts w:ascii="Times New Roman" w:hAnsi="Times New Roman"/>
          <w:color w:val="000000"/>
          <w:sz w:val="24"/>
        </w:rPr>
        <w:t>i</w:t>
      </w:r>
      <w:r>
        <w:rPr>
          <w:rFonts w:ascii="Times New Roman" w:hAnsi="Times New Roman"/>
          <w:color w:val="000000"/>
          <w:sz w:val="24"/>
        </w:rPr>
        <w:t>s</w:t>
      </w:r>
      <w:r>
        <w:rPr>
          <w:rFonts w:ascii="Times New Roman" w:hAnsi="Times New Roman"/>
          <w:color w:val="000000"/>
          <w:sz w:val="24"/>
        </w:rPr>
        <w:t>p</w:t>
      </w:r>
      <w:r>
        <w:rPr>
          <w:rFonts w:ascii="Times New Roman" w:hAnsi="Times New Roman"/>
          <w:color w:val="000000"/>
          <w:sz w:val="24"/>
        </w:rPr>
        <w:t>o</w:t>
      </w:r>
      <w:r>
        <w:rPr>
          <w:rFonts w:ascii="Times New Roman" w:hAnsi="Times New Roman"/>
          <w:color w:val="000000"/>
          <w:sz w:val="24"/>
        </w:rPr>
        <w:t>ne</w:t>
      </w:r>
      <w:r>
        <w:rPr>
          <w:rFonts w:ascii="Times New Roman" w:hAnsi="Times New Roman"/>
          <w:color w:val="000000"/>
          <w:sz w:val="24"/>
        </w:rPr>
        <w:t xml:space="preserve"> de </w:t>
      </w:r>
      <w:r>
        <w:rPr>
          <w:rFonts w:ascii="Times New Roman" w:hAnsi="Times New Roman"/>
          <w:color w:val="000000"/>
          <w:sz w:val="24"/>
        </w:rPr>
        <w:t>es</w:t>
      </w:r>
      <w:r>
        <w:rPr>
          <w:rFonts w:ascii="Times New Roman" w:hAnsi="Times New Roman"/>
          <w:color w:val="000000"/>
          <w:sz w:val="24"/>
        </w:rPr>
        <w:t>e con</w:t>
      </w:r>
      <w:r>
        <w:rPr>
          <w:rFonts w:ascii="Times New Roman" w:hAnsi="Times New Roman"/>
          <w:color w:val="000000"/>
          <w:sz w:val="24"/>
        </w:rPr>
        <w:t>t</w:t>
      </w:r>
      <w:r>
        <w:rPr>
          <w:rFonts w:ascii="Times New Roman" w:hAnsi="Times New Roman"/>
          <w:color w:val="000000"/>
          <w:sz w:val="24"/>
        </w:rPr>
        <w:t>r</w:t>
      </w:r>
      <w:r>
        <w:rPr>
          <w:rFonts w:ascii="Times New Roman" w:hAnsi="Times New Roman"/>
          <w:color w:val="000000"/>
          <w:sz w:val="24"/>
        </w:rPr>
        <w:t>a</w:t>
      </w:r>
      <w:r>
        <w:rPr>
          <w:rFonts w:ascii="Times New Roman" w:hAnsi="Times New Roman"/>
          <w:color w:val="000000"/>
          <w:sz w:val="24"/>
        </w:rPr>
        <w:t>st</w:t>
      </w:r>
      <w:r>
        <w:rPr>
          <w:rFonts w:ascii="Times New Roman" w:hAnsi="Times New Roman"/>
          <w:color w:val="000000"/>
          <w:sz w:val="24"/>
        </w:rPr>
        <w:t>e</w:t>
      </w:r>
      <w:r>
        <w:rPr>
          <w:rFonts w:ascii="Times New Roman" w:hAnsi="Times New Roman"/>
          <w:color w:val="000000"/>
          <w:sz w:val="24"/>
        </w:rPr>
        <w:t>.</w:t>
      </w:r>
    </w:p>
    <w:p w14:paraId="00000010">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El desarrollo de sensores geotécnicos, estaciones meteorológicas, sistemas IoT y fotogrametría ha ampliado la disponibilidad de series temporales para este propósito. No obstante, el uso exclusivo de aprendizaje automático puede producir predicciones difíciles de interpretar o físicamente inconsistentes, especialmente ante escenarios </w:t>
      </w:r>
      <w:r>
        <w:rPr>
          <w:rFonts w:ascii="Times New Roman" w:hAnsi="Times New Roman"/>
          <w:color w:val="000000"/>
          <w:sz w:val="24"/>
        </w:rPr>
        <w:t>p</w:t>
      </w:r>
      <w:r>
        <w:rPr>
          <w:rFonts w:ascii="Times New Roman" w:hAnsi="Times New Roman"/>
          <w:color w:val="000000"/>
          <w:sz w:val="24"/>
        </w:rPr>
        <w:t>o</w:t>
      </w:r>
      <w:r>
        <w:rPr>
          <w:rFonts w:ascii="Times New Roman" w:hAnsi="Times New Roman"/>
          <w:color w:val="000000"/>
          <w:sz w:val="24"/>
        </w:rPr>
        <w:t>co</w:t>
      </w:r>
      <w:r>
        <w:rPr>
          <w:rFonts w:ascii="Times New Roman" w:hAnsi="Times New Roman"/>
          <w:color w:val="000000"/>
          <w:sz w:val="24"/>
        </w:rPr>
        <w:t xml:space="preserve"> representados en los datos históricos. Pei et al. (2023</w:t>
      </w:r>
      <w:r>
        <w:rPr>
          <w:rFonts w:ascii="Times New Roman" w:hAnsi="Times New Roman"/>
          <w:color w:val="000000"/>
          <w:sz w:val="24"/>
        </w:rPr>
        <w:t>) e</w:t>
      </w:r>
      <w:r>
        <w:rPr>
          <w:rFonts w:ascii="Times New Roman" w:hAnsi="Times New Roman"/>
          <w:color w:val="000000"/>
          <w:sz w:val="24"/>
        </w:rPr>
        <w:t>valu</w:t>
      </w:r>
      <w:r>
        <w:rPr>
          <w:rFonts w:ascii="Times New Roman" w:hAnsi="Times New Roman"/>
          <w:color w:val="000000"/>
          <w:sz w:val="24"/>
        </w:rPr>
        <w:t>aron</w:t>
      </w:r>
      <w:r>
        <w:rPr>
          <w:rFonts w:ascii="Times New Roman" w:hAnsi="Times New Roman"/>
          <w:color w:val="000000"/>
          <w:sz w:val="24"/>
        </w:rPr>
        <w:t xml:space="preserve"> métodos </w:t>
      </w:r>
      <w:r>
        <w:rPr>
          <w:rFonts w:ascii="Times New Roman" w:hAnsi="Times New Roman"/>
          <w:color w:val="000000"/>
          <w:sz w:val="24"/>
        </w:rPr>
        <w:t>q</w:t>
      </w:r>
      <w:r>
        <w:rPr>
          <w:rFonts w:ascii="Times New Roman" w:hAnsi="Times New Roman"/>
          <w:color w:val="000000"/>
          <w:sz w:val="24"/>
        </w:rPr>
        <w:t>ue</w:t>
      </w:r>
      <w:r>
        <w:rPr>
          <w:rFonts w:ascii="Times New Roman" w:hAnsi="Times New Roman"/>
          <w:color w:val="000000"/>
          <w:sz w:val="24"/>
        </w:rPr>
        <w:t xml:space="preserve"> inc</w:t>
      </w:r>
      <w:r>
        <w:rPr>
          <w:rFonts w:ascii="Times New Roman" w:hAnsi="Times New Roman"/>
          <w:color w:val="000000"/>
          <w:sz w:val="24"/>
        </w:rPr>
        <w:t>o</w:t>
      </w:r>
      <w:r>
        <w:rPr>
          <w:rFonts w:ascii="Times New Roman" w:hAnsi="Times New Roman"/>
          <w:color w:val="000000"/>
          <w:sz w:val="24"/>
        </w:rPr>
        <w:t>r</w:t>
      </w:r>
      <w:r>
        <w:rPr>
          <w:rFonts w:ascii="Times New Roman" w:hAnsi="Times New Roman"/>
          <w:color w:val="000000"/>
          <w:sz w:val="24"/>
        </w:rPr>
        <w:t>p</w:t>
      </w:r>
      <w:r>
        <w:rPr>
          <w:rFonts w:ascii="Times New Roman" w:hAnsi="Times New Roman"/>
          <w:color w:val="000000"/>
          <w:sz w:val="24"/>
        </w:rPr>
        <w:t>o</w:t>
      </w:r>
      <w:r>
        <w:rPr>
          <w:rFonts w:ascii="Times New Roman" w:hAnsi="Times New Roman"/>
          <w:color w:val="000000"/>
          <w:sz w:val="24"/>
        </w:rPr>
        <w:t>ra</w:t>
      </w:r>
      <w:r>
        <w:rPr>
          <w:rFonts w:ascii="Times New Roman" w:hAnsi="Times New Roman"/>
          <w:color w:val="000000"/>
          <w:sz w:val="24"/>
        </w:rPr>
        <w:t xml:space="preserve">n conocimiento del dominio </w:t>
      </w:r>
      <w:r>
        <w:rPr>
          <w:rFonts w:ascii="Times New Roman" w:hAnsi="Times New Roman"/>
          <w:color w:val="000000"/>
          <w:sz w:val="24"/>
        </w:rPr>
        <w:t>y do</w:t>
      </w:r>
      <w:r>
        <w:rPr>
          <w:rFonts w:ascii="Times New Roman" w:hAnsi="Times New Roman"/>
          <w:color w:val="000000"/>
          <w:sz w:val="24"/>
        </w:rPr>
        <w:t>c</w:t>
      </w:r>
      <w:r>
        <w:rPr>
          <w:rFonts w:ascii="Times New Roman" w:hAnsi="Times New Roman"/>
          <w:color w:val="000000"/>
          <w:sz w:val="24"/>
        </w:rPr>
        <w:t>u</w:t>
      </w:r>
      <w:r>
        <w:rPr>
          <w:rFonts w:ascii="Times New Roman" w:hAnsi="Times New Roman"/>
          <w:color w:val="000000"/>
          <w:sz w:val="24"/>
        </w:rPr>
        <w:t>ment</w:t>
      </w:r>
      <w:r>
        <w:rPr>
          <w:rFonts w:ascii="Times New Roman" w:hAnsi="Times New Roman"/>
          <w:color w:val="000000"/>
          <w:sz w:val="24"/>
        </w:rPr>
        <w:t>a</w:t>
      </w:r>
      <w:r>
        <w:rPr>
          <w:rFonts w:ascii="Times New Roman" w:hAnsi="Times New Roman"/>
          <w:color w:val="000000"/>
          <w:sz w:val="24"/>
        </w:rPr>
        <w:t>r</w:t>
      </w:r>
      <w:r>
        <w:rPr>
          <w:rFonts w:ascii="Times New Roman" w:hAnsi="Times New Roman"/>
          <w:color w:val="000000"/>
          <w:sz w:val="24"/>
        </w:rPr>
        <w:t>o</w:t>
      </w:r>
      <w:r>
        <w:rPr>
          <w:rFonts w:ascii="Times New Roman" w:hAnsi="Times New Roman"/>
          <w:color w:val="000000"/>
          <w:sz w:val="24"/>
        </w:rPr>
        <w:t xml:space="preserve">n </w:t>
      </w:r>
      <w:r>
        <w:rPr>
          <w:rFonts w:ascii="Times New Roman" w:hAnsi="Times New Roman"/>
          <w:color w:val="000000"/>
          <w:sz w:val="24"/>
        </w:rPr>
        <w:t>v</w:t>
      </w:r>
      <w:r>
        <w:rPr>
          <w:rFonts w:ascii="Times New Roman" w:hAnsi="Times New Roman"/>
          <w:color w:val="000000"/>
          <w:sz w:val="24"/>
        </w:rPr>
        <w:t>ent</w:t>
      </w:r>
      <w:r>
        <w:rPr>
          <w:rFonts w:ascii="Times New Roman" w:hAnsi="Times New Roman"/>
          <w:color w:val="000000"/>
          <w:sz w:val="24"/>
        </w:rPr>
        <w:t>a</w:t>
      </w:r>
      <w:r>
        <w:rPr>
          <w:rFonts w:ascii="Times New Roman" w:hAnsi="Times New Roman"/>
          <w:color w:val="000000"/>
          <w:sz w:val="24"/>
        </w:rPr>
        <w:t>ja</w:t>
      </w:r>
      <w:r>
        <w:rPr>
          <w:rFonts w:ascii="Times New Roman" w:hAnsi="Times New Roman"/>
          <w:color w:val="000000"/>
          <w:sz w:val="24"/>
        </w:rPr>
        <w:t>s predictiv</w:t>
      </w:r>
      <w:r>
        <w:rPr>
          <w:rFonts w:ascii="Times New Roman" w:hAnsi="Times New Roman"/>
          <w:color w:val="000000"/>
          <w:sz w:val="24"/>
        </w:rPr>
        <w:t>a</w:t>
      </w:r>
      <w:r>
        <w:rPr>
          <w:rFonts w:ascii="Times New Roman" w:hAnsi="Times New Roman"/>
          <w:color w:val="000000"/>
          <w:sz w:val="24"/>
        </w:rPr>
        <w:t>s</w:t>
      </w:r>
      <w:r>
        <w:rPr>
          <w:rFonts w:ascii="Times New Roman" w:hAnsi="Times New Roman"/>
          <w:color w:val="000000"/>
          <w:sz w:val="24"/>
        </w:rPr>
        <w:t xml:space="preserve"> en l</w:t>
      </w:r>
      <w:r>
        <w:rPr>
          <w:rFonts w:ascii="Times New Roman" w:hAnsi="Times New Roman"/>
          <w:color w:val="000000"/>
          <w:sz w:val="24"/>
        </w:rPr>
        <w:t>os conjuntos analizados. Ese resultado motiv</w:t>
      </w:r>
      <w:r>
        <w:rPr>
          <w:rFonts w:ascii="Times New Roman" w:hAnsi="Times New Roman"/>
          <w:color w:val="000000"/>
          <w:sz w:val="24"/>
        </w:rPr>
        <w:t xml:space="preserve">a </w:t>
      </w:r>
      <w:r>
        <w:rPr>
          <w:rFonts w:ascii="Times New Roman" w:hAnsi="Times New Roman"/>
          <w:color w:val="000000"/>
          <w:sz w:val="24"/>
        </w:rPr>
        <w:t>exami</w:t>
      </w:r>
      <w:r>
        <w:rPr>
          <w:rFonts w:ascii="Times New Roman" w:hAnsi="Times New Roman"/>
          <w:color w:val="000000"/>
          <w:sz w:val="24"/>
        </w:rPr>
        <w:t>n</w:t>
      </w:r>
      <w:r>
        <w:rPr>
          <w:rFonts w:ascii="Times New Roman" w:hAnsi="Times New Roman"/>
          <w:color w:val="000000"/>
          <w:sz w:val="24"/>
        </w:rPr>
        <w:t>ar restric</w:t>
      </w:r>
      <w:r>
        <w:rPr>
          <w:rFonts w:ascii="Times New Roman" w:hAnsi="Times New Roman"/>
          <w:color w:val="000000"/>
          <w:sz w:val="24"/>
        </w:rPr>
        <w:t>ci</w:t>
      </w:r>
      <w:r>
        <w:rPr>
          <w:rFonts w:ascii="Times New Roman" w:hAnsi="Times New Roman"/>
          <w:color w:val="000000"/>
          <w:sz w:val="24"/>
        </w:rPr>
        <w:t>ones geotécnicas e</w:t>
      </w:r>
      <w:r>
        <w:rPr>
          <w:rFonts w:ascii="Times New Roman" w:hAnsi="Times New Roman"/>
          <w:color w:val="000000"/>
          <w:sz w:val="24"/>
        </w:rPr>
        <w:t xml:space="preserve">n </w:t>
      </w:r>
      <w:r>
        <w:rPr>
          <w:rFonts w:ascii="Times New Roman" w:hAnsi="Times New Roman"/>
          <w:color w:val="000000"/>
          <w:sz w:val="24"/>
        </w:rPr>
        <w:t>e</w:t>
      </w:r>
      <w:r>
        <w:rPr>
          <w:rFonts w:ascii="Times New Roman" w:hAnsi="Times New Roman"/>
          <w:color w:val="000000"/>
          <w:sz w:val="24"/>
        </w:rPr>
        <w:t>l</w:t>
      </w:r>
      <w:r>
        <w:rPr>
          <w:rFonts w:ascii="Times New Roman" w:hAnsi="Times New Roman"/>
          <w:color w:val="000000"/>
          <w:sz w:val="24"/>
        </w:rPr>
        <w:t xml:space="preserve"> aprendizaje</w:t>
      </w:r>
      <w:r>
        <w:rPr>
          <w:rFonts w:ascii="Times New Roman" w:hAnsi="Times New Roman"/>
          <w:color w:val="000000"/>
          <w:sz w:val="24"/>
        </w:rPr>
        <w:t>, pero no garantiza que cualquier corrector físico mejore cualquier predictor</w:t>
      </w:r>
      <w:r>
        <w:rPr>
          <w:rFonts w:ascii="Times New Roman" w:hAnsi="Times New Roman"/>
          <w:color w:val="000000"/>
          <w:sz w:val="24"/>
        </w:rPr>
        <w:t>.</w:t>
      </w:r>
    </w:p>
    <w:p w14:paraId="00000011">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Los gemelos digitales</w:t>
      </w:r>
      <w:r>
        <w:rPr>
          <w:rFonts w:ascii="Times New Roman" w:hAnsi="Times New Roman"/>
          <w:color w:val="000000"/>
          <w:sz w:val="24"/>
        </w:rPr>
        <w:t xml:space="preserve"> vinculan una representación computacional del talud con </w:t>
      </w:r>
      <w:r>
        <w:rPr>
          <w:rFonts w:ascii="Times New Roman" w:hAnsi="Times New Roman"/>
          <w:color w:val="000000"/>
          <w:sz w:val="24"/>
        </w:rPr>
        <w:t xml:space="preserve">observaciones </w:t>
      </w:r>
      <w:r>
        <w:rPr>
          <w:rFonts w:ascii="Times New Roman" w:hAnsi="Times New Roman"/>
          <w:color w:val="000000"/>
          <w:sz w:val="24"/>
        </w:rPr>
        <w:t>y</w:t>
      </w:r>
      <w:r>
        <w:rPr>
          <w:rFonts w:ascii="Times New Roman" w:hAnsi="Times New Roman"/>
          <w:color w:val="000000"/>
          <w:sz w:val="24"/>
        </w:rPr>
        <w:t xml:space="preserve"> mecanismos de actualización. Piciullo et al. (2025</w:t>
      </w:r>
      <w:r>
        <w:rPr>
          <w:rFonts w:ascii="Times New Roman" w:hAnsi="Times New Roman"/>
          <w:color w:val="000000"/>
          <w:sz w:val="24"/>
        </w:rPr>
        <w:t xml:space="preserve">) </w:t>
      </w:r>
      <w:r>
        <w:rPr>
          <w:rFonts w:ascii="Times New Roman" w:hAnsi="Times New Roman"/>
          <w:color w:val="000000"/>
          <w:sz w:val="24"/>
        </w:rPr>
        <w:t>in</w:t>
      </w:r>
      <w:r>
        <w:rPr>
          <w:rFonts w:ascii="Times New Roman" w:hAnsi="Times New Roman"/>
          <w:color w:val="000000"/>
          <w:sz w:val="24"/>
        </w:rPr>
        <w:t>t</w:t>
      </w:r>
      <w:r>
        <w:rPr>
          <w:rFonts w:ascii="Times New Roman" w:hAnsi="Times New Roman"/>
          <w:color w:val="000000"/>
          <w:sz w:val="24"/>
        </w:rPr>
        <w:t>e</w:t>
      </w:r>
      <w:r>
        <w:rPr>
          <w:rFonts w:ascii="Times New Roman" w:hAnsi="Times New Roman"/>
          <w:color w:val="000000"/>
          <w:sz w:val="24"/>
        </w:rPr>
        <w:t>g</w:t>
      </w:r>
      <w:r>
        <w:rPr>
          <w:rFonts w:ascii="Times New Roman" w:hAnsi="Times New Roman"/>
          <w:color w:val="000000"/>
          <w:sz w:val="24"/>
        </w:rPr>
        <w:t>raron</w:t>
      </w:r>
      <w:r>
        <w:rPr>
          <w:rFonts w:ascii="Times New Roman" w:hAnsi="Times New Roman"/>
          <w:color w:val="000000"/>
          <w:sz w:val="24"/>
        </w:rPr>
        <w:t xml:space="preserve"> monitoreo hidrológico, </w:t>
      </w:r>
      <w:r>
        <w:rPr>
          <w:rFonts w:ascii="Times New Roman" w:hAnsi="Times New Roman"/>
          <w:color w:val="000000"/>
          <w:sz w:val="24"/>
        </w:rPr>
        <w:t>meteorol</w:t>
      </w:r>
      <w:r>
        <w:rPr>
          <w:rFonts w:ascii="Times New Roman" w:hAnsi="Times New Roman"/>
          <w:color w:val="000000"/>
          <w:sz w:val="24"/>
        </w:rPr>
        <w:t>o</w:t>
      </w:r>
      <w:r>
        <w:rPr>
          <w:rFonts w:ascii="Times New Roman" w:hAnsi="Times New Roman"/>
          <w:color w:val="000000"/>
          <w:sz w:val="24"/>
        </w:rPr>
        <w:t>g</w:t>
      </w:r>
      <w:r>
        <w:rPr>
          <w:rFonts w:ascii="Times New Roman" w:hAnsi="Times New Roman"/>
          <w:color w:val="000000"/>
          <w:sz w:val="24"/>
        </w:rPr>
        <w:t>í</w:t>
      </w:r>
      <w:r>
        <w:rPr>
          <w:rFonts w:ascii="Times New Roman" w:hAnsi="Times New Roman"/>
          <w:color w:val="000000"/>
          <w:sz w:val="24"/>
        </w:rPr>
        <w:t xml:space="preserve">a, modelado numérico y </w:t>
      </w:r>
      <w:r>
        <w:rPr>
          <w:rFonts w:ascii="Times New Roman" w:hAnsi="Times New Roman"/>
          <w:color w:val="000000"/>
          <w:sz w:val="24"/>
        </w:rPr>
        <w:t>a</w:t>
      </w:r>
      <w:r>
        <w:rPr>
          <w:rFonts w:ascii="Times New Roman" w:hAnsi="Times New Roman"/>
          <w:color w:val="000000"/>
          <w:sz w:val="24"/>
        </w:rPr>
        <w:t>pre</w:t>
      </w:r>
      <w:r>
        <w:rPr>
          <w:rFonts w:ascii="Times New Roman" w:hAnsi="Times New Roman"/>
          <w:color w:val="000000"/>
          <w:sz w:val="24"/>
        </w:rPr>
        <w:t>n</w:t>
      </w:r>
      <w:r>
        <w:rPr>
          <w:rFonts w:ascii="Times New Roman" w:hAnsi="Times New Roman"/>
          <w:color w:val="000000"/>
          <w:sz w:val="24"/>
        </w:rPr>
        <w:t>di</w:t>
      </w:r>
      <w:r>
        <w:rPr>
          <w:rFonts w:ascii="Times New Roman" w:hAnsi="Times New Roman"/>
          <w:color w:val="000000"/>
          <w:sz w:val="24"/>
        </w:rPr>
        <w:t>zaje</w:t>
      </w:r>
      <w:r>
        <w:rPr>
          <w:rFonts w:ascii="Times New Roman" w:hAnsi="Times New Roman"/>
          <w:color w:val="000000"/>
          <w:sz w:val="24"/>
        </w:rPr>
        <w:t xml:space="preserve"> automátic</w:t>
      </w:r>
      <w:r>
        <w:rPr>
          <w:rFonts w:ascii="Times New Roman" w:hAnsi="Times New Roman"/>
          <w:color w:val="000000"/>
          <w:sz w:val="24"/>
        </w:rPr>
        <w:t>o par</w:t>
      </w:r>
      <w:r>
        <w:rPr>
          <w:rFonts w:ascii="Times New Roman" w:hAnsi="Times New Roman"/>
          <w:color w:val="000000"/>
          <w:sz w:val="24"/>
        </w:rPr>
        <w:t>a e</w:t>
      </w:r>
      <w:r>
        <w:rPr>
          <w:rFonts w:ascii="Times New Roman" w:hAnsi="Times New Roman"/>
          <w:color w:val="000000"/>
          <w:sz w:val="24"/>
        </w:rPr>
        <w:t>mitir pro</w:t>
      </w:r>
      <w:r>
        <w:rPr>
          <w:rFonts w:ascii="Times New Roman" w:hAnsi="Times New Roman"/>
          <w:color w:val="000000"/>
          <w:sz w:val="24"/>
        </w:rPr>
        <w:t>n</w:t>
      </w:r>
      <w:r>
        <w:rPr>
          <w:rFonts w:ascii="Times New Roman" w:hAnsi="Times New Roman"/>
          <w:color w:val="000000"/>
          <w:sz w:val="24"/>
        </w:rPr>
        <w:t>ósticos móviles de estabilidad. Su experiencia ofrece un antecedente operacional distinto de TA-01. En el presente estudio se examina</w:t>
      </w:r>
      <w:r>
        <w:rPr>
          <w:rFonts w:ascii="Times New Roman" w:hAnsi="Times New Roman"/>
          <w:color w:val="000000"/>
          <w:sz w:val="24"/>
        </w:rPr>
        <w:t xml:space="preserve"> una</w:t>
      </w:r>
      <w:r>
        <w:rPr>
          <w:rFonts w:ascii="Times New Roman" w:hAnsi="Times New Roman"/>
          <w:color w:val="000000"/>
          <w:sz w:val="24"/>
        </w:rPr>
        <w:t xml:space="preserve"> configuraci</w:t>
      </w:r>
      <w:r>
        <w:rPr>
          <w:rFonts w:ascii="Times New Roman" w:hAnsi="Times New Roman"/>
          <w:color w:val="000000"/>
          <w:sz w:val="24"/>
        </w:rPr>
        <w:t>ó</w:t>
      </w:r>
      <w:r>
        <w:rPr>
          <w:rFonts w:ascii="Times New Roman" w:hAnsi="Times New Roman"/>
          <w:color w:val="000000"/>
          <w:sz w:val="24"/>
        </w:rPr>
        <w:t>n</w:t>
      </w:r>
      <w:r>
        <w:rPr>
          <w:rFonts w:ascii="Times New Roman" w:hAnsi="Times New Roman"/>
          <w:color w:val="000000"/>
          <w:sz w:val="24"/>
        </w:rPr>
        <w:t xml:space="preserve"> s</w:t>
      </w:r>
      <w:r>
        <w:rPr>
          <w:rFonts w:ascii="Times New Roman" w:hAnsi="Times New Roman"/>
          <w:color w:val="000000"/>
          <w:sz w:val="24"/>
        </w:rPr>
        <w:t>e</w:t>
      </w:r>
      <w:r>
        <w:rPr>
          <w:rFonts w:ascii="Times New Roman" w:hAnsi="Times New Roman"/>
          <w:color w:val="000000"/>
          <w:sz w:val="24"/>
        </w:rPr>
        <w:t>mi</w:t>
      </w:r>
      <w:r>
        <w:rPr>
          <w:rFonts w:ascii="Times New Roman" w:hAnsi="Times New Roman"/>
          <w:color w:val="000000"/>
          <w:sz w:val="24"/>
        </w:rPr>
        <w:t>s</w:t>
      </w:r>
      <w:r>
        <w:rPr>
          <w:rFonts w:ascii="Times New Roman" w:hAnsi="Times New Roman"/>
          <w:color w:val="000000"/>
          <w:sz w:val="24"/>
        </w:rPr>
        <w:t>intét</w:t>
      </w:r>
      <w:r>
        <w:rPr>
          <w:rFonts w:ascii="Times New Roman" w:hAnsi="Times New Roman"/>
          <w:color w:val="000000"/>
          <w:sz w:val="24"/>
        </w:rPr>
        <w:t>ica</w:t>
      </w:r>
      <w:r>
        <w:rPr>
          <w:rFonts w:ascii="Times New Roman" w:hAnsi="Times New Roman"/>
          <w:color w:val="000000"/>
          <w:sz w:val="24"/>
        </w:rPr>
        <w:t xml:space="preserve"> que </w:t>
      </w:r>
      <w:r>
        <w:rPr>
          <w:rFonts w:ascii="Times New Roman" w:hAnsi="Times New Roman"/>
          <w:color w:val="000000"/>
          <w:sz w:val="24"/>
        </w:rPr>
        <w:t>con</w:t>
      </w:r>
      <w:r>
        <w:rPr>
          <w:rFonts w:ascii="Times New Roman" w:hAnsi="Times New Roman"/>
          <w:color w:val="000000"/>
          <w:sz w:val="24"/>
        </w:rPr>
        <w:t>serv</w:t>
      </w:r>
      <w:r>
        <w:rPr>
          <w:rFonts w:ascii="Times New Roman" w:hAnsi="Times New Roman"/>
          <w:color w:val="000000"/>
          <w:sz w:val="24"/>
        </w:rPr>
        <w:t>a u</w:t>
      </w:r>
      <w:r>
        <w:rPr>
          <w:rFonts w:ascii="Times New Roman" w:hAnsi="Times New Roman"/>
          <w:color w:val="000000"/>
          <w:sz w:val="24"/>
        </w:rPr>
        <w:t>n</w:t>
      </w:r>
      <w:r>
        <w:rPr>
          <w:rFonts w:ascii="Times New Roman" w:hAnsi="Times New Roman"/>
          <w:color w:val="000000"/>
          <w:sz w:val="24"/>
        </w:rPr>
        <w:t xml:space="preserve">a respuesta mecánica </w:t>
      </w:r>
      <w:r>
        <w:rPr>
          <w:rFonts w:ascii="Times New Roman" w:hAnsi="Times New Roman"/>
          <w:color w:val="000000"/>
          <w:sz w:val="24"/>
        </w:rPr>
        <w:t>FEM</w:t>
      </w:r>
      <w:r>
        <w:rPr>
          <w:rFonts w:ascii="Times New Roman" w:hAnsi="Times New Roman"/>
          <w:color w:val="000000"/>
          <w:sz w:val="24"/>
        </w:rPr>
        <w:t xml:space="preserve"> e</w:t>
      </w:r>
      <w:r>
        <w:rPr>
          <w:rFonts w:ascii="Times New Roman" w:hAnsi="Times New Roman"/>
          <w:color w:val="000000"/>
          <w:sz w:val="24"/>
        </w:rPr>
        <w:t xml:space="preserve"> incorpor</w:t>
      </w:r>
      <w:r>
        <w:rPr>
          <w:rFonts w:ascii="Times New Roman" w:hAnsi="Times New Roman"/>
          <w:color w:val="000000"/>
          <w:sz w:val="24"/>
        </w:rPr>
        <w:t>a dependencia temporal</w:t>
      </w:r>
      <w:r>
        <w:rPr>
          <w:rFonts w:ascii="Times New Roman" w:hAnsi="Times New Roman"/>
          <w:color w:val="000000"/>
          <w:sz w:val="24"/>
        </w:rPr>
        <w:t>;</w:t>
      </w:r>
      <w:r>
        <w:rPr>
          <w:rFonts w:ascii="Times New Roman" w:hAnsi="Times New Roman"/>
          <w:color w:val="000000"/>
          <w:sz w:val="24"/>
        </w:rPr>
        <w:t xml:space="preserve"> </w:t>
      </w:r>
      <w:r>
        <w:rPr>
          <w:rFonts w:ascii="Times New Roman" w:hAnsi="Times New Roman"/>
          <w:color w:val="000000"/>
          <w:sz w:val="24"/>
        </w:rPr>
        <w:t>no se mi</w:t>
      </w:r>
      <w:r>
        <w:rPr>
          <w:rFonts w:ascii="Times New Roman" w:hAnsi="Times New Roman"/>
          <w:color w:val="000000"/>
          <w:sz w:val="24"/>
        </w:rPr>
        <w:t xml:space="preserve">de </w:t>
      </w:r>
      <w:r>
        <w:rPr>
          <w:rFonts w:ascii="Times New Roman" w:hAnsi="Times New Roman"/>
          <w:color w:val="000000"/>
          <w:sz w:val="24"/>
        </w:rPr>
        <w:t>s</w:t>
      </w:r>
      <w:r>
        <w:rPr>
          <w:rFonts w:ascii="Times New Roman" w:hAnsi="Times New Roman"/>
          <w:color w:val="000000"/>
          <w:sz w:val="24"/>
        </w:rPr>
        <w:t>u</w:t>
      </w:r>
      <w:r>
        <w:rPr>
          <w:rFonts w:ascii="Times New Roman" w:hAnsi="Times New Roman"/>
          <w:color w:val="000000"/>
          <w:sz w:val="24"/>
        </w:rPr>
        <w:t xml:space="preserve"> frecuencia </w:t>
      </w:r>
      <w:r>
        <w:rPr>
          <w:rFonts w:ascii="Times New Roman" w:hAnsi="Times New Roman"/>
          <w:color w:val="000000"/>
          <w:sz w:val="24"/>
        </w:rPr>
        <w:t>d</w:t>
      </w:r>
      <w:r>
        <w:rPr>
          <w:rFonts w:ascii="Times New Roman" w:hAnsi="Times New Roman"/>
          <w:color w:val="000000"/>
          <w:sz w:val="24"/>
        </w:rPr>
        <w:t>e</w:t>
      </w:r>
      <w:r>
        <w:rPr>
          <w:rFonts w:ascii="Times New Roman" w:hAnsi="Times New Roman"/>
          <w:color w:val="000000"/>
          <w:sz w:val="24"/>
        </w:rPr>
        <w:t xml:space="preserve"> act</w:t>
      </w:r>
      <w:r>
        <w:rPr>
          <w:rFonts w:ascii="Times New Roman" w:hAnsi="Times New Roman"/>
          <w:color w:val="000000"/>
          <w:sz w:val="24"/>
        </w:rPr>
        <w:t>u</w:t>
      </w:r>
      <w:r>
        <w:rPr>
          <w:rFonts w:ascii="Times New Roman" w:hAnsi="Times New Roman"/>
          <w:color w:val="000000"/>
          <w:sz w:val="24"/>
        </w:rPr>
        <w:t>al</w:t>
      </w:r>
      <w:r>
        <w:rPr>
          <w:rFonts w:ascii="Times New Roman" w:hAnsi="Times New Roman"/>
          <w:color w:val="000000"/>
          <w:sz w:val="24"/>
        </w:rPr>
        <w:t>i</w:t>
      </w:r>
      <w:r>
        <w:rPr>
          <w:rFonts w:ascii="Times New Roman" w:hAnsi="Times New Roman"/>
          <w:color w:val="000000"/>
          <w:sz w:val="24"/>
        </w:rPr>
        <w:t>z</w:t>
      </w:r>
      <w:r>
        <w:rPr>
          <w:rFonts w:ascii="Times New Roman" w:hAnsi="Times New Roman"/>
          <w:color w:val="000000"/>
          <w:sz w:val="24"/>
        </w:rPr>
        <w:t>ación</w:t>
      </w:r>
      <w:r>
        <w:rPr>
          <w:rFonts w:ascii="Times New Roman" w:hAnsi="Times New Roman"/>
          <w:color w:val="000000"/>
          <w:sz w:val="24"/>
        </w:rPr>
        <w:t xml:space="preserve"> ni su utilidad para alertas en mina</w:t>
      </w:r>
      <w:r>
        <w:rPr>
          <w:rFonts w:ascii="Times New Roman" w:hAnsi="Times New Roman"/>
          <w:color w:val="000000"/>
          <w:sz w:val="24"/>
        </w:rPr>
        <w:t>.</w:t>
      </w:r>
    </w:p>
    <w:p w14:paraId="00000012">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Los trabajos más cercanos cubren componentes parciales del problema. Liu et al. (2022) y Piciullo et al. (2025) actualizaron pronósticos con datos observados; Pei et al. (2023) incorporaron conocimiento del dominio en el aprendizaje; y Zhang, Z., et al. (2024) impusieron ecuaciones y condiciones de contorno en un marco tridimensional. </w:t>
      </w:r>
      <w:r>
        <w:rPr>
          <w:rFonts w:ascii="Times New Roman" w:hAnsi="Times New Roman"/>
          <w:color w:val="000000"/>
          <w:sz w:val="24"/>
        </w:rPr>
        <w:t>La comparac</w:t>
      </w:r>
      <w:r>
        <w:rPr>
          <w:rFonts w:ascii="Times New Roman" w:hAnsi="Times New Roman"/>
          <w:color w:val="000000"/>
          <w:sz w:val="24"/>
        </w:rPr>
        <w:t>i</w:t>
      </w:r>
      <w:r>
        <w:rPr>
          <w:rFonts w:ascii="Times New Roman" w:hAnsi="Times New Roman"/>
          <w:color w:val="000000"/>
          <w:sz w:val="24"/>
        </w:rPr>
        <w:t>ó</w:t>
      </w:r>
      <w:r>
        <w:rPr>
          <w:rFonts w:ascii="Times New Roman" w:hAnsi="Times New Roman"/>
          <w:color w:val="000000"/>
          <w:sz w:val="24"/>
        </w:rPr>
        <w:t>n</w:t>
      </w:r>
      <w:r>
        <w:rPr>
          <w:rFonts w:ascii="Times New Roman" w:hAnsi="Times New Roman"/>
          <w:color w:val="000000"/>
          <w:sz w:val="24"/>
        </w:rPr>
        <w:t xml:space="preserve"> de </w:t>
      </w:r>
      <w:r>
        <w:rPr>
          <w:rFonts w:ascii="Times New Roman" w:hAnsi="Times New Roman"/>
          <w:color w:val="000000"/>
          <w:sz w:val="24"/>
        </w:rPr>
        <w:t>la</w:t>
      </w:r>
      <w:r>
        <w:rPr>
          <w:rFonts w:ascii="Times New Roman" w:hAnsi="Times New Roman"/>
          <w:color w:val="000000"/>
          <w:sz w:val="24"/>
        </w:rPr>
        <w:t xml:space="preserve"> </w:t>
      </w:r>
      <w:r>
        <w:rPr>
          <w:rFonts w:ascii="Times New Roman" w:hAnsi="Times New Roman"/>
          <w:color w:val="000000"/>
          <w:sz w:val="24"/>
        </w:rPr>
        <w:t>T</w:t>
      </w:r>
      <w:r>
        <w:rPr>
          <w:rFonts w:ascii="Times New Roman" w:hAnsi="Times New Roman"/>
          <w:color w:val="000000"/>
          <w:sz w:val="24"/>
        </w:rPr>
        <w:t>a</w:t>
      </w:r>
      <w:r>
        <w:rPr>
          <w:rFonts w:ascii="Times New Roman" w:hAnsi="Times New Roman"/>
          <w:color w:val="000000"/>
          <w:sz w:val="24"/>
        </w:rPr>
        <w:t xml:space="preserve">bla 1 </w:t>
      </w:r>
      <w:r>
        <w:rPr>
          <w:rFonts w:ascii="Times New Roman" w:hAnsi="Times New Roman"/>
          <w:color w:val="000000"/>
          <w:sz w:val="24"/>
        </w:rPr>
        <w:t>de</w:t>
      </w:r>
      <w:r>
        <w:rPr>
          <w:rFonts w:ascii="Times New Roman" w:hAnsi="Times New Roman"/>
          <w:color w:val="000000"/>
          <w:sz w:val="24"/>
        </w:rPr>
        <w:t>limi</w:t>
      </w:r>
      <w:r>
        <w:rPr>
          <w:rFonts w:ascii="Times New Roman" w:hAnsi="Times New Roman"/>
          <w:color w:val="000000"/>
          <w:sz w:val="24"/>
        </w:rPr>
        <w:t>t</w:t>
      </w:r>
      <w:r>
        <w:rPr>
          <w:rFonts w:ascii="Times New Roman" w:hAnsi="Times New Roman"/>
          <w:color w:val="000000"/>
          <w:sz w:val="24"/>
        </w:rPr>
        <w:t>a</w:t>
      </w:r>
      <w:r>
        <w:rPr>
          <w:rFonts w:ascii="Times New Roman" w:hAnsi="Times New Roman"/>
          <w:color w:val="000000"/>
          <w:sz w:val="24"/>
        </w:rPr>
        <w:t xml:space="preserve"> el alcance e</w:t>
      </w:r>
      <w:r>
        <w:rPr>
          <w:rFonts w:ascii="Times New Roman" w:hAnsi="Times New Roman"/>
          <w:color w:val="000000"/>
          <w:sz w:val="24"/>
        </w:rPr>
        <w:t>spe</w:t>
      </w:r>
      <w:r>
        <w:rPr>
          <w:rFonts w:ascii="Times New Roman" w:hAnsi="Times New Roman"/>
          <w:color w:val="000000"/>
          <w:sz w:val="24"/>
        </w:rPr>
        <w:t>c</w:t>
      </w:r>
      <w:r>
        <w:rPr>
          <w:rFonts w:ascii="Times New Roman" w:hAnsi="Times New Roman"/>
          <w:color w:val="000000"/>
          <w:sz w:val="24"/>
        </w:rPr>
        <w:t>ífic</w:t>
      </w:r>
      <w:r>
        <w:rPr>
          <w:rFonts w:ascii="Times New Roman" w:hAnsi="Times New Roman"/>
          <w:color w:val="000000"/>
          <w:sz w:val="24"/>
        </w:rPr>
        <w:t>o de TA-01</w:t>
      </w:r>
      <w:r>
        <w:rPr>
          <w:rFonts w:ascii="Times New Roman" w:hAnsi="Times New Roman"/>
          <w:color w:val="000000"/>
          <w:sz w:val="24"/>
        </w:rPr>
        <w:t>, sin establecer prioridad absoluta</w:t>
      </w:r>
      <w:r>
        <w:rPr>
          <w:rFonts w:ascii="Times New Roman" w:hAnsi="Times New Roman"/>
          <w:color w:val="000000"/>
          <w:sz w:val="24"/>
        </w:rPr>
        <w:t>: un banco semisintético trazable que compara una LSTM con una corrección residual monótona y examina su estabilidad entre fechas de lluvia. La brecha evaluada aquí es, por tanto, metodológica y acotada: determinar qué aporta esa corrección dentro de un generador FEM controlado antes de atribuirle validez de campo.</w:t>
      </w:r>
      <w:r>
        <w:rPr/>
      </w:r>
    </w:p>
    <w:p w14:paraId="00000013">
      <w:pPr>
        <w:widowControl/>
        <w:pBdr/>
        <w:spacing w:after="80" w:line="480" w:lineRule="auto"/>
        <w:ind w:firstLine="283"/>
        <w:rPr>
          <w:rFonts w:ascii="Times New Roman" w:hAnsi="Times New Roman" w:eastAsia="Times New Roman" w:cs="Times New Roman"/>
          <w:b/>
          <w:bCs/>
          <w:sz w:val="24"/>
          <w:szCs w:val="24"/>
        </w:rPr>
      </w:pPr>
      <w:r>
        <w:rPr>
          <w:rFonts w:ascii="Times New Roman" w:hAnsi="Times New Roman"/>
          <w:b w:val="0"/>
          <w:i w:val="0"/>
          <w:color w:val="000000"/>
          <w:sz w:val="24"/>
        </w:rPr>
        <w:t xml:space="preserve">Este estudio presenta el prototipo semisintético TA-01. El aporte verificable consiste en integrar un FEM 2D elástico, un modelo temporal LSTM, un corrector residual guiado por relaciones monotónicas y una evaluación que separa fechas de lluvia y añ</w:t>
      </w:r>
      <w:r>
        <w:rPr>
          <w:rFonts w:ascii="Times New Roman" w:hAnsi="Times New Roman"/>
          <w:b w:val="0"/>
          <w:i w:val="0"/>
          <w:color w:val="000000"/>
          <w:sz w:val="24"/>
        </w:rPr>
        <w:t xml:space="preserve">os de prueba. El estudio no valida la latencia de extremo a extremo ni la utilidad de las alertas en campo; tampoco evalúa cambios de excavación, un factor de seguridad operacional por reducción de resistencia o una PINN continua de ecuaciones gobernantes.</w:t>
      </w:r>
      <w:r>
        <w:rPr>
          <w:rFonts w:ascii="Times New Roman" w:hAnsi="Times New Roman" w:eastAsia="Times New Roman" w:cs="Times New Roman"/>
          <w:b/>
          <w:bCs/>
          <w:color w:val="000000"/>
          <w:sz w:val="24"/>
          <w:szCs w:val="24"/>
        </w:rPr>
      </w:r>
    </w:p>
    <w:p w14:paraId="00000014">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b w:val="0"/>
          <w:i w:val="0"/>
          <w:color w:val="000000"/>
          <w:sz w:val="24"/>
        </w:rPr>
        <w:t xml:space="preserve">La contribución se interpreta como una evaluación de software bajo un generador controlado: el identificador del escenario y la</w:t>
      </w:r>
      <w:r>
        <w:rPr>
          <w:rFonts w:ascii="Times New Roman" w:hAnsi="Times New Roman"/>
          <w:b w:val="0"/>
          <w:i w:val="0"/>
          <w:color w:val="000000"/>
          <w:sz w:val="24"/>
        </w:rPr>
        <w:t xml:space="preserve"> fecha de lluvia permiten rastrear cada ventana, separar eventos entre conjuntos y repetir las comparaciones. El hallazgo empírico principal es que una restricción monotónica plausible no garantiza menor error al cambiar el periodo de prueba y puede aument</w:t>
      </w:r>
      <w:r>
        <w:rPr>
          <w:rFonts w:ascii="Times New Roman" w:hAnsi="Times New Roman"/>
          <w:b w:val="0"/>
          <w:i w:val="0"/>
          <w:color w:val="000000"/>
          <w:sz w:val="24"/>
        </w:rPr>
        <w:t xml:space="preserve">ar la sensibilidad a entradas degradadas. Esto delimita el alcance de los métodos guiados por física agregada antes de proponer su uso operacional. Los desplazamientos y las variables geotécnicas son simulados; solo la lluvia procede de una fuente externa.</w:t>
      </w:r>
      <w:r>
        <w:rPr>
          <w:rFonts w:ascii="Times New Roman" w:hAnsi="Times New Roman" w:eastAsia="Times New Roman" w:cs="Times New Roman"/>
          <w:color w:val="000000"/>
          <w:sz w:val="24"/>
          <w:szCs w:val="24"/>
        </w:rPr>
      </w:r>
    </w:p>
    <w:p>
      <w:pPr>
        <w:pStyle w:val="672"/>
        <w:keepNext/>
        <w:widowControl/>
        <w:pBdr/>
        <w:spacing w:line="480" w:lineRule="auto" w:after="80"/>
        <w:ind/>
        <w:rPr/>
      </w:pPr>
      <w:r>
        <w:t>Positioning against related work</w:t>
      </w:r>
    </w:p>
    <w:p>
      <w:pPr>
        <w:widowControl/>
        <w:pBdr/>
        <w:spacing w:after="80" w:line="480" w:lineRule="auto"/>
        <w:ind w:firstLine="283"/>
        <w:jc w:val="both"/>
        <w:rPr/>
      </w:pPr>
      <w:r>
        <w:rPr>
          <w:rFonts w:ascii="Times New Roman" w:hAnsi="Times New Roman"/>
          <w:color w:val="000000"/>
          <w:sz w:val="24"/>
        </w:rPr>
        <w:t xml:space="preserve">La Tabla 1 delimita la novedad frente a los antecedentes directamente relacionados. Se seleccionaron trabajos de 2022 a 2025 que combinan al menos dos de estos componentes: actualización de taludes, conocimiento físico, aprendi</w:t>
      </w:r>
      <w:r>
        <w:rPr>
          <w:rFonts w:ascii="Times New Roman" w:hAnsi="Times New Roman"/>
          <w:color w:val="000000"/>
          <w:sz w:val="24"/>
        </w:rPr>
        <w:t xml:space="preserve">zaje temporal, datos de monitoreo o validación numérica. La comparación evita equiparar restricciones monotónicas con una PINN de campo y muestra que la contribución se concentra en la trazabilidad del experimento semisintético y en la evaluación temporal.</w:t>
      </w:r>
      <w:r>
        <w:rPr>
          <w:rFonts w:ascii="Times New Roman" w:hAnsi="Times New Roman"/>
          <w:color w:val="000000"/>
          <w:sz w:val="24"/>
        </w:rPr>
      </w:r>
    </w:p>
    <w:p>
      <w:pPr>
        <w:keepNext/>
        <w:widowControl/>
        <w:pBdr/>
        <w:spacing w:after="80" w:before="120" w:line="480" w:lineRule="auto"/>
        <w:ind/>
        <w:rPr/>
      </w:pPr>
      <w:r>
        <w:rPr>
          <w:rFonts w:ascii="Times New Roman" w:hAnsi="Times New Roman"/>
          <w:b/>
          <w:color w:val="000000"/>
          <w:sz w:val="24"/>
        </w:rPr>
        <w:t xml:space="preserve">Tabla 1</w:t>
      </w:r>
      <w:r>
        <w:rPr>
          <w:rFonts w:ascii="Times New Roman" w:hAnsi="Times New Roman"/>
          <w:i/>
          <w:color w:val="000000"/>
          <w:sz w:val="24"/>
        </w:rPr>
        <w:br/>
        <w:t xml:space="preserve">Comparación del alcance con trabajos directamente relacionados</w:t>
      </w:r>
      <w:r>
        <w:rPr>
          <w:rFonts w:ascii="Times New Roman" w:hAnsi="Times New Roman"/>
          <w:color w:val="000000"/>
          <w:sz w:val="24"/>
        </w:rPr>
      </w:r>
    </w:p>
    <w:p>
      <w:pPr>
        <w:keepNext/>
        <w:widowControl/>
        <w:spacing w:line="480" w:lineRule="auto" w:after="80"/>
      </w:pPr>
      <w:r>
        <w:rPr>
          <w:rFonts w:ascii="Times New Roman" w:hAnsi="Times New Roman"/>
          <w:color w:val="000000"/>
          <w:sz w:val="24"/>
        </w:rPr>
        <w:t>Table 1. Scope comparison with closely related studies.</w:t>
      </w:r>
    </w:p>
    <w:tbl>
      <w:tblPr>
        <w:jc w:val="center"/>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689"/>
        <w:gridCol w:w="1842"/>
        <w:gridCol w:w="1919"/>
        <w:gridCol w:w="1689"/>
        <w:gridCol w:w="2149"/>
      </w:tblGrid>
      <w:tr>
        <w:trPr>
          <w:tblHeader/>
          <w:cantSplit/>
          <w:tblHeader w:val="true"/>
        </w:trPr>
        <w:tc>
          <w:tcPr>
            <w:shd w:val="clear" w:color="auto" w:fill="243746"/>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firstLine="283"/>
              <w:jc w:val="center"/>
              <w:rPr/>
            </w:pPr>
            <w:r>
              <w:rPr>
                <w:rFonts w:ascii="Times New Roman" w:hAnsi="Times New Roman"/>
                <w:b/>
                <w:color w:val="000000"/>
                <w:sz w:val="20"/>
              </w:rPr>
            </w:r>
            <w:r>
              <w:rPr>
                <w:rFonts w:ascii="Times New Roman" w:hAnsi="Times New Roman"/>
                <w:b/>
                <w:color w:val="000000"/>
                <w:sz w:val="20"/>
              </w:rPr>
              <w:t xml:space="preserve">Estudio</w:t>
            </w:r>
            <w:r>
              <w:rPr>
                <w:rFonts w:ascii="Times New Roman" w:hAnsi="Times New Roman"/>
                <w:b/>
                <w:color w:val="000000"/>
                <w:sz w:val="20"/>
              </w:rPr>
            </w:r>
          </w:p>
        </w:tc>
        <w:tc>
          <w:tcPr>
            <w:shd w:val="clear" w:color="auto" w:fill="243746"/>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firstLine="283"/>
              <w:jc w:val="center"/>
              <w:rPr/>
            </w:pPr>
            <w:r>
              <w:rPr>
                <w:rFonts w:ascii="Times New Roman" w:hAnsi="Times New Roman"/>
                <w:b/>
                <w:color w:val="000000"/>
                <w:sz w:val="20"/>
              </w:rPr>
            </w:r>
            <w:r>
              <w:rPr>
                <w:rFonts w:ascii="Times New Roman" w:hAnsi="Times New Roman"/>
                <w:b/>
                <w:color w:val="000000"/>
                <w:sz w:val="20"/>
              </w:rPr>
              <w:t xml:space="preserve">Datos</w:t>
            </w:r>
            <w:r>
              <w:rPr>
                <w:rFonts w:ascii="Times New Roman" w:hAnsi="Times New Roman"/>
                <w:b/>
                <w:color w:val="000000"/>
                <w:sz w:val="20"/>
              </w:rPr>
            </w:r>
          </w:p>
        </w:tc>
        <w:tc>
          <w:tcPr>
            <w:shd w:val="clear" w:color="auto" w:fill="243746"/>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firstLine="283"/>
              <w:jc w:val="center"/>
              <w:rPr/>
            </w:pPr>
            <w:r>
              <w:rPr>
                <w:rFonts w:ascii="Times New Roman" w:hAnsi="Times New Roman"/>
                <w:b/>
                <w:color w:val="000000"/>
                <w:sz w:val="20"/>
              </w:rPr>
            </w:r>
            <w:r>
              <w:rPr>
                <w:rFonts w:ascii="Times New Roman" w:hAnsi="Times New Roman"/>
                <w:b/>
                <w:color w:val="000000"/>
                <w:sz w:val="20"/>
              </w:rPr>
              <w:t xml:space="preserve">Componente físico</w:t>
            </w:r>
            <w:r>
              <w:rPr>
                <w:rFonts w:ascii="Times New Roman" w:hAnsi="Times New Roman"/>
                <w:b/>
                <w:color w:val="000000"/>
                <w:sz w:val="20"/>
              </w:rPr>
            </w:r>
          </w:p>
        </w:tc>
        <w:tc>
          <w:tcPr>
            <w:shd w:val="clear" w:color="auto" w:fill="243746"/>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firstLine="283"/>
              <w:jc w:val="center"/>
              <w:rPr/>
            </w:pPr>
            <w:r>
              <w:rPr>
                <w:rFonts w:ascii="Times New Roman" w:hAnsi="Times New Roman"/>
                <w:b/>
                <w:color w:val="000000"/>
                <w:sz w:val="20"/>
              </w:rPr>
            </w:r>
            <w:r>
              <w:rPr>
                <w:rFonts w:ascii="Times New Roman" w:hAnsi="Times New Roman"/>
                <w:b/>
                <w:color w:val="000000"/>
                <w:sz w:val="20"/>
              </w:rPr>
              <w:t xml:space="preserve">Modelo temporal</w:t>
            </w:r>
            <w:r>
              <w:rPr>
                <w:rFonts w:ascii="Times New Roman" w:hAnsi="Times New Roman"/>
                <w:b/>
                <w:color w:val="000000"/>
                <w:sz w:val="20"/>
              </w:rPr>
            </w:r>
          </w:p>
        </w:tc>
        <w:tc>
          <w:tcPr>
            <w:shd w:val="clear" w:color="auto" w:fill="243746"/>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firstLine="283"/>
              <w:jc w:val="center"/>
              <w:rPr/>
            </w:pPr>
            <w:r>
              <w:rPr>
                <w:rFonts w:ascii="Times New Roman" w:hAnsi="Times New Roman"/>
                <w:b/>
                <w:color w:val="000000"/>
                <w:sz w:val="20"/>
              </w:rPr>
            </w:r>
            <w:r>
              <w:rPr>
                <w:rFonts w:ascii="Times New Roman" w:hAnsi="Times New Roman"/>
                <w:b/>
                <w:color w:val="000000"/>
                <w:sz w:val="20"/>
              </w:rPr>
              <w:t xml:space="preserve">Validación informada</w:t>
            </w:r>
            <w:r>
              <w:rPr>
                <w:rFonts w:ascii="Times New Roman" w:hAnsi="Times New Roman"/>
                <w:b/>
                <w:color w:val="000000"/>
                <w:sz w:val="20"/>
              </w:rPr>
            </w:r>
          </w:p>
        </w:tc>
      </w:tr>
      <w:tr>
        <w:trPr>
          <w:cantSplit/>
        </w:trPr>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Liu et al. (2022)</w:t>
            </w:r>
            <w:r>
              <w:rPr>
                <w:rFonts w:ascii="Times New Roman" w:hAnsi="Times New Roman"/>
                <w:color w:val="000000"/>
                <w:sz w:val="20"/>
              </w:rPr>
            </w:r>
          </w:p>
        </w:tc>
        <w:tc>
          <w:tcPr>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Monitoreo y desempeño observados</w:t>
            </w:r>
            <w:r>
              <w:rPr>
                <w:rFonts w:ascii="Times New Roman" w:hAnsi="Times New Roman"/>
                <w:color w:val="000000"/>
                <w:sz w:val="20"/>
              </w:rPr>
            </w:r>
          </w:p>
        </w:tc>
        <w:tc>
          <w:tcPr>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Modelo de estabilidad actualizado</w:t>
            </w:r>
            <w:r>
              <w:rPr>
                <w:rFonts w:ascii="Times New Roman" w:hAnsi="Times New Roman"/>
                <w:color w:val="000000"/>
                <w:sz w:val="20"/>
              </w:rPr>
            </w:r>
          </w:p>
        </w:tc>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center"/>
              <w:rPr/>
            </w:pPr>
            <w:r>
              <w:rPr>
                <w:rFonts w:ascii="Times New Roman" w:hAnsi="Times New Roman"/>
                <w:color w:val="000000"/>
                <w:sz w:val="20"/>
              </w:rPr>
            </w:r>
            <w:r>
              <w:rPr>
                <w:rFonts w:ascii="Times New Roman" w:hAnsi="Times New Roman"/>
                <w:b w:val="0"/>
                <w:color w:val="000000"/>
                <w:sz w:val="20"/>
              </w:rPr>
              <w:t xml:space="preserve">Evolución temporal</w:t>
            </w:r>
            <w:r>
              <w:rPr>
                <w:rFonts w:ascii="Times New Roman" w:hAnsi="Times New Roman"/>
                <w:color w:val="000000"/>
                <w:sz w:val="20"/>
              </w:rPr>
            </w:r>
          </w:p>
        </w:tc>
        <w:tc>
          <w:tcPr>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Evento de falla observado</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Pei et al. (2023)</w:t>
            </w:r>
            <w:r>
              <w:rPr>
                <w:rFonts w:ascii="Times New Roman" w:hAnsi="Times New Roman"/>
                <w:color w:val="000000"/>
                <w:sz w:val="20"/>
              </w:rPr>
            </w:r>
          </w:p>
        </w:tc>
        <w:tc>
          <w:tcPr>
            <w:shd w:val="clear" w:color="auto" w:fill="eef4f7"/>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Conjuntos de estabilidad</w:t>
            </w:r>
            <w:r>
              <w:rPr>
                <w:rFonts w:ascii="Times New Roman" w:hAnsi="Times New Roman"/>
                <w:color w:val="000000"/>
                <w:sz w:val="20"/>
              </w:rPr>
            </w:r>
          </w:p>
        </w:tc>
        <w:tc>
          <w:tcPr>
            <w:shd w:val="clear" w:color="auto" w:fill="eef4f7"/>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Pérdida guiada por conocimiento</w:t>
            </w:r>
            <w:r>
              <w:rPr>
                <w:rFonts w:ascii="Times New Roman" w:hAnsi="Times New Roman"/>
                <w:color w:val="000000"/>
                <w:sz w:val="20"/>
              </w:rPr>
            </w:r>
          </w:p>
        </w:tc>
        <w:tc>
          <w:tcPr>
            <w:shd w:val="clear" w:color="auto" w:fill="eef4f7"/>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center"/>
              <w:rPr/>
            </w:pPr>
            <w:r>
              <w:rPr>
                <w:rFonts w:ascii="Times New Roman" w:hAnsi="Times New Roman"/>
                <w:color w:val="000000"/>
                <w:sz w:val="20"/>
              </w:rPr>
            </w:r>
            <w:r>
              <w:rPr>
                <w:rFonts w:ascii="Times New Roman" w:hAnsi="Times New Roman"/>
                <w:b w:val="0"/>
                <w:color w:val="000000"/>
                <w:sz w:val="20"/>
              </w:rPr>
              <w:t xml:space="preserve">No es el foco</w:t>
            </w:r>
            <w:r>
              <w:rPr>
                <w:rFonts w:ascii="Times New Roman" w:hAnsi="Times New Roman"/>
                <w:color w:val="000000"/>
                <w:sz w:val="20"/>
              </w:rPr>
            </w:r>
          </w:p>
        </w:tc>
        <w:tc>
          <w:tcPr>
            <w:shd w:val="clear" w:color="auto" w:fill="eef4f7"/>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Comparación con modelos físicos y de datos</w:t>
            </w:r>
            <w:r>
              <w:rPr>
                <w:rFonts w:ascii="Times New Roman" w:hAnsi="Times New Roman"/>
                <w:color w:val="000000"/>
                <w:sz w:val="20"/>
              </w:rPr>
            </w:r>
          </w:p>
        </w:tc>
      </w:tr>
      <w:tr>
        <w:trPr>
          <w:cantSplit/>
        </w:trPr>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Zhang, Z., et al. (2024)</w:t>
            </w:r>
            <w:r>
              <w:rPr>
                <w:rFonts w:ascii="Times New Roman" w:hAnsi="Times New Roman"/>
                <w:color w:val="000000"/>
                <w:sz w:val="20"/>
              </w:rPr>
            </w:r>
          </w:p>
        </w:tc>
        <w:tc>
          <w:tcPr>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Casos numéricos</w:t>
            </w:r>
            <w:r>
              <w:rPr>
                <w:rFonts w:ascii="Times New Roman" w:hAnsi="Times New Roman"/>
                <w:color w:val="000000"/>
                <w:sz w:val="20"/>
              </w:rPr>
            </w:r>
          </w:p>
        </w:tc>
        <w:tc>
          <w:tcPr>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Ecuaciones y condiciones de contorno</w:t>
            </w:r>
            <w:r>
              <w:rPr>
                <w:rFonts w:ascii="Times New Roman" w:hAnsi="Times New Roman"/>
                <w:color w:val="000000"/>
                <w:sz w:val="20"/>
              </w:rPr>
            </w:r>
          </w:p>
        </w:tc>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center"/>
              <w:rPr/>
            </w:pPr>
            <w:r>
              <w:rPr>
                <w:rFonts w:ascii="Times New Roman" w:hAnsi="Times New Roman"/>
                <w:color w:val="000000"/>
                <w:sz w:val="20"/>
              </w:rPr>
            </w:r>
            <w:r>
              <w:rPr>
                <w:rFonts w:ascii="Times New Roman" w:hAnsi="Times New Roman"/>
                <w:b w:val="0"/>
                <w:color w:val="000000"/>
                <w:sz w:val="20"/>
              </w:rPr>
              <w:t xml:space="preserve">Excitación externa</w:t>
            </w:r>
            <w:r>
              <w:rPr>
                <w:rFonts w:ascii="Times New Roman" w:hAnsi="Times New Roman"/>
                <w:color w:val="000000"/>
                <w:sz w:val="20"/>
              </w:rPr>
            </w:r>
          </w:p>
        </w:tc>
        <w:tc>
          <w:tcPr>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Referencia numérica</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Piciullo et al. (2025)</w:t>
            </w:r>
            <w:r>
              <w:rPr>
                <w:rFonts w:ascii="Times New Roman" w:hAnsi="Times New Roman"/>
                <w:color w:val="000000"/>
                <w:sz w:val="20"/>
              </w:rPr>
            </w:r>
          </w:p>
        </w:tc>
        <w:tc>
          <w:tcPr>
            <w:shd w:val="clear" w:color="auto" w:fill="eef4f7"/>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Monitoreo IoT y meteorología</w:t>
            </w:r>
            <w:r>
              <w:rPr>
                <w:rFonts w:ascii="Times New Roman" w:hAnsi="Times New Roman"/>
                <w:color w:val="000000"/>
                <w:sz w:val="20"/>
              </w:rPr>
            </w:r>
          </w:p>
        </w:tc>
        <w:tc>
          <w:tcPr>
            <w:shd w:val="clear" w:color="auto" w:fill="eef4f7"/>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Modelos numéricos</w:t>
            </w:r>
            <w:r>
              <w:rPr>
                <w:rFonts w:ascii="Times New Roman" w:hAnsi="Times New Roman"/>
                <w:color w:val="000000"/>
                <w:sz w:val="20"/>
              </w:rPr>
            </w:r>
          </w:p>
        </w:tc>
        <w:tc>
          <w:tcPr>
            <w:shd w:val="clear" w:color="auto" w:fill="eef4f7"/>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center"/>
              <w:rPr/>
            </w:pPr>
            <w:r>
              <w:rPr>
                <w:rFonts w:ascii="Times New Roman" w:hAnsi="Times New Roman"/>
                <w:color w:val="000000"/>
                <w:sz w:val="20"/>
              </w:rPr>
            </w:r>
            <w:r>
              <w:rPr>
                <w:rFonts w:ascii="Times New Roman" w:hAnsi="Times New Roman"/>
                <w:b w:val="0"/>
                <w:color w:val="000000"/>
                <w:sz w:val="20"/>
              </w:rPr>
              <w:t xml:space="preserve">Pronóstico móvil</w:t>
            </w:r>
            <w:r>
              <w:rPr>
                <w:rFonts w:ascii="Times New Roman" w:hAnsi="Times New Roman"/>
                <w:color w:val="000000"/>
                <w:sz w:val="20"/>
              </w:rPr>
            </w:r>
          </w:p>
        </w:tc>
        <w:tc>
          <w:tcPr>
            <w:shd w:val="clear" w:color="auto" w:fill="eef4f7"/>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Uso operacional documentado</w:t>
            </w:r>
            <w:r>
              <w:rPr>
                <w:rFonts w:ascii="Times New Roman" w:hAnsi="Times New Roman"/>
                <w:color w:val="000000"/>
                <w:sz w:val="20"/>
              </w:rPr>
            </w:r>
          </w:p>
        </w:tc>
      </w:tr>
      <w:tr>
        <w:trPr>
          <w:cantSplit/>
        </w:trPr>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Este estudio</w:t>
            </w:r>
            <w:r>
              <w:rPr>
                <w:rFonts w:ascii="Times New Roman" w:hAnsi="Times New Roman"/>
                <w:color w:val="000000"/>
                <w:sz w:val="20"/>
              </w:rPr>
            </w:r>
          </w:p>
        </w:tc>
        <w:tc>
          <w:tcPr>
            <w:tcMar>
              <w:left w:w="80" w:type="dxa"/>
              <w:top w:w="70" w:type="dxa"/>
              <w:right w:w="80" w:type="dxa"/>
              <w:bottom w:w="70" w:type="dxa"/>
            </w:tcMar>
            <w:tcW w:w="184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Lluvia externa y respuesta simulada</w:t>
            </w:r>
            <w:r>
              <w:rPr>
                <w:rFonts w:ascii="Times New Roman" w:hAnsi="Times New Roman"/>
                <w:color w:val="000000"/>
                <w:sz w:val="20"/>
              </w:rPr>
            </w:r>
          </w:p>
        </w:tc>
        <w:tc>
          <w:tcPr>
            <w:tcMar>
              <w:left w:w="80" w:type="dxa"/>
              <w:top w:w="70" w:type="dxa"/>
              <w:right w:w="80" w:type="dxa"/>
              <w:bottom w:w="70" w:type="dxa"/>
            </w:tcMar>
            <w:tcW w:w="191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FEM 2D y monotonía agregada</w:t>
            </w:r>
            <w:r>
              <w:rPr>
                <w:rFonts w:ascii="Times New Roman" w:hAnsi="Times New Roman"/>
                <w:color w:val="000000"/>
                <w:sz w:val="20"/>
              </w:rPr>
            </w:r>
          </w:p>
        </w:tc>
        <w:tc>
          <w:tcPr>
            <w:tcMar>
              <w:left w:w="80" w:type="dxa"/>
              <w:top w:w="70" w:type="dxa"/>
              <w:right w:w="80" w:type="dxa"/>
              <w:bottom w:w="70" w:type="dxa"/>
            </w:tcMar>
            <w:tcW w:w="168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center"/>
              <w:rPr/>
            </w:pPr>
            <w:r>
              <w:rPr>
                <w:rFonts w:ascii="Times New Roman" w:hAnsi="Times New Roman"/>
                <w:color w:val="000000"/>
                <w:sz w:val="20"/>
              </w:rPr>
            </w:r>
            <w:r>
              <w:rPr>
                <w:rFonts w:ascii="Times New Roman" w:hAnsi="Times New Roman"/>
                <w:b w:val="0"/>
                <w:color w:val="000000"/>
                <w:sz w:val="20"/>
              </w:rPr>
              <w:t xml:space="preserve">LSTM a 1 y 6 h</w:t>
            </w:r>
            <w:r>
              <w:rPr>
                <w:rFonts w:ascii="Times New Roman" w:hAnsi="Times New Roman"/>
                <w:color w:val="000000"/>
                <w:sz w:val="20"/>
              </w:rPr>
            </w:r>
          </w:p>
        </w:tc>
        <w:tc>
          <w:tcPr>
            <w:tcMar>
              <w:left w:w="80" w:type="dxa"/>
              <w:top w:w="70" w:type="dxa"/>
              <w:right w:w="80" w:type="dxa"/>
              <w:bottom w:w="70" w:type="dxa"/>
            </w:tcMar>
            <w:tcW w:w="2149"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Fechas disjuntas, 2024 y 2025</w:t>
            </w:r>
            <w:r>
              <w:rPr>
                <w:rFonts w:ascii="Times New Roman" w:hAnsi="Times New Roman"/>
                <w:color w:val="000000"/>
                <w:sz w:val="20"/>
              </w:rPr>
            </w:r>
          </w:p>
        </w:tc>
      </w:tr>
    </w:tbl>
    <w:p>
      <w:pPr>
        <w:widowControl/>
        <w:pBdr/>
        <w:spacing w:after="80" w:before="40" w:line="480" w:lineRule="auto"/>
        <w:ind/>
        <w:rPr/>
      </w:pPr>
      <w:r>
        <w:rPr>
          <w:rFonts w:ascii="Times New Roman" w:hAnsi="Times New Roman"/>
          <w:color w:val="000000"/>
          <w:sz w:val="24"/>
        </w:rPr>
        <w:t xml:space="preserve">Nota. La tabla resume el alcance descrito en las obras citadas y no sustituye una revisión sistemática.</w:t>
      </w:r>
      <w:r>
        <w:rPr>
          <w:rFonts w:ascii="Times New Roman" w:hAnsi="Times New Roman"/>
          <w:color w:val="000000"/>
          <w:sz w:val="24"/>
        </w:rPr>
      </w:r>
    </w:p>
    <w:p>
      <w:pPr>
        <w:pStyle w:val="672"/>
        <w:keepNext/>
        <w:widowControl/>
        <w:pBdr/>
        <w:spacing w:line="480" w:lineRule="auto" w:after="80"/>
        <w:ind/>
        <w:rPr/>
      </w:pPr>
      <w:r>
        <w:t>Research questions and contribution</w:t>
      </w:r>
    </w:p>
    <w:p>
      <w:pPr>
        <w:widowControl/>
        <w:pBdr/>
        <w:spacing w:after="80" w:line="480" w:lineRule="auto"/>
        <w:ind w:firstLine="283"/>
        <w:rPr/>
      </w:pPr>
      <w:r>
        <w:rPr>
          <w:rFonts w:ascii="Times New Roman" w:hAnsi="Times New Roman"/>
          <w:color w:val="000000"/>
          <w:sz w:val="24"/>
        </w:rPr>
        <w:t xml:space="preserve">El experimento responde cuatro preguntas medibles dentro del caso TA-01:</w:t>
      </w:r>
      <w:r>
        <w:rPr>
          <w:rFonts w:ascii="Times New Roman" w:hAnsi="Times New Roman"/>
          <w:color w:val="000000"/>
          <w:sz w:val="24"/>
        </w:rPr>
      </w:r>
    </w:p>
    <w:p>
      <w:pPr>
        <w:widowControl/>
        <w:pBdr/>
        <w:spacing w:after="80" w:line="480" w:lineRule="auto"/>
        <w:ind w:left="317" w:firstLine="283"/>
        <w:rPr/>
      </w:pPr>
      <w:r>
        <w:rPr>
          <w:rFonts w:ascii="Times New Roman" w:hAnsi="Times New Roman"/>
          <w:color w:val="000000"/>
          <w:sz w:val="24"/>
        </w:rPr>
        <w:t xml:space="preserve">RQ1. ¿Cómo cambia el MAE de persistencia, ridge, LSTM e híbrido en horizontes de 1 y 6 h </w:t>
      </w:r>
      <w:r>
        <w:rPr>
          <w:rFonts w:ascii="Times New Roman" w:hAnsi="Times New Roman"/>
          <w:color w:val="000000"/>
          <w:sz w:val="24"/>
        </w:rPr>
        <w:t>c</w:t>
      </w:r>
      <w:r>
        <w:rPr>
          <w:rFonts w:ascii="Times New Roman" w:hAnsi="Times New Roman"/>
          <w:color w:val="000000"/>
          <w:sz w:val="24"/>
        </w:rPr>
        <w:t>o</w:t>
      </w:r>
      <w:r>
        <w:rPr>
          <w:rFonts w:ascii="Times New Roman" w:hAnsi="Times New Roman"/>
          <w:color w:val="000000"/>
          <w:sz w:val="24"/>
        </w:rPr>
        <w:t>n</w:t>
      </w:r>
      <w:r>
        <w:rPr>
          <w:rFonts w:ascii="Times New Roman" w:hAnsi="Times New Roman"/>
          <w:color w:val="000000"/>
          <w:sz w:val="24"/>
        </w:rPr>
        <w:t xml:space="preserve"> fechas de lluvia disjuntas y cortes cronológicos?</w:t>
      </w:r>
    </w:p>
    <w:p>
      <w:pPr>
        <w:widowControl/>
        <w:pBdr/>
        <w:spacing w:after="80" w:line="480" w:lineRule="auto"/>
        <w:ind w:left="317" w:firstLine="283"/>
        <w:rPr/>
      </w:pPr>
      <w:r>
        <w:rPr>
          <w:rFonts w:ascii="Times New Roman" w:hAnsi="Times New Roman"/>
          <w:color w:val="000000"/>
          <w:sz w:val="24"/>
        </w:rPr>
        <w:t xml:space="preserve">RQ2. ¿La corrección residual monótona aporta una mejora predictiva consistente respecto de la LSTM entre los años de prueba?</w:t>
      </w:r>
      <w:r>
        <w:rPr>
          <w:rFonts w:ascii="Times New Roman" w:hAnsi="Times New Roman"/>
          <w:color w:val="000000"/>
          <w:sz w:val="24"/>
        </w:rPr>
      </w:r>
    </w:p>
    <w:p>
      <w:pPr>
        <w:widowControl/>
        <w:pBdr/>
        <w:spacing w:after="80" w:line="480" w:lineRule="auto"/>
        <w:ind w:left="317" w:firstLine="283"/>
        <w:rPr/>
      </w:pPr>
      <w:r>
        <w:rPr>
          <w:rFonts w:ascii="Times New Roman" w:hAnsi="Times New Roman"/>
          <w:color w:val="000000"/>
          <w:sz w:val="24"/>
        </w:rPr>
        <w:t xml:space="preserve">RQ3. ¿Cuánto se degrada el híbrido ante ruido del 5 % y pérdida aleatoria del 30 % de las entradas reservadas?</w:t>
      </w:r>
      <w:r>
        <w:rPr>
          <w:rFonts w:ascii="Times New Roman" w:hAnsi="Times New Roman"/>
          <w:color w:val="000000"/>
          <w:sz w:val="24"/>
        </w:rPr>
      </w:r>
    </w:p>
    <w:p>
      <w:pPr>
        <w:widowControl/>
        <w:pBdr/>
        <w:spacing w:after="80" w:line="480" w:lineRule="auto"/>
        <w:ind w:left="317" w:firstLine="283"/>
        <w:rPr/>
      </w:pPr>
      <w:r>
        <w:rPr>
          <w:rFonts w:ascii="Times New Roman" w:hAnsi="Times New Roman"/>
          <w:color w:val="000000"/>
          <w:sz w:val="24"/>
        </w:rPr>
        <w:t xml:space="preserve">RQ4. ¿Qué grado de concordancia interna alcanzan la implementación FEM y la aproximación espacial PIELM/RBF dentro del mismo operador numérico?</w:t>
      </w:r>
      <w:r>
        <w:rPr>
          <w:rFonts w:ascii="Times New Roman" w:hAnsi="Times New Roman"/>
          <w:color w:val="000000"/>
          <w:sz w:val="24"/>
        </w:rPr>
      </w:r>
    </w:p>
    <w:p>
      <w:pPr>
        <w:widowControl/>
        <w:pBdr/>
        <w:spacing w:after="80" w:line="480" w:lineRule="auto"/>
        <w:ind w:firstLine="283"/>
        <w:jc w:val="both"/>
        <w:rPr/>
      </w:pPr>
      <w:r>
        <w:rPr>
          <w:rFonts w:ascii="Times New Roman" w:hAnsi="Times New Roman"/>
          <w:color w:val="000000"/>
          <w:sz w:val="24"/>
        </w:rPr>
        <w:t>Cada pregunta se vincula con</w:t>
      </w:r>
      <w:r>
        <w:rPr>
          <w:rFonts w:ascii="Times New Roman" w:hAnsi="Times New Roman"/>
          <w:color w:val="000000"/>
          <w:sz w:val="24"/>
        </w:rPr>
        <w:t xml:space="preserve"> métodos y</w:t>
      </w:r>
      <w:r>
        <w:rPr>
          <w:rFonts w:ascii="Times New Roman" w:hAnsi="Times New Roman"/>
          <w:color w:val="000000"/>
          <w:sz w:val="24"/>
        </w:rPr>
        <w:t xml:space="preserve"> resultados específicos: RQ1 con las Tablas </w:t>
      </w:r>
      <w:r>
        <w:rPr>
          <w:rFonts w:ascii="Times New Roman" w:hAnsi="Times New Roman"/>
          <w:color w:val="000000"/>
          <w:sz w:val="24"/>
        </w:rPr>
        <w:t>3</w:t>
      </w:r>
      <w:r>
        <w:rPr>
          <w:rFonts w:ascii="Times New Roman" w:hAnsi="Times New Roman"/>
          <w:color w:val="000000"/>
          <w:sz w:val="24"/>
        </w:rPr>
        <w:t xml:space="preserve"> y </w:t>
      </w:r>
      <w:r>
        <w:rPr>
          <w:rFonts w:ascii="Times New Roman" w:hAnsi="Times New Roman"/>
          <w:color w:val="000000"/>
          <w:sz w:val="24"/>
        </w:rPr>
        <w:t>4;</w:t>
      </w:r>
      <w:r>
        <w:rPr>
          <w:rFonts w:ascii="Times New Roman" w:hAnsi="Times New Roman"/>
          <w:color w:val="000000"/>
          <w:sz w:val="24"/>
        </w:rPr>
        <w:t xml:space="preserve"> RQ2 con los intervalos pareados por fecha</w:t>
      </w:r>
      <w:r>
        <w:rPr>
          <w:rFonts w:ascii="Times New Roman" w:hAnsi="Times New Roman"/>
          <w:color w:val="000000"/>
          <w:sz w:val="24"/>
        </w:rPr>
        <w:t xml:space="preserve"> de la Figura 3;</w:t>
      </w:r>
      <w:r>
        <w:rPr>
          <w:rFonts w:ascii="Times New Roman" w:hAnsi="Times New Roman"/>
          <w:color w:val="000000"/>
          <w:sz w:val="24"/>
        </w:rPr>
        <w:t xml:space="preserve"> RQ3 con las p</w:t>
      </w:r>
      <w:r>
        <w:rPr>
          <w:rFonts w:ascii="Times New Roman" w:hAnsi="Times New Roman"/>
          <w:color w:val="000000"/>
          <w:sz w:val="24"/>
        </w:rPr>
        <w:t>erturbaci</w:t>
      </w:r>
      <w:r>
        <w:rPr>
          <w:rFonts w:ascii="Times New Roman" w:hAnsi="Times New Roman"/>
          <w:color w:val="000000"/>
          <w:sz w:val="24"/>
        </w:rPr>
        <w:t>o</w:t>
      </w:r>
      <w:r>
        <w:rPr>
          <w:rFonts w:ascii="Times New Roman" w:hAnsi="Times New Roman"/>
          <w:color w:val="000000"/>
          <w:sz w:val="24"/>
        </w:rPr>
        <w:t>n</w:t>
      </w:r>
      <w:r>
        <w:rPr>
          <w:rFonts w:ascii="Times New Roman" w:hAnsi="Times New Roman"/>
          <w:color w:val="000000"/>
          <w:sz w:val="24"/>
        </w:rPr>
        <w:t>es de la Tabla 6 y la Figura 5;</w:t>
      </w:r>
      <w:r>
        <w:rPr>
          <w:rFonts w:ascii="Times New Roman" w:hAnsi="Times New Roman"/>
          <w:color w:val="000000"/>
          <w:sz w:val="24"/>
        </w:rPr>
        <w:t xml:space="preserve"> y RQ4 con la</w:t>
      </w:r>
      <w:r>
        <w:rPr>
          <w:rFonts w:ascii="Times New Roman" w:hAnsi="Times New Roman"/>
          <w:color w:val="000000"/>
          <w:sz w:val="24"/>
        </w:rPr>
        <w:t xml:space="preserve"> verificaci</w:t>
      </w:r>
      <w:r>
        <w:rPr>
          <w:rFonts w:ascii="Times New Roman" w:hAnsi="Times New Roman"/>
          <w:color w:val="000000"/>
          <w:sz w:val="24"/>
        </w:rPr>
        <w:t>ó</w:t>
      </w:r>
      <w:r>
        <w:rPr>
          <w:rFonts w:ascii="Times New Roman" w:hAnsi="Times New Roman"/>
          <w:color w:val="000000"/>
          <w:sz w:val="24"/>
        </w:rPr>
        <w:t>n</w:t>
      </w:r>
      <w:r>
        <w:rPr>
          <w:rFonts w:ascii="Times New Roman" w:hAnsi="Times New Roman"/>
          <w:color w:val="000000"/>
          <w:sz w:val="24"/>
        </w:rPr>
        <w:t xml:space="preserve"> del FEM y la aproximación espacial</w:t>
      </w:r>
      <w:r>
        <w:rPr>
          <w:rFonts w:ascii="Times New Roman" w:hAnsi="Times New Roman"/>
          <w:color w:val="000000"/>
          <w:sz w:val="24"/>
        </w:rPr>
        <w:t xml:space="preserve"> de la Tabla 5 y la Figura 2</w:t>
      </w:r>
      <w:r>
        <w:rPr>
          <w:rFonts w:ascii="Times New Roman" w:hAnsi="Times New Roman"/>
          <w:color w:val="000000"/>
          <w:sz w:val="24"/>
        </w:rPr>
        <w:t>.</w:t>
      </w:r>
      <w:r>
        <w:rPr>
          <w:rFonts w:ascii="Times New Roman" w:hAnsi="Times New Roman"/>
          <w:color w:val="000000"/>
          <w:sz w:val="24"/>
        </w:rPr>
        <w:t xml:space="preserve"> Las conclusiones conservan estos límites de evaluación.</w:t>
      </w:r>
    </w:p>
    <w:p w14:paraId="00000015">
      <w:pPr>
        <w:pStyle w:val="671"/>
        <w:keepNext/>
        <w:keepLines w:val="false"/>
        <w:widowControl/>
        <w:pBdr/>
        <w:spacing w:after="80" w:before="160" w:line="480" w:lineRule="auto"/>
        <w:ind/>
        <w:jc w:val="center"/>
        <w:rPr>
          <w:rFonts w:ascii="Times New Roman" w:hAnsi="Times New Roman" w:eastAsia="Times New Roman" w:cs="Times New Roman"/>
          <w:sz w:val="24"/>
          <w:szCs w:val="24"/>
        </w:rPr>
      </w:pPr>
      <w:r>
        <w:t>DATA</w:t>
      </w:r>
    </w:p>
    <w:p w14:paraId="00000016">
      <w:pPr>
        <w:pStyle w:val="672"/>
        <w:keepNext/>
        <w:keepLines w:val="false"/>
        <w:widowControl/>
        <w:pBdr/>
        <w:spacing w:after="80" w:before="160" w:line="480" w:lineRule="auto"/>
        <w:ind/>
        <w:rPr>
          <w:rFonts w:ascii="Times New Roman" w:hAnsi="Times New Roman" w:eastAsia="Times New Roman" w:cs="Times New Roman"/>
          <w:sz w:val="24"/>
          <w:szCs w:val="24"/>
        </w:rPr>
      </w:pPr>
      <w:r>
        <w:t>TA-01 case and data provenance</w:t>
      </w:r>
    </w:p>
    <w:p w14:paraId="00000017">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TA-01 es un talud experimental definido en el proyecto, no una mina instrumentada. Su sección tiene 100 m de altura, 160 m de ancho, cinco bancos y tres zonas de material: suelo, material meteorizado y roca. Las propiedades mecánicas e hidrául</w:t>
      </w:r>
      <w:r>
        <w:rPr>
          <w:rFonts w:ascii="Times New Roman" w:hAnsi="Times New Roman" w:eastAsia="Times New Roman" w:cs="Times New Roman"/>
          <w:color w:val="000000"/>
          <w:sz w:val="24"/>
          <w:szCs w:val="24"/>
          <w:rtl w:val="0"/>
        </w:rPr>
        <w:t xml:space="preserve">icas se muestrearon dentro de rangos supuestos mediante Latin Hypercube. El conjunto reunió 500 escenarios de 24 estados horarios cada uno (12 000 registros), con semilla 20260915. Cada escenario conserva una geometría común y una fecha de lluvia asignada.</w:t>
      </w:r>
      <w:r>
        <w:rPr>
          <w:rFonts w:ascii="Times New Roman" w:hAnsi="Times New Roman" w:eastAsia="Times New Roman" w:cs="Times New Roman"/>
          <w:color w:val="000000"/>
          <w:sz w:val="24"/>
          <w:szCs w:val="24"/>
        </w:rPr>
      </w:r>
    </w:p>
    <w:p w14:paraId="00000018">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eastAsia="Gungsuh" w:cs="Gungsuh"/>
          <w:color w:val="000000"/>
          <w:sz w:val="24"/>
          <w:szCs w:val="24"/>
          <w:rtl w:val="0"/>
        </w:rPr>
        <w:t xml:space="preserve">La precip</w:t>
      </w:r>
      <w:r>
        <w:rPr>
          <w:rFonts w:ascii="Times New Roman" w:hAnsi="Times New Roman" w:eastAsia="Gungsuh" w:cs="Gungsuh"/>
          <w:color w:val="000000"/>
          <w:sz w:val="24"/>
          <w:szCs w:val="24"/>
          <w:rtl w:val="0"/>
        </w:rPr>
        <w:t xml:space="preserve">itación diaria de reanálisis corresponde a NASA POWER/MERRA-2 para el punto −10.68°, −76.26° durante 2020–2025 (National Aeronautics and Space Administration [NASA], s. f.). El archivo usado no contiene valores horarios; el generador distribuyó cada total </w:t>
      </w:r>
      <w:r>
        <w:rPr>
          <w:rFonts w:ascii="Times New Roman" w:hAnsi="Times New Roman" w:eastAsia="Gungsuh" w:cs="Gungsuh"/>
          <w:color w:val="000000"/>
          <w:sz w:val="24"/>
          <w:szCs w:val="24"/>
          <w:rtl w:val="0"/>
        </w:rPr>
        <w:t xml:space="preserve">diario en perfiles rectangulares estimados de 6, 12 o 24 h. Las presiones de poros, los desplazamientos y los índices de seguridad fueron simulados; no proceden de sensores. Esta distinción se mantuvo en el almacenamiento y la interpretación de resultados.</w:t>
      </w:r>
      <w:r>
        <w:rPr>
          <w:rFonts w:ascii="Times New Roman" w:hAnsi="Times New Roman" w:eastAsia="Times New Roman" w:cs="Times New Roman"/>
          <w:color w:val="000000"/>
          <w:sz w:val="24"/>
          <w:szCs w:val="24"/>
        </w:rPr>
      </w:r>
    </w:p>
    <w:p>
      <w:pPr>
        <w:pStyle w:val="671"/>
      </w:pPr>
      <w:r>
        <w:t>METHOD</w:t>
      </w:r>
    </w:p>
    <w:p>
      <w:pPr>
        <w:pStyle w:val="672"/>
        <w:keepNext/>
        <w:widowControl/>
        <w:pBdr/>
        <w:spacing w:line="480" w:lineRule="auto" w:after="80"/>
        <w:ind/>
        <w:rPr/>
      </w:pPr>
      <w:r>
        <w:t>Prototype architecture and traceability</w:t>
      </w:r>
    </w:p>
    <w:p>
      <w:pPr>
        <w:widowControl/>
        <w:pBdr/>
        <w:spacing w:after="80" w:line="480" w:lineRule="auto"/>
        <w:ind w:firstLine="283"/>
        <w:jc w:val="both"/>
        <w:rPr/>
      </w:pPr>
      <w:r>
        <w:rPr>
          <w:rFonts w:ascii="Times New Roman" w:hAnsi="Times New Roman"/>
          <w:color w:val="000000"/>
          <w:sz w:val="24"/>
        </w:rPr>
        <w:t xml:space="preserve">El prototipo organiza la generación de escenarios, la simulación mecánica, la construcción de ventanas, el entrenamiento y la validación como etapas separadas. Cada predicción conserva la fecha de lluvia y el identificador del escenario, lo que permite formar particiones sin </w:t>
      </w:r>
      <w:r>
        <w:rPr>
          <w:rFonts w:ascii="Times New Roman" w:hAnsi="Times New Roman"/>
          <w:color w:val="000000"/>
          <w:sz w:val="24"/>
        </w:rPr>
        <w:t xml:space="preserve">compartir </w:t>
      </w:r>
      <w:r>
        <w:rPr>
          <w:rFonts w:ascii="Times New Roman" w:hAnsi="Times New Roman"/>
          <w:color w:val="000000"/>
          <w:sz w:val="24"/>
        </w:rPr>
        <w:t>f</w:t>
      </w:r>
      <w:r>
        <w:rPr>
          <w:rFonts w:ascii="Times New Roman" w:hAnsi="Times New Roman"/>
          <w:color w:val="000000"/>
          <w:sz w:val="24"/>
        </w:rPr>
        <w:t>ech</w:t>
      </w:r>
      <w:r>
        <w:rPr>
          <w:rFonts w:ascii="Times New Roman" w:hAnsi="Times New Roman"/>
          <w:color w:val="000000"/>
          <w:sz w:val="24"/>
        </w:rPr>
        <w:t>a</w:t>
      </w:r>
      <w:r>
        <w:rPr>
          <w:rFonts w:ascii="Times New Roman" w:hAnsi="Times New Roman"/>
          <w:color w:val="000000"/>
          <w:sz w:val="24"/>
        </w:rPr>
        <w:t>s ni escenarios</w:t>
      </w:r>
      <w:r>
        <w:rPr>
          <w:rFonts w:ascii="Times New Roman" w:hAnsi="Times New Roman"/>
          <w:color w:val="000000"/>
          <w:sz w:val="24"/>
        </w:rPr>
        <w:t xml:space="preserve"> entre </w:t>
      </w:r>
      <w:r>
        <w:rPr>
          <w:rFonts w:ascii="Times New Roman" w:hAnsi="Times New Roman"/>
          <w:color w:val="000000"/>
          <w:sz w:val="24"/>
        </w:rPr>
        <w:t>co</w:t>
      </w:r>
      <w:r>
        <w:rPr>
          <w:rFonts w:ascii="Times New Roman" w:hAnsi="Times New Roman"/>
          <w:color w:val="000000"/>
          <w:sz w:val="24"/>
        </w:rPr>
        <w:t>n</w:t>
      </w:r>
      <w:r>
        <w:rPr>
          <w:rFonts w:ascii="Times New Roman" w:hAnsi="Times New Roman"/>
          <w:color w:val="000000"/>
          <w:sz w:val="24"/>
        </w:rPr>
        <w:t>j</w:t>
      </w:r>
      <w:r>
        <w:rPr>
          <w:rFonts w:ascii="Times New Roman" w:hAnsi="Times New Roman"/>
          <w:color w:val="000000"/>
          <w:sz w:val="24"/>
        </w:rPr>
        <w:t>u</w:t>
      </w:r>
      <w:r>
        <w:rPr>
          <w:rFonts w:ascii="Times New Roman" w:hAnsi="Times New Roman"/>
          <w:color w:val="000000"/>
          <w:sz w:val="24"/>
        </w:rPr>
        <w:t>nto</w:t>
      </w:r>
      <w:r>
        <w:rPr>
          <w:rFonts w:ascii="Times New Roman" w:hAnsi="Times New Roman"/>
          <w:color w:val="000000"/>
          <w:sz w:val="24"/>
        </w:rPr>
        <w:t>s</w:t>
      </w:r>
      <w:r>
        <w:rPr>
          <w:rFonts w:ascii="Times New Roman" w:hAnsi="Times New Roman"/>
          <w:color w:val="000000"/>
          <w:sz w:val="24"/>
        </w:rPr>
        <w:t xml:space="preserve"> y rastrear las cifras hasta los archivos de validación. La Figura 1 resume el flujo evaluado.</w:t>
      </w:r>
    </w:p>
    <w:p>
      <w:pPr>
        <w:keepNext/>
        <w:widowControl/>
        <w:pBdr/>
        <w:spacing w:after="80" w:before="120" w:line="480" w:lineRule="auto"/>
        <w:ind/>
        <w:rPr/>
      </w:pPr>
      <w:r>
        <w:rPr>
          <w:rFonts w:ascii="Times New Roman" w:hAnsi="Times New Roman"/>
          <w:b/>
          <w:color w:val="000000"/>
          <w:sz w:val="24"/>
        </w:rPr>
        <w:t xml:space="preserve">Figura 1</w:t>
      </w:r>
      <w:r>
        <w:rPr>
          <w:rFonts w:ascii="Times New Roman" w:hAnsi="Times New Roman"/>
          <w:i/>
          <w:color w:val="000000"/>
          <w:sz w:val="24"/>
        </w:rPr>
        <w:br/>
        <w:t xml:space="preserve">Flujo de datos y validación del prototipo TA-01</w:t>
      </w:r>
      <w:r>
        <w:rPr>
          <w:rFonts w:ascii="Times New Roman" w:hAnsi="Times New Roman"/>
          <w:color w:val="000000"/>
          <w:sz w:val="24"/>
        </w:rPr>
      </w:r>
    </w:p>
    <w:p>
      <w:pPr>
        <w:keepNext/>
        <w:widowControl/>
        <w:spacing w:line="480" w:lineRule="auto" w:after="80"/>
      </w:pPr>
      <w:r>
        <w:rPr>
          <w:rFonts w:ascii="Times New Roman" w:hAnsi="Times New Roman"/>
          <w:color w:val="000000"/>
          <w:sz w:val="24"/>
        </w:rPr>
        <w:t>Figure 1. Data flow and validation of the semisynthetic TA-01 prototype.</w:t>
      </w:r>
    </w:p>
    <w:p>
      <w:pPr>
        <w:keepNext/>
        <w:widowControl w:val="true"/>
        <w:pBdr/>
        <w:spacing/>
        <w:ind/>
        <w:jc w:val="center"/>
        <w:rPr/>
      </w:pPr>
      <w:r>
        <w:rPr>
          <w:rFonts w:ascii="Times New Roman" w:hAnsi="Times New Roman"/>
          <w:color w:val="000000"/>
          <w:sz w:val="24"/>
        </w:rPr>
        <w:drawing>
          <wp:inline xmlns:pic="http://schemas.openxmlformats.org/drawingml/2006/picture">
            <wp:extent cx="5623560" cy="2749881"/>
            <wp:docPr id="6" name="Picture 6"/>
            <wp:cNvGraphicFramePr>
              <a:graphicFrameLocks noChangeAspect="1"/>
            </wp:cNvGraphicFramePr>
            <a:graphic>
              <a:graphicData uri="http://schemas.openxmlformats.org/drawingml/2006/picture">
                <pic:pic>
                  <pic:nvPicPr>
                    <pic:cNvPr id="0" name="Figura_1.png"/>
                    <pic:cNvPicPr/>
                  </pic:nvPicPr>
                  <pic:blipFill>
                    <a:blip r:embed="rId14"/>
                    <a:stretch>
                      <a:fillRect/>
                    </a:stretch>
                  </pic:blipFill>
                  <pic:spPr>
                    <a:xfrm>
                      <a:off x="0" y="0"/>
                      <a:ext cx="5623560" cy="2749881"/>
                    </a:xfrm>
                    <a:prstGeom prst="rect"/>
                  </pic:spPr>
                </pic:pic>
              </a:graphicData>
            </a:graphic>
          </wp:inline>
        </w:drawing>
      </w:r>
    </w:p>
    <w:p>
      <w:pPr>
        <w:widowControl/>
        <w:pBdr/>
        <w:spacing w:after="80" w:before="120" w:line="480" w:lineRule="auto"/>
        <w:ind/>
        <w:rPr/>
      </w:pPr>
      <w:r>
        <w:rPr>
          <w:rFonts w:ascii="Times New Roman" w:hAnsi="Times New Roman"/>
          <w:color w:val="000000"/>
          <w:sz w:val="24"/>
        </w:rPr>
        <w:t xml:space="preserve">Nota. LHS: muestreo </w:t>
      </w:r>
      <w:r>
        <w:rPr>
          <w:rFonts w:ascii="Times New Roman" w:hAnsi="Times New Roman"/>
          <w:color w:val="000000"/>
          <w:sz w:val="24"/>
        </w:rPr>
        <w:t>por h</w:t>
      </w:r>
      <w:r>
        <w:rPr>
          <w:rFonts w:ascii="Times New Roman" w:hAnsi="Times New Roman"/>
          <w:color w:val="000000"/>
          <w:sz w:val="24"/>
        </w:rPr>
        <w:t>i</w:t>
      </w:r>
      <w:r>
        <w:rPr>
          <w:rFonts w:ascii="Times New Roman" w:hAnsi="Times New Roman"/>
          <w:color w:val="000000"/>
          <w:sz w:val="24"/>
        </w:rPr>
        <w:t>percub</w:t>
      </w:r>
      <w:r>
        <w:rPr>
          <w:rFonts w:ascii="Times New Roman" w:hAnsi="Times New Roman"/>
          <w:color w:val="000000"/>
          <w:sz w:val="24"/>
        </w:rPr>
        <w:t>o</w:t>
      </w:r>
      <w:r>
        <w:rPr>
          <w:rFonts w:ascii="Times New Roman" w:hAnsi="Times New Roman"/>
          <w:color w:val="000000"/>
          <w:sz w:val="24"/>
        </w:rPr>
        <w:t xml:space="preserve"> </w:t>
      </w:r>
      <w:r>
        <w:rPr>
          <w:rFonts w:ascii="Times New Roman" w:hAnsi="Times New Roman"/>
          <w:color w:val="000000"/>
          <w:sz w:val="24"/>
        </w:rPr>
        <w:t>l</w:t>
      </w:r>
      <w:r>
        <w:rPr>
          <w:rFonts w:ascii="Times New Roman" w:hAnsi="Times New Roman"/>
          <w:color w:val="000000"/>
          <w:sz w:val="24"/>
        </w:rPr>
        <w:t>a</w:t>
      </w:r>
      <w:r>
        <w:rPr>
          <w:rFonts w:ascii="Times New Roman" w:hAnsi="Times New Roman"/>
          <w:color w:val="000000"/>
          <w:sz w:val="24"/>
        </w:rPr>
        <w:t>tino;</w:t>
      </w:r>
      <w:r>
        <w:rPr>
          <w:rFonts w:ascii="Times New Roman" w:hAnsi="Times New Roman"/>
          <w:color w:val="000000"/>
          <w:sz w:val="24"/>
        </w:rPr>
        <w:t xml:space="preserve"> </w:t>
      </w:r>
      <w:r>
        <w:rPr>
          <w:rFonts w:ascii="Times New Roman" w:hAnsi="Times New Roman"/>
          <w:color w:val="000000"/>
          <w:sz w:val="24"/>
        </w:rPr>
        <w:t>FEM:</w:t>
      </w:r>
      <w:r>
        <w:rPr>
          <w:rFonts w:ascii="Times New Roman" w:hAnsi="Times New Roman"/>
          <w:color w:val="000000"/>
          <w:sz w:val="24"/>
        </w:rPr>
        <w:t xml:space="preserve"> el</w:t>
      </w:r>
      <w:r>
        <w:rPr>
          <w:rFonts w:ascii="Times New Roman" w:hAnsi="Times New Roman"/>
          <w:color w:val="000000"/>
          <w:sz w:val="24"/>
        </w:rPr>
        <w:t>ementos</w:t>
      </w:r>
      <w:r>
        <w:rPr>
          <w:rFonts w:ascii="Times New Roman" w:hAnsi="Times New Roman"/>
          <w:color w:val="000000"/>
          <w:sz w:val="24"/>
        </w:rPr>
        <w:t xml:space="preserve"> </w:t>
      </w:r>
      <w:r>
        <w:rPr>
          <w:rFonts w:ascii="Times New Roman" w:hAnsi="Times New Roman"/>
          <w:color w:val="000000"/>
          <w:sz w:val="24"/>
        </w:rPr>
        <w:t>f</w:t>
      </w:r>
      <w:r>
        <w:rPr>
          <w:rFonts w:ascii="Times New Roman" w:hAnsi="Times New Roman"/>
          <w:color w:val="000000"/>
          <w:sz w:val="24"/>
        </w:rPr>
        <w:t>in</w:t>
      </w:r>
      <w:r>
        <w:rPr>
          <w:rFonts w:ascii="Times New Roman" w:hAnsi="Times New Roman"/>
          <w:color w:val="000000"/>
          <w:sz w:val="24"/>
        </w:rPr>
        <w:t xml:space="preserve">itos; LSTM: memoria a </w:t>
      </w:r>
      <w:r>
        <w:rPr>
          <w:rFonts w:ascii="Times New Roman" w:hAnsi="Times New Roman"/>
          <w:color w:val="000000"/>
          <w:sz w:val="24"/>
        </w:rPr>
        <w:t>c</w:t>
      </w:r>
      <w:r>
        <w:rPr>
          <w:rFonts w:ascii="Times New Roman" w:hAnsi="Times New Roman"/>
          <w:color w:val="000000"/>
          <w:sz w:val="24"/>
        </w:rPr>
        <w:t>o</w:t>
      </w:r>
      <w:r>
        <w:rPr>
          <w:rFonts w:ascii="Times New Roman" w:hAnsi="Times New Roman"/>
          <w:color w:val="000000"/>
          <w:sz w:val="24"/>
        </w:rPr>
        <w:t>r</w:t>
      </w:r>
      <w:r>
        <w:rPr>
          <w:rFonts w:ascii="Times New Roman" w:hAnsi="Times New Roman"/>
          <w:color w:val="000000"/>
          <w:sz w:val="24"/>
        </w:rPr>
        <w:t>to y largo plazo. Esqu</w:t>
      </w:r>
      <w:r>
        <w:rPr>
          <w:rFonts w:ascii="Times New Roman" w:hAnsi="Times New Roman"/>
          <w:color w:val="000000"/>
          <w:sz w:val="24"/>
        </w:rPr>
        <w:t>e</w:t>
      </w:r>
      <w:r>
        <w:rPr>
          <w:rFonts w:ascii="Times New Roman" w:hAnsi="Times New Roman"/>
          <w:color w:val="000000"/>
          <w:sz w:val="24"/>
        </w:rPr>
        <w:t>ma del experi</w:t>
      </w:r>
      <w:r>
        <w:rPr>
          <w:rFonts w:ascii="Times New Roman" w:hAnsi="Times New Roman"/>
          <w:color w:val="000000"/>
          <w:sz w:val="24"/>
        </w:rPr>
        <w:t>mento s</w:t>
      </w:r>
      <w:r>
        <w:rPr>
          <w:rFonts w:ascii="Times New Roman" w:hAnsi="Times New Roman"/>
          <w:color w:val="000000"/>
          <w:sz w:val="24"/>
        </w:rPr>
        <w:t>e</w:t>
      </w:r>
      <w:r>
        <w:rPr>
          <w:rFonts w:ascii="Times New Roman" w:hAnsi="Times New Roman"/>
          <w:color w:val="000000"/>
          <w:sz w:val="24"/>
        </w:rPr>
        <w:t>mi</w:t>
      </w:r>
      <w:r>
        <w:rPr>
          <w:rFonts w:ascii="Times New Roman" w:hAnsi="Times New Roman"/>
          <w:color w:val="000000"/>
          <w:sz w:val="24"/>
        </w:rPr>
        <w:t>si</w:t>
      </w:r>
      <w:r>
        <w:rPr>
          <w:rFonts w:ascii="Times New Roman" w:hAnsi="Times New Roman"/>
          <w:color w:val="000000"/>
          <w:sz w:val="24"/>
        </w:rPr>
        <w:t>nt</w:t>
      </w:r>
      <w:r>
        <w:rPr>
          <w:rFonts w:ascii="Times New Roman" w:hAnsi="Times New Roman"/>
          <w:color w:val="000000"/>
          <w:sz w:val="24"/>
        </w:rPr>
        <w:t>étic</w:t>
      </w:r>
      <w:r>
        <w:rPr>
          <w:rFonts w:ascii="Times New Roman" w:hAnsi="Times New Roman"/>
          <w:color w:val="000000"/>
          <w:sz w:val="24"/>
        </w:rPr>
        <w:t xml:space="preserve">o, no </w:t>
      </w:r>
      <w:r>
        <w:rPr>
          <w:rFonts w:ascii="Times New Roman" w:hAnsi="Times New Roman"/>
          <w:color w:val="000000"/>
          <w:sz w:val="24"/>
        </w:rPr>
        <w:t xml:space="preserve">de </w:t>
      </w:r>
      <w:r>
        <w:rPr>
          <w:rFonts w:ascii="Times New Roman" w:hAnsi="Times New Roman"/>
          <w:color w:val="000000"/>
          <w:sz w:val="24"/>
        </w:rPr>
        <w:t>un</w:t>
      </w:r>
      <w:r>
        <w:rPr>
          <w:rFonts w:ascii="Times New Roman" w:hAnsi="Times New Roman"/>
          <w:color w:val="000000"/>
          <w:sz w:val="24"/>
        </w:rPr>
        <w:t xml:space="preserve"> sistem</w:t>
      </w:r>
      <w:r>
        <w:rPr>
          <w:rFonts w:ascii="Times New Roman" w:hAnsi="Times New Roman"/>
          <w:color w:val="000000"/>
          <w:sz w:val="24"/>
        </w:rPr>
        <w:t>a</w:t>
      </w:r>
      <w:r>
        <w:rPr>
          <w:rFonts w:ascii="Times New Roman" w:hAnsi="Times New Roman"/>
          <w:color w:val="000000"/>
          <w:sz w:val="24"/>
        </w:rPr>
        <w:t xml:space="preserve"> de</w:t>
      </w:r>
      <w:r>
        <w:rPr>
          <w:rFonts w:ascii="Times New Roman" w:hAnsi="Times New Roman"/>
          <w:color w:val="000000"/>
          <w:sz w:val="24"/>
        </w:rPr>
        <w:t xml:space="preserve"> alerta de campo.</w:t>
      </w:r>
    </w:p>
    <w:p w14:paraId="00000019">
      <w:pPr>
        <w:pStyle w:val="672"/>
        <w:keepNext/>
        <w:keepLines w:val="false"/>
        <w:widowControl/>
        <w:pBdr/>
        <w:spacing w:after="80" w:before="160" w:line="480" w:lineRule="auto"/>
        <w:ind/>
        <w:rPr>
          <w:rFonts w:ascii="Times New Roman" w:hAnsi="Times New Roman" w:eastAsia="Times New Roman" w:cs="Times New Roman"/>
          <w:sz w:val="24"/>
          <w:szCs w:val="24"/>
        </w:rPr>
      </w:pPr>
      <w:r>
        <w:t>Mechanical model and prediction target</w:t>
      </w:r>
    </w:p>
    <w:p w14:paraId="0000001A">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El FEM propio usa elementos triangulares de deformación constante en deformación plana, elasticidad lineal isotrópica, peso propio y una carga de presión de poros formulada mediante el coeficiente de Biot. Se impuso base fija y restricción horizontal en el borde izquierdo. Cada hora se resolvió un estado cuasiestático. La respuesta hidrológica es una aproximación de infiltración y drenaje; no se resolvió un campo transitorio de flujo mediante el FEM. El </w:t>
      </w:r>
      <w:r>
        <w:rPr>
          <w:rFonts w:ascii="Times New Roman" w:hAnsi="Times New Roman"/>
          <w:color w:val="000000"/>
          <w:sz w:val="24"/>
        </w:rPr>
        <w:t>val</w:t>
      </w:r>
      <w:r>
        <w:rPr>
          <w:rFonts w:ascii="Times New Roman" w:hAnsi="Times New Roman"/>
          <w:color w:val="000000"/>
          <w:sz w:val="24"/>
        </w:rPr>
        <w:t>o</w:t>
      </w:r>
      <w:r>
        <w:rPr>
          <w:rFonts w:ascii="Times New Roman" w:hAnsi="Times New Roman"/>
          <w:color w:val="000000"/>
          <w:sz w:val="24"/>
        </w:rPr>
        <w:t xml:space="preserve">r </w:t>
      </w:r>
      <w:r>
        <w:rPr>
          <w:rFonts w:ascii="Times New Roman" w:hAnsi="Times New Roman"/>
          <w:color w:val="000000"/>
          <w:sz w:val="24"/>
        </w:rPr>
        <w:t>e</w:t>
      </w:r>
      <w:r>
        <w:rPr>
          <w:rFonts w:ascii="Times New Roman" w:hAnsi="Times New Roman"/>
          <w:color w:val="000000"/>
          <w:sz w:val="24"/>
        </w:rPr>
        <w:t>v</w:t>
      </w:r>
      <w:r>
        <w:rPr>
          <w:rFonts w:ascii="Times New Roman" w:hAnsi="Times New Roman"/>
          <w:color w:val="000000"/>
          <w:sz w:val="24"/>
        </w:rPr>
        <w:t>alua</w:t>
      </w:r>
      <w:r>
        <w:rPr>
          <w:rFonts w:ascii="Times New Roman" w:hAnsi="Times New Roman"/>
          <w:color w:val="000000"/>
          <w:sz w:val="24"/>
        </w:rPr>
        <w:t>d</w:t>
      </w:r>
      <w:r>
        <w:rPr>
          <w:rFonts w:ascii="Times New Roman" w:hAnsi="Times New Roman"/>
          <w:color w:val="000000"/>
          <w:sz w:val="24"/>
        </w:rPr>
        <w:t xml:space="preserve">o fue </w:t>
      </w:r>
      <w:r>
        <w:rPr>
          <w:rFonts w:ascii="Times New Roman" w:hAnsi="Times New Roman"/>
          <w:color w:val="000000"/>
          <w:sz w:val="24"/>
        </w:rPr>
        <w:t>el desplazamiento máximo inducido por lluvia</w:t>
      </w:r>
      <w:r>
        <w:rPr>
          <w:rFonts w:ascii="Times New Roman" w:hAnsi="Times New Roman"/>
          <w:color w:val="000000"/>
          <w:sz w:val="24"/>
        </w:rPr>
        <w:t xml:space="preserve"> respecto del estado inicial sin lluvia</w:t>
      </w:r>
      <w:r>
        <w:rPr>
          <w:rFonts w:ascii="Times New Roman" w:hAnsi="Times New Roman"/>
          <w:color w:val="000000"/>
          <w:sz w:val="24"/>
        </w:rPr>
        <w:t>, expresado en milímetros</w:t>
      </w:r>
      <w:r>
        <w:rPr>
          <w:rFonts w:ascii="Times New Roman" w:hAnsi="Times New Roman"/>
          <w:color w:val="000000"/>
          <w:sz w:val="24"/>
        </w:rPr>
        <w:t xml:space="preserve"> y almacenado como rainfall_induced_max_displacement_mm. La red aprende su cambio entre la hora de origen y la hora objetivo; el pronóstico reconstruye el valor en la hora objetivo</w:t>
      </w:r>
      <w:r>
        <w:rPr>
          <w:rFonts w:ascii="Times New Roman" w:hAnsi="Times New Roman"/>
          <w:color w:val="000000"/>
          <w:sz w:val="24"/>
        </w:rPr>
        <w:t>. No debe confundirse est</w:t>
      </w:r>
      <w:r>
        <w:rPr>
          <w:rFonts w:ascii="Times New Roman" w:hAnsi="Times New Roman"/>
          <w:color w:val="000000"/>
          <w:sz w:val="24"/>
        </w:rPr>
        <w:t>a</w:t>
      </w:r>
      <w:r>
        <w:rPr>
          <w:rFonts w:ascii="Times New Roman" w:hAnsi="Times New Roman"/>
          <w:color w:val="000000"/>
          <w:sz w:val="24"/>
        </w:rPr>
        <w:t xml:space="preserve"> magnitud</w:t>
      </w:r>
      <w:r>
        <w:rPr>
          <w:rFonts w:ascii="Times New Roman" w:hAnsi="Times New Roman"/>
          <w:color w:val="000000"/>
          <w:sz w:val="24"/>
        </w:rPr>
        <w:t xml:space="preserve"> con el desplazamiento total de un talud real.</w:t>
      </w:r>
    </w:p>
    <w:p w14:paraId="0000001B">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El visor calcula además un índice local basado en tensiones efectivas y el criterio de Mohr–Coulomb. Ese í</w:t>
      </w:r>
      <w:r>
        <w:rPr>
          <w:rFonts w:ascii="Times New Roman" w:hAnsi="Times New Roman" w:eastAsia="Times New Roman" w:cs="Times New Roman"/>
          <w:color w:val="000000"/>
          <w:sz w:val="24"/>
          <w:szCs w:val="24"/>
          <w:rtl w:val="0"/>
        </w:rPr>
        <w:t xml:space="preserve">ndice no es un factor de seguridad obtenido mediante reducción no lineal de resistencia. Un ensayo externo de reducción de resistencia se conservó como referencia separada, sin usarlo para etiquetar los datos de entrenamiento ni para validar el FEM propio.</w:t>
      </w:r>
      <w:r>
        <w:rPr>
          <w:rFonts w:ascii="Times New Roman" w:hAnsi="Times New Roman" w:eastAsia="Times New Roman" w:cs="Times New Roman"/>
          <w:color w:val="000000"/>
          <w:sz w:val="24"/>
          <w:szCs w:val="24"/>
        </w:rPr>
      </w:r>
    </w:p>
    <w:p>
      <w:pPr>
        <w:pStyle w:val="672"/>
        <w:keepNext/>
        <w:widowControl/>
        <w:pBdr/>
        <w:spacing w:line="480" w:lineRule="auto" w:after="80"/>
        <w:ind/>
        <w:rPr/>
      </w:pPr>
      <w:r>
        <w:t>Mathematical formulation of the coupling</w:t>
      </w:r>
    </w:p>
    <w:p>
      <w:pPr>
        <w:widowControl/>
        <w:pBdr/>
        <w:spacing w:after="80" w:line="480" w:lineRule="auto"/>
        <w:ind w:firstLine="283"/>
        <w:jc w:val="both"/>
        <w:rPr/>
      </w:pPr>
      <w:r>
        <w:rPr>
          <w:rFonts w:ascii="Times New Roman" w:hAnsi="Times New Roman"/>
          <w:color w:val="000000"/>
          <w:sz w:val="24"/>
        </w:rPr>
        <w:t>Para cada hora t, el estado mecánico cuasiestático se representa mediante el sistema discreto siguiente, donde θ agrupa geometría y propiedades, uₜ es el vector de desplazamientos, f_g es la carga gravitatoria y f_p incorpora el efecto de presión de poros.</w:t>
      </w:r>
      <w:r>
        <w:rPr>
          <w:rFonts w:ascii="Times New Roman" w:hAnsi="Times New Roman"/>
          <w:color w:val="000000"/>
          <w:sz w:val="24"/>
        </w:rPr>
        <w:t xml:space="preserve"> K es la matriz global de rigidez y pₜ representa la presión de poros.</w:t>
      </w:r>
    </w:p>
    <w:p>
      <w:pPr>
        <w:keepNext/>
        <w:widowControl/>
        <w:pBdr/>
        <w:tabs>
          <w:tab w:pos="4248" w:val="center"/>
          <w:tab w:pos="8856" w:val="right"/>
        </w:tabs>
        <w:spacing w:after="80" w:before="60" w:line="480" w:lineRule="auto"/>
        <w:ind w:left="0" w:right="0" w:firstLine="283"/>
        <w:jc w:val="left"/>
        <w:rPr/>
      </w:pPr>
      <w:r>
        <w:rPr>
          <w:rFonts w:ascii="Times New Roman" w:hAnsi="Times New Roman"/>
          <w:color w:val="000000"/>
          <w:sz w:val="24"/>
        </w:rPr>
        <w:tab/>
      </w:r>
      <w:r>
        <w:rPr>
          <w:rFonts w:ascii="Times New Roman" w:hAnsi="Times New Roman"/>
          <w:color w:val="000000"/>
          <w:sz w:val="24"/>
        </w:rPr>
        <w:drawing>
          <wp:inline xmlns:pic="http://schemas.openxmlformats.org/drawingml/2006/picture">
            <wp:extent cx="3931920" cy="491490"/>
            <wp:docPr id="7" name="Picture 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3931920" cy="491490"/>
                    </a:xfrm>
                    <a:prstGeom prst="rect"/>
                  </pic:spPr>
                </pic:pic>
              </a:graphicData>
            </a:graphic>
          </wp:inline>
        </w:drawing>
      </w:r>
      <w:r>
        <w:rPr>
          <w:rFonts w:ascii="Times New Roman" w:hAnsi="Times New Roman"/>
          <w:color w:val="000000"/>
          <w:sz w:val="24"/>
        </w:rPr>
        <w:tab/>
        <w:t>(1)</w:t>
      </w:r>
    </w:p>
    <w:p>
      <w:pPr>
        <w:widowControl/>
        <w:pBdr/>
        <w:spacing w:after="80" w:line="480" w:lineRule="auto"/>
        <w:ind w:firstLine="283"/>
        <w:jc w:val="both"/>
        <w:rPr/>
      </w:pPr>
      <w:r>
        <w:rPr/>
        <w:t>La LSTM recibe seis estados horarios y la lluvia futura conocida del experimento. El híbrido añade una corrección residual a la salida estandarizada de esa LSTM. En las ecuaciones (2) y (3), yₜ es el desplazamiento acumulado actual; h es el horizonte; qψ(Xₜ,ₕ) es el cambio estandarizado predicho por la LSTM; cφ(Zₜ,ₕ) es la corrección estandarizada; y μΔ y σΔ son la media y desviación del cambio objetivo, estimadas solo con el entrenamiento. X y Z reúnen las entradas temporales y del corrector, incluida la lluvia futura del experimento. El operador máximo impide que el pronóstico final disminuya respecto de yₜ.</w:t>
      </w:r>
    </w:p>
    <w:p>
      <w:pPr>
        <w:keepNext/>
        <w:widowControl/>
        <w:pBdr/>
        <w:tabs>
          <w:tab w:pos="4248" w:val="center"/>
          <w:tab w:pos="8856" w:val="right"/>
          <w:tab w:pos="9071" w:val="right"/>
        </w:tabs>
        <w:spacing w:after="80" w:before="60" w:line="480" w:lineRule="auto"/>
        <w:ind w:left="0" w:right="0" w:firstLine="283"/>
        <w:jc w:val="left"/>
        <w:rPr/>
      </w:pPr>
      <w:r>
        <w:rPr>
          <w:rFonts w:ascii="Cambria Math" w:hAnsi="Cambria Math"/>
          <w:sz w:val="22"/>
        </w:rPr>
        <w:t>ŷLSTM(t+h) = max{yₜ, yₜ + μΔ + σΔ qψ(Xₜ,ₕ)}</w:t>
        <w:tab/>
        <w:t>(2)</w:t>
      </w:r>
    </w:p>
    <w:p>
      <w:pPr>
        <w:keepNext/>
        <w:widowControl/>
        <w:pBdr/>
        <w:tabs>
          <w:tab w:pos="4248" w:val="center"/>
          <w:tab w:pos="8856" w:val="right"/>
          <w:tab w:pos="9071" w:val="right"/>
        </w:tabs>
        <w:spacing w:after="80" w:before="60" w:line="480" w:lineRule="auto"/>
        <w:ind w:left="0" w:right="0" w:firstLine="283"/>
        <w:jc w:val="left"/>
        <w:rPr/>
      </w:pPr>
      <w:r>
        <w:rPr>
          <w:rFonts w:ascii="Cambria Math" w:hAnsi="Cambria Math"/>
          <w:sz w:val="22"/>
        </w:rPr>
        <w:t>ŷH(t+h) = max{yₜ, yₜ + μΔ + σΔ [qψ(Xₜ,ₕ) + cφ(Zₜ,ₕ)]}</w:t>
        <w:tab/>
        <w:t>(3)</w:t>
      </w:r>
    </w:p>
    <w:p>
      <w:pPr>
        <w:keepNext/>
        <w:widowControl/>
        <w:pBdr/>
        <w:tabs>
          <w:tab w:pos="4248" w:val="center"/>
          <w:tab w:pos="8856" w:val="right"/>
        </w:tabs>
        <w:spacing w:after="80" w:before="60" w:line="480" w:lineRule="auto"/>
        <w:ind w:left="0" w:right="0" w:firstLine="283"/>
        <w:jc w:val="left"/>
        <w:rPr/>
      </w:pPr>
      <w:r>
        <w:rPr>
          <w:rFonts w:ascii="Times New Roman" w:hAnsi="Times New Roman"/>
          <w:color w:val="000000"/>
          <w:sz w:val="24"/>
        </w:rPr>
        <w:tab/>
      </w:r>
      <w:r>
        <w:rPr>
          <w:rFonts w:ascii="Times New Roman" w:hAnsi="Times New Roman"/>
          <w:color w:val="000000"/>
          <w:sz w:val="24"/>
        </w:rPr>
        <w:drawing>
          <wp:inline xmlns:pic="http://schemas.openxmlformats.org/drawingml/2006/picture">
            <wp:extent cx="3931920" cy="514174"/>
            <wp:docPr id="10" name="Picture 10"/>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931920" cy="514174"/>
                    </a:xfrm>
                    <a:prstGeom prst="rect"/>
                  </pic:spPr>
                </pic:pic>
              </a:graphicData>
            </a:graphic>
          </wp:inline>
        </w:drawing>
      </w:r>
      <w:r>
        <w:rPr>
          <w:rFonts w:ascii="Times New Roman" w:hAnsi="Times New Roman"/>
          <w:color w:val="000000"/>
          <w:sz w:val="24"/>
        </w:rPr>
        <w:tab/>
        <w:t>(4)</w:t>
      </w:r>
    </w:p>
    <w:p>
      <w:pPr>
        <w:widowControl/>
        <w:pBdr/>
        <w:spacing w:after="80" w:line="480" w:lineRule="auto"/>
        <w:ind w:firstLine="283"/>
        <w:jc w:val="both"/>
        <w:rPr/>
      </w:pPr>
      <w:r>
        <w:rPr>
          <w:rFonts w:ascii="Times New Roman" w:hAnsi="Times New Roman"/>
          <w:color w:val="000000"/>
          <w:sz w:val="24"/>
        </w:rPr>
        <w:t xml:space="preserve">Estas expresiones precisan el acoplamiento evaluado. La corrección es guiada por física agregada, pero no resuelve las ecuaciones de campo ni satisface por construcción las condiciones de contorno; por ello se evita denominarla PINN.</w:t>
      </w:r>
      <w:r>
        <w:rPr>
          <w:rFonts w:ascii="Times New Roman" w:hAnsi="Times New Roman"/>
          <w:color w:val="000000"/>
          <w:sz w:val="24"/>
        </w:rPr>
      </w:r>
    </w:p>
    <w:p w14:paraId="0000001C">
      <w:pPr>
        <w:pStyle w:val="672"/>
        <w:keepNext/>
        <w:keepLines w:val="false"/>
        <w:widowControl/>
        <w:pBdr/>
        <w:spacing w:after="80" w:before="160" w:line="480" w:lineRule="auto"/>
        <w:ind/>
        <w:rPr>
          <w:rFonts w:ascii="Times New Roman" w:hAnsi="Times New Roman" w:eastAsia="Times New Roman" w:cs="Times New Roman"/>
          <w:sz w:val="24"/>
          <w:szCs w:val="24"/>
        </w:rPr>
      </w:pPr>
      <w:r>
        <w:t>Temporal models and residual correction</w:t>
      </w:r>
    </w:p>
    <w:p w14:paraId="0000001D">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Se compararon cuatro alternativas sobre las mismas ventanas: persistencia del valor actual, regresión ridge autorregresiva, LSTM y un híbrido que añade a la LSTM una corrección residual. Cada entrada de la LSTM contiene seis horas de historia y produce un pronóstico a 1 o 6 h. La red se entrenó mediante retropropagación a través del tiempo y optimización Adam</w:t>
      </w:r>
      <w:r>
        <w:rPr>
          <w:rFonts w:ascii="Times New Roman" w:hAnsi="Times New Roman"/>
          <w:color w:val="000000"/>
          <w:sz w:val="24"/>
        </w:rPr>
        <w:t xml:space="preserve"> (Kingma &amp; Ba, 2015)</w:t>
      </w:r>
      <w:r>
        <w:rPr>
          <w:rFonts w:ascii="Times New Roman" w:hAnsi="Times New Roman"/>
          <w:color w:val="000000"/>
          <w:sz w:val="24"/>
        </w:rPr>
        <w:t>. La lluvia futura se trató como entrada exógena conocida en el experimento; esa condición sería distinta en una operación con pronósticos meteorológicos imperfectos.</w:t>
      </w:r>
      <w:r>
        <w:rPr>
          <w:rFonts w:ascii="Times New Roman" w:hAnsi="Times New Roman"/>
          <w:color w:val="000000"/>
          <w:sz w:val="24"/>
        </w:rPr>
        <w:t xml:space="preserve"> La arquitectura LSTM sigue el principio de memoria recurrente de Hochreiter y Schmidhuber (1997). Ridge, LSTM e híbrido restringen la salida final para que no sea menor que el valor actual. Esa restricción compartida también debe considerarse al interpretar el aporte del corrector.</w:t>
      </w:r>
    </w:p>
    <w:p w14:paraId="0000001E">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El corrector residual, implementado como un perceptrón multicapa, se entrenó sobre la salida de la LSTM. Sus restricciones fuerzan que, manteniendo las demás entradas constantes, un aumento de lluvia futura no reduzca su corrección y un índice de seguridad mayor no la aumente. Estas condiciones de monotonía representan conocimiento agregado del problema, pero no constituyen una pérdida de equilibrio espacial o una solución PINN de las ecuaciones de campo. El proyecto también desarrolló una aproximación espacial PIELM/RBF en un evento semisintético; se evaluó por separado para no atribuir sus resultados al pronóstico temporal.</w:t>
      </w:r>
      <w:r>
        <w:rPr>
          <w:rFonts w:ascii="Times New Roman" w:hAnsi="Times New Roman"/>
          <w:color w:val="000000"/>
          <w:sz w:val="24"/>
        </w:rPr>
        <w:t xml:space="preserve"> La monotonía se refiere a las entradas directas del corrector manteniendo fija la salida base de la LSTM; no prueba monotonía global del híbrido cuando cambian conjuntamente todas las variables. Esta distinción separa restricciones agregadas de las PINN de ecuaciones de campo (Raissi et al., 2019; Karniadakis et al., 2021).</w:t>
      </w:r>
    </w:p>
    <w:p>
      <w:pPr>
        <w:widowControl/>
        <w:spacing w:line="480" w:lineRule="auto" w:after="80"/>
        <w:ind w:firstLine="283"/>
      </w:pPr>
      <w:r>
        <w:rPr>
          <w:rFonts w:ascii="Times New Roman" w:hAnsi="Times New Roman"/>
          <w:color w:val="000000"/>
          <w:sz w:val="24"/>
        </w:rPr>
        <w:t>Los escaladores y la normalización del cambio objetivo se estimaron exclusivamente con entrenamiento. Ridge seleccionó su regularización en validación; las redes usaron detención temprana con los criterios registrados en sus artefactos. No se documentó una búsqueda sistemática comparable de arquitecturas ni repeticiones independientes por semilla. El corrector se ajustó sobre la LSTM ya entrenada y sus predicciones en entrenamiento, sin predicciones fuera de muestra para esa segunda etapa.</w:t>
      </w:r>
      <w:r>
        <w:rPr/>
      </w:r>
    </w:p>
    <w:p>
      <w:pPr>
        <w:pStyle w:val="672"/>
        <w:keepNext/>
        <w:widowControl/>
        <w:pBdr/>
        <w:spacing w:line="480" w:lineRule="auto" w:after="80"/>
        <w:ind/>
        <w:rPr/>
      </w:pPr>
      <w:r>
        <w:t>Documented experimental configuration</w:t>
      </w:r>
    </w:p>
    <w:p>
      <w:pPr>
        <w:widowControl/>
        <w:pBdr/>
        <w:spacing w:after="80" w:line="480" w:lineRule="auto"/>
        <w:ind w:firstLine="283"/>
        <w:jc w:val="both"/>
        <w:rPr/>
      </w:pPr>
      <w:r>
        <w:rPr>
          <w:rFonts w:ascii="Times New Roman" w:hAnsi="Times New Roman"/>
          <w:color w:val="000000"/>
          <w:sz w:val="24"/>
        </w:rPr>
        <w:t xml:space="preserve">La Tabla </w:t>
      </w:r>
      <w:r>
        <w:rPr>
          <w:rFonts w:ascii="Times New Roman" w:hAnsi="Times New Roman"/>
          <w:color w:val="000000"/>
          <w:sz w:val="24"/>
        </w:rPr>
        <w:t>2</w:t>
      </w:r>
      <w:r>
        <w:rPr>
          <w:rFonts w:ascii="Times New Roman" w:hAnsi="Times New Roman"/>
          <w:color w:val="000000"/>
          <w:sz w:val="24"/>
        </w:rPr>
        <w:t xml:space="preserve"> reúne la configuración recuperada de los scripts y de los artefactos de modelos guardados en sslope. Los valores de épocas indicados son máximos solicitados; la detención temprana puede terminar antes el entrenamiento.</w:t>
      </w:r>
    </w:p>
    <w:p>
      <w:pPr>
        <w:keepNext/>
        <w:widowControl/>
        <w:pBdr/>
        <w:spacing w:after="80" w:before="120" w:line="480" w:lineRule="auto"/>
        <w:ind/>
        <w:rPr/>
      </w:pPr>
      <w:r>
        <w:rPr>
          <w:rFonts w:ascii="Times New Roman" w:hAnsi="Times New Roman"/>
          <w:color w:val="000000"/>
          <w:sz w:val="24"/>
        </w:rPr>
        <w:t xml:space="preserve">Tabla </w:t>
      </w:r>
      <w:r>
        <w:rPr>
          <w:rFonts w:ascii="Times New Roman" w:hAnsi="Times New Roman"/>
          <w:color w:val="000000"/>
          <w:sz w:val="24"/>
        </w:rPr>
        <w:t>2</w:t>
      </w:r>
      <w:r>
        <w:rPr>
          <w:rFonts w:ascii="Times New Roman" w:hAnsi="Times New Roman"/>
          <w:color w:val="000000"/>
          <w:sz w:val="24"/>
        </w:rPr>
        <w:br/>
        <w:t>Configuración documentada del experimento</w:t>
      </w:r>
    </w:p>
    <w:p>
      <w:pPr>
        <w:keepNext/>
        <w:widowControl/>
        <w:spacing w:line="480" w:lineRule="auto" w:after="80"/>
      </w:pPr>
      <w:r>
        <w:rPr>
          <w:rFonts w:ascii="Times New Roman" w:hAnsi="Times New Roman"/>
          <w:color w:val="000000"/>
          <w:sz w:val="24"/>
        </w:rPr>
        <w:t>Table 2. Documented experimental configuration.</w:t>
      </w:r>
    </w:p>
    <w:tbl>
      <w:tblPr>
        <w:jc w:val="center"/>
        <w:tblW w:w="0" w:type="auto"/>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A0" w:firstRow="1" w:lastRow="0" w:firstColumn="1" w:lastColumn="0" w:noHBand="0" w:noVBand="1"/>
      </w:tblPr>
      <w:tblGrid>
        <w:gridCol w:w="1752"/>
        <w:gridCol w:w="4381"/>
        <w:gridCol w:w="3154"/>
      </w:tblGrid>
      <w:tr>
        <w:trPr>
          <w:tblHeader/>
          <w:cantSplit/>
          <w:tblHeader w:val="true"/>
        </w:trPr>
        <w:tc>
          <w:tcPr>
            <w:shd w:val="clear" w:color="auto" w:fill="243746"/>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firstLine="283"/>
              <w:jc w:val="center"/>
              <w:rPr/>
            </w:pPr>
            <w:r>
              <w:rPr>
                <w:rFonts w:ascii="Times New Roman" w:hAnsi="Times New Roman"/>
                <w:b/>
                <w:color w:val="000000"/>
                <w:sz w:val="20"/>
              </w:rPr>
            </w:r>
            <w:r>
              <w:rPr>
                <w:rFonts w:ascii="Times New Roman" w:hAnsi="Times New Roman"/>
                <w:b/>
                <w:color w:val="000000"/>
                <w:sz w:val="20"/>
              </w:rPr>
              <w:t xml:space="preserve">Componente</w:t>
            </w:r>
            <w:r>
              <w:rPr>
                <w:rFonts w:ascii="Times New Roman" w:hAnsi="Times New Roman"/>
                <w:b/>
                <w:color w:val="000000"/>
                <w:sz w:val="20"/>
              </w:rPr>
            </w:r>
          </w:p>
        </w:tc>
        <w:tc>
          <w:tcPr>
            <w:shd w:val="clear" w:color="auto" w:fill="243746"/>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firstLine="283"/>
              <w:jc w:val="center"/>
              <w:rPr/>
            </w:pPr>
            <w:r>
              <w:rPr>
                <w:rFonts w:ascii="Times New Roman" w:hAnsi="Times New Roman"/>
                <w:b/>
                <w:color w:val="000000"/>
                <w:sz w:val="20"/>
              </w:rPr>
            </w:r>
            <w:r>
              <w:rPr>
                <w:rFonts w:ascii="Times New Roman" w:hAnsi="Times New Roman"/>
                <w:b/>
                <w:color w:val="000000"/>
                <w:sz w:val="20"/>
              </w:rPr>
              <w:t xml:space="preserve">Valor documentado</w:t>
            </w:r>
            <w:r>
              <w:rPr>
                <w:rFonts w:ascii="Times New Roman" w:hAnsi="Times New Roman"/>
                <w:b/>
                <w:color w:val="000000"/>
                <w:sz w:val="20"/>
              </w:rPr>
            </w:r>
          </w:p>
        </w:tc>
        <w:tc>
          <w:tcPr>
            <w:shd w:val="clear" w:color="auto" w:fill="243746"/>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shd w:fill="EAEAEA"/>
          </w:tcPr>
          <w:p>
            <w:pPr>
              <w:pBdr/>
              <w:spacing w:after="80" w:line="276" w:lineRule="auto" w:before="80"/>
              <w:ind w:firstLine="283"/>
              <w:jc w:val="center"/>
              <w:rPr/>
            </w:pPr>
            <w:r>
              <w:rPr>
                <w:rFonts w:ascii="Times New Roman" w:hAnsi="Times New Roman"/>
                <w:b/>
                <w:color w:val="000000"/>
                <w:sz w:val="20"/>
              </w:rPr>
            </w:r>
            <w:r>
              <w:rPr>
                <w:rFonts w:ascii="Times New Roman" w:hAnsi="Times New Roman"/>
                <w:b/>
                <w:color w:val="000000"/>
                <w:sz w:val="20"/>
              </w:rPr>
              <w:t xml:space="preserve">Trazabilidad</w:t>
            </w:r>
            <w:r>
              <w:rPr>
                <w:rFonts w:ascii="Times New Roman" w:hAnsi="Times New Roman"/>
                <w:b/>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Escenarios</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500 escenarios de 24 estados horarios; semilla 20260915</w:t>
            </w:r>
            <w:r>
              <w:rPr>
                <w:rFonts w:ascii="Times New Roman" w:hAnsi="Times New Roman"/>
                <w:color w:val="000000"/>
                <w:sz w:val="20"/>
              </w:rPr>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Sección Diseño del caso</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Malla FEM</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30 × 20; contraste interno 48 × 32</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Verificación interna del FEM</w:t>
            </w:r>
            <w:r>
              <w:rPr>
                <w:rFonts w:ascii="Times New Roman" w:hAnsi="Times New Roman"/>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Ventanas</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6 h de historia; horizontes 1 y 6 h</w:t>
            </w:r>
            <w:r>
              <w:rPr>
                <w:rFonts w:ascii="Times New Roman" w:hAnsi="Times New Roman"/>
                <w:color w:val="000000"/>
                <w:sz w:val="20"/>
              </w:rPr>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Modelos temporales</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Optimización</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Adam</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Modelos temporales</w:t>
            </w:r>
            <w:r>
              <w:rPr>
                <w:rFonts w:ascii="Times New Roman" w:hAnsi="Times New Roman"/>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Partición principal</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350 entrenamiento, 75 validación, 75 prueba por fecha</w:t>
            </w:r>
            <w:r>
              <w:rPr>
                <w:rFonts w:ascii="Times New Roman" w:hAnsi="Times New Roman"/>
                <w:color w:val="000000"/>
                <w:sz w:val="20"/>
              </w:rPr>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Validación</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Cortes temporales</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Pruebas 2024 y 2025 con reentrenamiento</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Validación</w:t>
            </w:r>
            <w:r>
              <w:rPr>
                <w:rFonts w:ascii="Times New Roman" w:hAnsi="Times New Roman"/>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Incertidumbre</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5000 remuestreos por conglomerados de fecha; IC 95 %</w:t>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Análisis estadístico</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Robustez</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Ruido 5 %; faltantes 30 % con imputación</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Análisis de robustez</w:t>
            </w:r>
            <w:r>
              <w:rPr>
                <w:rFonts w:ascii="Times New Roman" w:hAnsi="Times New Roman"/>
                <w:color w:val="000000"/>
                <w:sz w:val="20"/>
              </w:rPr>
            </w:r>
          </w:p>
        </w:tc>
      </w:tr>
      <w:tr>
        <w:trPr>
          <w:cantSplit/>
        </w:trPr>
        <w:tc>
          <w:tcPr>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after="80" w:line="276" w:lineRule="auto" w:before="80"/>
              <w:ind w:firstLine="283"/>
              <w:jc w:val="left"/>
              <w:rPr/>
            </w:pPr>
            <w:r>
              <w:rPr>
                <w:rFonts w:ascii="Times New Roman" w:hAnsi="Times New Roman"/>
                <w:color w:val="000000"/>
                <w:sz w:val="20"/>
              </w:rPr>
            </w:r>
            <w:r>
              <w:rPr>
                <w:rFonts w:ascii="Times New Roman" w:hAnsi="Times New Roman"/>
                <w:b w:val="0"/>
                <w:color w:val="000000"/>
                <w:sz w:val="20"/>
              </w:rPr>
              <w:t xml:space="preserve">Arquitectura exacta</w:t>
            </w:r>
            <w:r>
              <w:rPr>
                <w:rFonts w:ascii="Times New Roman" w:hAnsi="Times New Roman"/>
                <w:color w:val="000000"/>
                <w:sz w:val="20"/>
              </w:rPr>
            </w:r>
          </w:p>
        </w:tc>
        <w:tc>
          <w:tcPr>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line="276" w:lineRule="auto" w:after="80" w:before="80"/>
              <w:ind w:firstLine="283"/>
              <w:rPr/>
            </w:pPr>
            <w:r>
              <w:rPr>
                <w:rFonts w:ascii="Times New Roman" w:hAnsi="Times New Roman"/>
                <w:color w:val="000000"/>
                <w:sz w:val="20"/>
              </w:rPr>
              <w:t xml:space="preserve">LSTM: 15 entradas, 12 unidades ocultas; corrector MLP residual: 19 entradas, 16 unidades ocultas</w:t>
            </w:r>
            <w:r>
              <w:rPr>
                <w:rFonts w:ascii="Times New Roman" w:hAnsi="Times New Roman"/>
                <w:color w:val="000000"/>
                <w:sz w:val="20"/>
              </w:rPr>
            </w:r>
          </w:p>
        </w:tc>
        <w:tc>
          <w:tcPr>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line="276" w:lineRule="auto" w:after="80" w:before="80"/>
              <w:ind w:firstLine="283"/>
              <w:rPr/>
            </w:pPr>
            <w:r>
              <w:rPr>
                <w:rFonts w:ascii="Times New Roman" w:hAnsi="Times New Roman"/>
                <w:color w:val="000000"/>
                <w:sz w:val="20"/>
              </w:rPr>
              <w:t xml:space="preserve">data/models/ta01-lstm-1h.json y ta01-physics-guided-1h.json</w:t>
            </w:r>
            <w:r>
              <w:rPr>
                <w:rFonts w:ascii="Times New Roman" w:hAnsi="Times New Roman"/>
                <w:color w:val="000000"/>
                <w:sz w:val="20"/>
              </w:rPr>
            </w:r>
          </w:p>
        </w:tc>
      </w:tr>
      <w:tr>
        <w:trPr>
          <w:cantSplit/>
        </w:trPr>
        <w:tc>
          <w:tcPr>
            <w:shd w:val="clear" w:color="auto" w:fill="eef4f7"/>
            <w:tcMar>
              <w:left w:w="80" w:type="dxa"/>
              <w:top w:w="70" w:type="dxa"/>
              <w:right w:w="80" w:type="dxa"/>
              <w:bottom w:w="70" w:type="dxa"/>
            </w:tcMar>
            <w:tcW w:w="1752" w:type="dxa"/>
            <w:vAlign w:val="center"/>
            <w:tcBorders>
              <w:top w:val="single" w:sz="4" w:color="D9D9D9"/>
              <w:left w:val="single" w:sz="4" w:color="D9D9D9"/>
              <w:bottom w:val="single" w:sz="4" w:color="D9D9D9"/>
              <w:right w:val="single" w:sz="4" w:color="D9D9D9"/>
            </w:tcBorders>
          </w:tcPr>
          <w:p>
            <w:pPr>
              <w:pBdr/>
              <w:spacing w:line="276" w:lineRule="auto" w:after="80" w:before="80"/>
              <w:ind w:firstLine="283"/>
              <w:rPr/>
            </w:pPr>
            <w:r>
              <w:rPr>
                <w:rFonts w:ascii="Times New Roman" w:hAnsi="Times New Roman"/>
                <w:color w:val="000000"/>
                <w:sz w:val="20"/>
              </w:rPr>
              <w:t xml:space="preserve">Entrenamiento</w:t>
            </w:r>
            <w:r>
              <w:rPr>
                <w:rFonts w:ascii="Times New Roman" w:hAnsi="Times New Roman"/>
                <w:color w:val="000000"/>
                <w:sz w:val="20"/>
              </w:rPr>
            </w:r>
          </w:p>
        </w:tc>
        <w:tc>
          <w:tcPr>
            <w:shd w:val="clear" w:color="auto" w:fill="eef4f7"/>
            <w:tcMar>
              <w:left w:w="80" w:type="dxa"/>
              <w:top w:w="70" w:type="dxa"/>
              <w:right w:w="80" w:type="dxa"/>
              <w:bottom w:w="70" w:type="dxa"/>
            </w:tcMar>
            <w:tcW w:w="4381" w:type="dxa"/>
            <w:vAlign w:val="center"/>
            <w:tcBorders>
              <w:top w:val="single" w:sz="4" w:color="D9D9D9"/>
              <w:left w:val="single" w:sz="4" w:color="D9D9D9"/>
              <w:bottom w:val="single" w:sz="4" w:color="D9D9D9"/>
              <w:right w:val="single" w:sz="4" w:color="D9D9D9"/>
            </w:tcBorders>
          </w:tcPr>
          <w:p>
            <w:pPr>
              <w:pBdr/>
              <w:spacing w:line="276" w:lineRule="auto" w:after="80" w:before="80"/>
              <w:ind w:firstLine="283"/>
              <w:rPr/>
            </w:pPr>
            <w:r>
              <w:rPr>
                <w:rFonts w:ascii="Times New Roman" w:hAnsi="Times New Roman"/>
                <w:color w:val="000000"/>
                <w:sz w:val="20"/>
              </w:rPr>
              <w:t>LSTM: Adam, MSE, máximo 320 épocas, lote 128, tasa 0.003, semilla 20260916; corrector: Adam, máximo 360 épocas, lote 128, tasa 0.0015, semilla 20260917</w:t>
            </w:r>
            <w:r>
              <w:rPr>
                <w:rFonts w:ascii="Times New Roman" w:hAnsi="Times New Roman"/>
                <w:color w:val="000000"/>
                <w:sz w:val="20"/>
              </w:rPr>
            </w:r>
          </w:p>
        </w:tc>
        <w:tc>
          <w:tcPr>
            <w:shd w:val="clear" w:color="auto" w:fill="eef4f7"/>
            <w:tcMar>
              <w:left w:w="80" w:type="dxa"/>
              <w:top w:w="70" w:type="dxa"/>
              <w:right w:w="80" w:type="dxa"/>
              <w:bottom w:w="70" w:type="dxa"/>
            </w:tcMar>
            <w:tcW w:w="3154" w:type="dxa"/>
            <w:vAlign w:val="center"/>
            <w:tcBorders>
              <w:top w:val="single" w:sz="4" w:color="D9D9D9"/>
              <w:left w:val="single" w:sz="4" w:color="D9D9D9"/>
              <w:bottom w:val="single" w:sz="4" w:color="D9D9D9"/>
              <w:right w:val="single" w:sz="4" w:color="D9D9D9"/>
            </w:tcBorders>
          </w:tcPr>
          <w:p>
            <w:pPr>
              <w:pBdr/>
              <w:spacing w:line="276" w:lineRule="auto" w:after="80" w:before="80"/>
              <w:ind w:firstLine="283"/>
              <w:rPr/>
            </w:pPr>
            <w:r>
              <w:rPr>
                <w:rFonts w:ascii="Times New Roman" w:hAnsi="Times New Roman"/>
                <w:color w:val="000000"/>
                <w:sz w:val="20"/>
              </w:rPr>
              <w:t xml:space="preserve">Artefactos de modelos y scripts/train-lstm.py; scripts/train-physics-guided.py</w:t>
            </w:r>
            <w:r>
              <w:rPr>
                <w:rFonts w:ascii="Times New Roman" w:hAnsi="Times New Roman"/>
                <w:color w:val="000000"/>
                <w:sz w:val="20"/>
              </w:rPr>
            </w:r>
          </w:p>
        </w:tc>
      </w:tr>
      <w:tr>
        <w:trPr>
          <w:cantSplit/>
        </w:trPr>
        <w:tc>
          <w:tcPr>
            <w:tcW w:w="1752" w:type="dxa"/>
            <w:vAlign w:val="center"/>
            <w:tcBorders>
              <w:top w:val="single" w:sz="4" w:color="D9D9D9"/>
              <w:left w:val="single" w:sz="4" w:color="D9D9D9"/>
              <w:bottom w:val="single" w:sz="4" w:color="D9D9D9"/>
              <w:right w:val="single" w:sz="4" w:color="D9D9D9"/>
            </w:tcBorders>
          </w:tcPr>
          <w:p>
            <w:pPr>
              <w:pBdr/>
              <w:spacing w:line="276" w:lineRule="auto" w:after="80" w:before="80"/>
              <w:ind w:firstLine="283"/>
              <w:rPr/>
            </w:pPr>
            <w:r>
              <w:rPr>
                <w:rFonts w:ascii="Times New Roman" w:hAnsi="Times New Roman"/>
                <w:color w:val="000000"/>
                <w:sz w:val="20"/>
              </w:rPr>
              <w:t xml:space="preserve">Entorno</w:t>
            </w:r>
            <w:r>
              <w:rPr>
                <w:rFonts w:ascii="Times New Roman" w:hAnsi="Times New Roman"/>
                <w:color w:val="000000"/>
                <w:sz w:val="20"/>
              </w:rPr>
            </w:r>
          </w:p>
        </w:tc>
        <w:tc>
          <w:tcPr>
            <w:tcW w:w="4381" w:type="dxa"/>
            <w:vAlign w:val="center"/>
            <w:tcBorders>
              <w:top w:val="single" w:sz="4" w:color="D9D9D9"/>
              <w:left w:val="single" w:sz="4" w:color="D9D9D9"/>
              <w:bottom w:val="single" w:sz="4" w:color="D9D9D9"/>
              <w:right w:val="single" w:sz="4" w:color="D9D9D9"/>
            </w:tcBorders>
          </w:tcPr>
          <w:p>
            <w:pPr>
              <w:pBdr/>
              <w:spacing w:line="276" w:lineRule="auto" w:after="80" w:before="80"/>
              <w:ind w:firstLine="283"/>
              <w:rPr/>
            </w:pPr>
            <w:r>
              <w:rPr>
                <w:rFonts w:ascii="Times New Roman" w:hAnsi="Times New Roman"/>
                <w:color w:val="000000"/>
                <w:sz w:val="20"/>
              </w:rPr>
              <w:t xml:space="preserve">Node.js ≥24; NumPy ≥2, &lt;3; versión Python y hardware no fijados</w:t>
            </w:r>
            <w:r>
              <w:rPr>
                <w:rFonts w:ascii="Times New Roman" w:hAnsi="Times New Roman"/>
                <w:color w:val="000000"/>
                <w:sz w:val="20"/>
              </w:rPr>
            </w:r>
          </w:p>
        </w:tc>
        <w:tc>
          <w:tcPr>
            <w:tcW w:w="3154" w:type="dxa"/>
            <w:vAlign w:val="center"/>
            <w:tcBorders>
              <w:top w:val="single" w:sz="4" w:color="D9D9D9"/>
              <w:left w:val="single" w:sz="4" w:color="D9D9D9"/>
              <w:bottom w:val="single" w:sz="4" w:color="D9D9D9"/>
              <w:right w:val="single" w:sz="4" w:color="D9D9D9"/>
            </w:tcBorders>
          </w:tcPr>
          <w:p>
            <w:pPr>
              <w:pBdr/>
              <w:spacing w:line="276" w:lineRule="auto" w:after="80" w:before="80"/>
              <w:ind w:firstLine="283"/>
              <w:rPr/>
            </w:pPr>
            <w:r>
              <w:rPr>
                <w:rFonts w:ascii="Times New Roman" w:hAnsi="Times New Roman"/>
                <w:color w:val="000000"/>
                <w:sz w:val="20"/>
              </w:rPr>
              <w:t xml:space="preserve">package.json; requirements-ml.txt</w:t>
            </w:r>
            <w:r>
              <w:rPr>
                <w:rFonts w:ascii="Times New Roman" w:hAnsi="Times New Roman"/>
                <w:color w:val="000000"/>
                <w:sz w:val="20"/>
              </w:rPr>
            </w:r>
          </w:p>
        </w:tc>
      </w:tr>
    </w:tbl>
    <w:p>
      <w:pPr>
        <w:widowControl/>
        <w:pBdr/>
        <w:spacing w:after="80" w:before="120" w:line="480" w:lineRule="auto"/>
        <w:ind/>
        <w:rPr/>
      </w:pPr>
      <w:r>
        <w:rPr>
          <w:rFonts w:ascii="Times New Roman" w:hAnsi="Times New Roman"/>
          <w:color w:val="000000"/>
          <w:sz w:val="24"/>
        </w:rPr>
        <w:t xml:space="preserve">Nota. Los valores de arquitectura y entrenamiento proceden de data/models/ta01-lstm-1</w:t>
      </w:r>
      <w:r>
        <w:rPr>
          <w:rFonts w:ascii="Times New Roman" w:hAnsi="Times New Roman"/>
          <w:color w:val="000000"/>
          <w:sz w:val="24"/>
        </w:rPr>
        <w:t xml:space="preserve">h.json y data/models/ta01-physics-guided-1h.json; los modelos de 6 h y los cortes cronológicos conservan la configuración base y registran las épocas efectivamente completadas. La versión de Python y el hardware no están fijados en el paquete experimental.</w:t>
      </w:r>
      <w:r>
        <w:rPr>
          <w:rFonts w:ascii="Times New Roman" w:hAnsi="Times New Roman"/>
          <w:color w:val="000000"/>
          <w:sz w:val="24"/>
        </w:rPr>
      </w:r>
    </w:p>
    <w:p w14:paraId="0000001F">
      <w:pPr>
        <w:pStyle w:val="672"/>
        <w:keepNext/>
        <w:keepLines w:val="false"/>
        <w:widowControl/>
        <w:pBdr/>
        <w:spacing w:after="80" w:before="160" w:line="480" w:lineRule="auto"/>
        <w:ind/>
        <w:rPr>
          <w:rFonts w:ascii="Times New Roman" w:hAnsi="Times New Roman" w:eastAsia="Times New Roman" w:cs="Times New Roman"/>
          <w:sz w:val="24"/>
          <w:szCs w:val="24"/>
        </w:rPr>
      </w:pPr>
      <w:r>
        <w:t>Validation and statistical analysis</w:t>
      </w:r>
    </w:p>
    <w:p w14:paraId="00000020">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La primera comparación separó los 500 escenarios por fecha de lluvia en entrenamiento (350), validación (75) y prueba (75); ningún escenario de una misma fecha cruzó conjuntos. Esta división no es cronológica. Para examinar el cambio temporal se hicieron dos cortes adicionales con pesos reentrenados: entrenamiento 2020–2022, validación 2023 y prueba 2024; y entrenamiento 2020–2023, validación 2024 y prueba 2025. Se evaluaron errores absolutos medios (MAE) en ventanas comparables de 1 y 6 h.</w:t>
      </w:r>
      <w:r>
        <w:rPr>
          <w:rFonts w:ascii="Times New Roman" w:hAnsi="Times New Roman"/>
          <w:color w:val="000000"/>
          <w:sz w:val="24"/>
        </w:rPr>
        <w:t xml:space="preserve"> La partición no cronológica reserva las fechas de mayor lluvia para prueba y validación y usa una asignación balanceada por categorías del índice de seguridad simulado; no representa un muestreo aleatorio simple de fechas futuras.</w:t>
      </w:r>
    </w:p>
    <w:p w14:paraId="00000021">
      <w:pPr>
        <w:widowControl/>
        <w:pBdr/>
        <w:spacing w:after="80" w:line="480" w:lineRule="auto"/>
        <w:ind w:firstLine="283"/>
        <w:rPr>
          <w:rFonts w:ascii="Times New Roman" w:hAnsi="Times New Roman" w:eastAsia="Times New Roman" w:cs="Times New Roman"/>
          <w:sz w:val="24"/>
          <w:szCs w:val="24"/>
        </w:rPr>
      </w:pPr>
      <w:r>
        <w:rPr/>
        <w:t>La diferencia pareada Δ = MAE(LSTM) − MAE(híbrido) se estimó mediante 5000 remuestreos por conglomerados de fecha de lluvia, con intervalos de confianza percentiles del 95 %. Agrupar por fecha conserva la dependencia de las ventanas de un mismo evento (Field &amp; Welsh, 2007), aunque presupone que los conglomerados son suficientemente independientes entre fechas. No es un bootstrap de bloques de días consecutivos. No se reportan contrastes de hipótesis ni valores p porque no se conserva en el paquete experimental el cálculo reproducible de la prueba de inversión de signo previamente descrita. La prueba de robustez perturbó únicamente las entradas reservadas: ruido gaussiano del 5 % de la desviación de entrenamiento y pérdida aleatoria del 30 %, imputada con medias de entrenamiento. Las cifras proceden de predicciones guardadas del proyecto, no de observaciones de campo.</w:t>
      </w:r>
    </w:p>
    <w:p>
      <w:pPr>
        <w:widowControl/>
        <w:spacing w:line="480" w:lineRule="auto" w:after="80"/>
        <w:ind w:firstLine="283"/>
      </w:pPr>
      <w:r>
        <w:rPr>
          <w:rFonts w:ascii="Times New Roman" w:hAnsi="Times New Roman"/>
          <w:color w:val="000000"/>
          <w:sz w:val="24"/>
        </w:rPr>
        <w:t>Los intervalos predictivos del híbrido se construyeron con un cuantil del error absoluto de validación. Ese mismo conjunto participó en la selección del modelo y la detención temprana. Por ello se presentan como intervalos empíricos con diagnóstico retrospectivo de cobertura, no como una garantía conformal independiente. La Figura 4 contrasta cobertura global y cobertura bajo lluvia ≥5 mm/día; el número de fechas de esta última categoría es reducido.</w:t>
      </w:r>
      <w:r>
        <w:rPr/>
      </w:r>
    </w:p>
    <w:p>
      <w:pPr>
        <w:pStyle w:val="672"/>
        <w:keepNext/>
        <w:widowControl/>
        <w:pBdr/>
        <w:spacing w:line="480" w:lineRule="auto" w:after="80"/>
        <w:ind/>
        <w:rPr/>
      </w:pPr>
      <w:r>
        <w:t>Reproducibility procedure</w:t>
      </w:r>
    </w:p>
    <w:p>
      <w:pPr>
        <w:widowControl/>
        <w:pBdr/>
        <w:spacing w:after="80" w:line="480" w:lineRule="auto"/>
        <w:ind w:firstLine="283"/>
        <w:jc w:val="both"/>
        <w:rPr/>
      </w:pPr>
      <w:r>
        <w:rPr/>
        <w:t>La reproducción parte del CSV diario NASA POWER conservado en data/rainfall/. Los 500 escenarios archivados se generaron con semilla 20260915 y malla 30 × 20; esta última no coincide con la malla predeterminada del generador actual (14 × 9). Para replicar el experimento se deben fijar explícitamente --scenarios=500, --seed=20260915, --mesh-x=30 y --mesh-y=20 en npm run generate:fem --, y usar un directorio de salida nuevo para no sobrescribir los artefactos conservados. Después se crean las particiones por fecha y los cortes cronológicos documentados en docs/CASO_TA01_FEM.md; se entrenan ridge, LSTM y corrector por horizonte, se ejecutan las validaciones FEM y de robustez, y se consolida el informe. Los manifiestos guardan la procedencia y los parámetros de las corridas archivadas.</w:t>
      </w:r>
    </w:p>
    <w:p>
      <w:pPr>
        <w:widowControl/>
        <w:spacing w:line="480" w:lineRule="auto" w:after="80"/>
        <w:ind w:firstLine="283"/>
      </w:pPr>
      <w:r>
        <w:rPr/>
        <w:t>La recreación íntegra exige además reproducir los prefijos de salida, horizontes y pesos guardados de cada corte. Los scripts npm y el manifiesto de replicación son la referencia para esos argumentos; el comando de generación por sí solo no reproduce todas las tablas del estudio.</w:t>
      </w:r>
    </w:p>
    <w:p>
      <w:pPr>
        <w:widowControl/>
        <w:pBdr/>
        <w:spacing w:after="80" w:line="480" w:lineRule="auto"/>
        <w:ind w:firstLine="283"/>
        <w:jc w:val="both"/>
        <w:rPr/>
      </w:pPr>
      <w:r>
        <w:rPr>
          <w:rFonts w:ascii="Times New Roman" w:hAnsi="Times New Roman"/>
          <w:color w:val="000000"/>
          <w:sz w:val="24"/>
        </w:rPr>
        <w:t>Las salidas citadas se encuentran en data/validation/ta01-model-comparison.csv, ta01-rolling-origin-model-comparison.csv y ta01-rolling-origin-bootstrap.json, junto con ta01-replication-manifest.json y las huellas SHA-256 de fuentes y resultados. El repositorio público de sslope contiene el README, los scripts npm y Docker Compose para el servicio web; este contenedor no constituye por sí solo un pipeline cerrado de entrenamiento y análisis. El código y la documentación tienen licencia MIT, y los aportes originales de los autores en los datos semisintéticos y resultados tienen licencia CC BY 4.0. La versión de Python no está fijada para todos los experimentos, lo que limita la réplica exacta.</w:t>
      </w:r>
      <w:r>
        <w:rPr>
          <w:rFonts w:ascii="Times New Roman" w:hAnsi="Times New Roman"/>
          <w:color w:val="000000"/>
          <w:sz w:val="24"/>
        </w:rPr>
        <w:t xml:space="preserve"> La coincidencia de las huellas permite comprobar la integridad de los artefactos archivados; no demuestra por sí sola que un entrenamiento nuevo produzca pesos idénticos.</w:t>
      </w:r>
    </w:p>
    <w:p w14:paraId="00000022">
      <w:pPr>
        <w:pStyle w:val="671"/>
        <w:keepNext/>
        <w:keepLines w:val="false"/>
        <w:widowControl/>
        <w:pBdr/>
        <w:spacing w:after="80" w:before="160" w:line="480" w:lineRule="auto"/>
        <w:ind/>
        <w:jc w:val="center"/>
        <w:rPr>
          <w:rFonts w:ascii="Times New Roman" w:hAnsi="Times New Roman" w:eastAsia="Times New Roman" w:cs="Times New Roman"/>
          <w:sz w:val="24"/>
          <w:szCs w:val="24"/>
        </w:rPr>
      </w:pPr>
      <w:r>
        <w:t>RESULTS</w:t>
      </w:r>
    </w:p>
    <w:p w14:paraId="00000023">
      <w:pPr>
        <w:pStyle w:val="672"/>
        <w:keepNext/>
        <w:keepLines w:val="false"/>
        <w:widowControl/>
        <w:pBdr/>
        <w:spacing w:after="80" w:before="160" w:line="480" w:lineRule="auto"/>
        <w:ind/>
        <w:rPr>
          <w:rFonts w:ascii="Times New Roman" w:hAnsi="Times New Roman" w:eastAsia="Times New Roman" w:cs="Times New Roman"/>
          <w:sz w:val="24"/>
          <w:szCs w:val="24"/>
        </w:rPr>
      </w:pPr>
      <w:r>
        <w:t>RQ4 Internal verification of the FEM</w:t>
      </w:r>
    </w:p>
    <w:p w14:paraId="00000024">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La prueba de parche con deformación constante reprodujo el campo afín con error máximo de deformación de 1.14 × 10⁻¹⁸. Dos comprobaciones analíticas globales dieron errores máximos de desp</w:t>
      </w:r>
      <w:r>
        <w:rPr>
          <w:rFonts w:ascii="Times New Roman" w:hAnsi="Times New Roman" w:eastAsia="Times New Roman" w:cs="Times New Roman"/>
          <w:color w:val="000000"/>
          <w:sz w:val="24"/>
          <w:szCs w:val="24"/>
          <w:rtl w:val="0"/>
        </w:rPr>
        <w:t>lazamiento de 1.62 × 10⁻¹¹ m en elasticidad lineal y 1.60 × 10⁻¹¹ m al incluir presión uniforme de Biot. Frente a una malla interna de 48 × 32, la malla habitual de 30 × 20 presentó una diferencia de 2.13 % en desplazamiento. La secuencia de refinamiento n</w:t>
      </w:r>
      <w:r>
        <w:rPr>
          <w:rFonts w:ascii="Times New Roman" w:hAnsi="Times New Roman" w:eastAsia="Times New Roman" w:cs="Times New Roman"/>
          <w:color w:val="000000"/>
          <w:sz w:val="24"/>
          <w:szCs w:val="24"/>
          <w:rtl w:val="0"/>
        </w:rPr>
        <w:t>o fue monótona: las mallas de 36 × 24 y 42 × 28 difirieron 8.49 % y 7.41 % de la referencia, respectivamente. Estas pruebas verifican aspectos de la implementación, pero no demuestran convergencia de malla ni validez de los parámetros geotécnicos de TA-01.</w:t>
      </w:r>
      <w:r>
        <w:rPr>
          <w:rFonts w:ascii="Times New Roman" w:hAnsi="Times New Roman" w:eastAsia="Times New Roman" w:cs="Times New Roman"/>
          <w:color w:val="000000"/>
          <w:sz w:val="24"/>
          <w:szCs w:val="24"/>
        </w:rPr>
      </w:r>
    </w:p>
    <w:p>
      <w:pPr>
        <w:widowControl/>
        <w:spacing w:line="480" w:lineRule="auto" w:after="80"/>
        <w:ind w:firstLine="283"/>
      </w:pPr>
      <w:r>
        <w:rPr>
          <w:rFonts w:ascii="Times New Roman" w:hAnsi="Times New Roman"/>
          <w:color w:val="000000"/>
          <w:sz w:val="24"/>
        </w:rPr>
        <w:t>La Figura 2 muestra la respuesta al refinamiento de malla y su diferencia frente a la referencia interna.</w:t>
      </w:r>
    </w:p>
    <w:p>
      <w:pPr>
        <w:keepNext/>
        <w:widowControl/>
        <w:spacing w:line="480" w:lineRule="auto" w:after="80"/>
      </w:pPr>
      <w:r>
        <w:rPr>
          <w:rFonts w:ascii="Times New Roman" w:hAnsi="Times New Roman"/>
          <w:color w:val="000000"/>
          <w:sz w:val="24"/>
        </w:rPr>
        <w:t>Figura 2</w:t>
        <w:br/>
        <w:t>Sensibilidad del desplazamiento inducido a la discretización FEM</w:t>
      </w:r>
    </w:p>
    <w:p>
      <w:pPr>
        <w:keepNext/>
        <w:widowControl/>
        <w:spacing w:line="480" w:lineRule="auto" w:after="80"/>
      </w:pPr>
      <w:r>
        <w:rPr>
          <w:rFonts w:ascii="Times New Roman" w:hAnsi="Times New Roman"/>
          <w:color w:val="000000"/>
          <w:sz w:val="24"/>
        </w:rPr>
        <w:t>Figure 2. FEM mesh sensitivity of rainfall-induced displacement.</w:t>
      </w:r>
    </w:p>
    <w:p>
      <w:pPr>
        <w:keepNext/>
        <w:jc w:val="center"/>
      </w:pPr>
      <w:r>
        <w:rPr>
          <w:rFonts w:ascii="Times New Roman" w:hAnsi="Times New Roman"/>
          <w:color w:val="000000"/>
          <w:sz w:val="24"/>
        </w:rPr>
        <w:drawing>
          <wp:inline xmlns:pic="http://schemas.openxmlformats.org/drawingml/2006/picture">
            <wp:extent cx="5623560" cy="2441203"/>
            <wp:docPr id="11" name="Picture 11"/>
            <wp:cNvGraphicFramePr>
              <a:graphicFrameLocks noChangeAspect="1"/>
            </wp:cNvGraphicFramePr>
            <a:graphic>
              <a:graphicData uri="http://schemas.openxmlformats.org/drawingml/2006/picture">
                <pic:pic>
                  <pic:nvPicPr>
                    <pic:cNvPr id="0" name="Figura_2.png"/>
                    <pic:cNvPicPr/>
                  </pic:nvPicPr>
                  <pic:blipFill>
                    <a:blip r:embed="rId15"/>
                    <a:stretch>
                      <a:fillRect/>
                    </a:stretch>
                  </pic:blipFill>
                  <pic:spPr>
                    <a:xfrm>
                      <a:off x="0" y="0"/>
                      <a:ext cx="5623560" cy="2441203"/>
                    </a:xfrm>
                    <a:prstGeom prst="rect"/>
                  </pic:spPr>
                </pic:pic>
              </a:graphicData>
            </a:graphic>
          </wp:inline>
        </w:drawing>
      </w:r>
    </w:p>
    <w:p>
      <w:pPr>
        <w:widowControl/>
        <w:spacing w:line="480" w:lineRule="auto" w:after="80"/>
      </w:pPr>
      <w:r>
        <w:rPr>
          <w:rFonts w:ascii="Times New Roman" w:hAnsi="Times New Roman"/>
          <w:color w:val="000000"/>
          <w:sz w:val="24"/>
        </w:rPr>
        <w:t>Nota. Número de nodos, desplazamiento máximo y diferencia respecto de la malla 48 × 32. Referencia interna, no convergencia demostrada. Caso semisintético. Fuente: data/validation/ta01-fem-mesh-summary.csv.</w:t>
      </w:r>
    </w:p>
    <w:p w14:paraId="00000025">
      <w:pPr>
        <w:pStyle w:val="672"/>
        <w:keepNext/>
        <w:keepLines w:val="false"/>
        <w:widowControl/>
        <w:pBdr/>
        <w:spacing w:after="80" w:before="160" w:line="480" w:lineRule="auto"/>
        <w:ind/>
        <w:rPr>
          <w:rFonts w:ascii="Times New Roman" w:hAnsi="Times New Roman" w:eastAsia="Times New Roman" w:cs="Times New Roman"/>
          <w:sz w:val="24"/>
          <w:szCs w:val="24"/>
        </w:rPr>
      </w:pPr>
      <w:r>
        <w:t>RQ1 Predictive comparison by rainfall date</w:t>
      </w:r>
    </w:p>
    <w:p w14:paraId="00000026">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En la partición con fechas disjuntas, el híbrido presentó el menor MAE de las cuatro alternativas a ambos horizontes (Tabla </w:t>
      </w:r>
      <w:r>
        <w:rPr>
          <w:rFonts w:ascii="Times New Roman" w:hAnsi="Times New Roman"/>
          <w:color w:val="000000"/>
          <w:sz w:val="24"/>
        </w:rPr>
        <w:t>3</w:t>
      </w:r>
      <w:r>
        <w:rPr>
          <w:rFonts w:ascii="Times New Roman" w:hAnsi="Times New Roman"/>
          <w:color w:val="000000"/>
          <w:sz w:val="24"/>
        </w:rPr>
        <w:t xml:space="preserve">). Frente a la LSTM, la reducción relativa fue 6.99 % a 1 h y 2.46 % a 6 h. Las magnitudes corresponden al </w:t>
      </w:r>
      <w:r>
        <w:rPr>
          <w:rFonts w:ascii="Times New Roman" w:hAnsi="Times New Roman"/>
          <w:color w:val="000000"/>
          <w:sz w:val="24"/>
        </w:rPr>
        <w:t>desplazamient</w:t>
      </w:r>
      <w:r>
        <w:rPr>
          <w:rFonts w:ascii="Times New Roman" w:hAnsi="Times New Roman"/>
          <w:color w:val="000000"/>
          <w:sz w:val="24"/>
        </w:rPr>
        <w:t>o máximo simulad</w:t>
      </w:r>
      <w:r>
        <w:rPr>
          <w:rFonts w:ascii="Times New Roman" w:hAnsi="Times New Roman"/>
          <w:color w:val="000000"/>
          <w:sz w:val="24"/>
        </w:rPr>
        <w:t>o inducido por lluvia</w:t>
      </w:r>
      <w:r>
        <w:rPr>
          <w:rFonts w:ascii="Times New Roman" w:hAnsi="Times New Roman"/>
          <w:color w:val="000000"/>
          <w:sz w:val="24"/>
        </w:rPr>
        <w:t xml:space="preserve"> respecto del estado inicial</w:t>
      </w:r>
      <w:r>
        <w:rPr>
          <w:rFonts w:ascii="Times New Roman" w:hAnsi="Times New Roman"/>
          <w:color w:val="000000"/>
          <w:sz w:val="24"/>
        </w:rPr>
        <w:t>.</w:t>
      </w:r>
    </w:p>
    <w:p w14:paraId="00000027">
      <w:pPr>
        <w:keepNext/>
        <w:widowControl/>
        <w:pBdr/>
        <w:spacing w:line="480" w:lineRule="auto" w:after="80"/>
        <w:ind/>
        <w:rPr>
          <w:rFonts w:ascii="Times New Roman" w:hAnsi="Times New Roman" w:eastAsia="Times New Roman" w:cs="Times New Roman"/>
          <w:sz w:val="24"/>
          <w:szCs w:val="24"/>
        </w:rPr>
      </w:pPr>
      <w:r>
        <w:rPr>
          <w:rFonts w:ascii="Times New Roman" w:hAnsi="Times New Roman"/>
          <w:color w:val="000000"/>
          <w:sz w:val="24"/>
        </w:rPr>
        <w:t xml:space="preserve">Tabla </w:t>
      </w:r>
      <w:r>
        <w:rPr>
          <w:rFonts w:ascii="Times New Roman" w:hAnsi="Times New Roman"/>
          <w:color w:val="000000"/>
          <w:sz w:val="24"/>
        </w:rPr>
        <w:t>3</w:t>
      </w:r>
      <w:r>
        <w:rPr>
          <w:rFonts w:ascii="Times New Roman" w:hAnsi="Times New Roman"/>
          <w:color w:val="000000"/>
          <w:sz w:val="24"/>
        </w:rPr>
        <w:br/>
        <w:t>Error absoluto medio en la prueba separada por fecha de lluvia</w:t>
      </w:r>
    </w:p>
    <w:p>
      <w:pPr>
        <w:keepNext/>
        <w:widowControl/>
        <w:spacing w:line="480" w:lineRule="auto" w:after="80"/>
      </w:pPr>
      <w:r>
        <w:rPr>
          <w:rFonts w:ascii="Times New Roman" w:hAnsi="Times New Roman"/>
          <w:color w:val="000000"/>
          <w:sz w:val="24"/>
        </w:rPr>
        <w:t>Table 3. Mean absolute error in the rainfall-date-separated test.</w:t>
      </w:r>
    </w:p>
    <w:tbl>
      <w:tblPr>
        <w:tblStyle w:val="679"/>
        <w:jc w:val="center"/>
        <w:tblW w:w="8505"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1548"/>
        <w:gridCol w:w="1548"/>
        <w:gridCol w:w="1548"/>
        <w:gridCol w:w="1548"/>
        <w:gridCol w:w="1548"/>
        <w:gridCol w:w="1548"/>
        <w:tblGridChange w:id="0">
          <w:tblGrid>
            <w:gridCol w:w="1247"/>
            <w:gridCol w:w="1191"/>
            <w:gridCol w:w="1531"/>
            <w:gridCol w:w="1531"/>
            <w:gridCol w:w="1531"/>
            <w:gridCol w:w="1474"/>
          </w:tblGrid>
        </w:tblGridChange>
      </w:tblGrid>
      <w:tr>
        <w:trPr>
          <w:cantSplit/>
          <w:tblHeader/>
          <w:tblHeader w:val="true"/>
        </w:trPr>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8">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Horizonte</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9">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Ventanas</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A">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Persistencia</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B">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Ridge</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C">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LSTM</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shd w:fill="EAEAEA"/>
          </w:tcPr>
          <w:p w14:paraId="0000002D">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Híbrido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r>
      <w:tr>
        <w:trPr>
          <w:cantSplit/>
        </w:trPr>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2E">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2F">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1350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0">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0.00002081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1">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0.00001181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2">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0.00000858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3">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0.00000798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4">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6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5">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975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6">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0.00013169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7">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0.00008855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8">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0.00006332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548"/>
            <w:tcBorders>
              <w:top w:val="single" w:sz="4" w:color="D9D9D9"/>
              <w:left w:val="single" w:sz="4" w:color="D9D9D9"/>
              <w:bottom w:val="single" w:sz="4" w:color="D9D9D9"/>
              <w:right w:val="single" w:sz="4" w:color="D9D9D9"/>
            </w:tcBorders>
          </w:tcPr>
          <w:p w14:paraId="00000039">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0.00006176</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bl>
    <w:p w14:paraId="0000003A">
      <w:pPr>
        <w:widowControl/>
        <w:pBdr/>
        <w:spacing w:after="80" w:before="120" w:line="480"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0"/>
          <w:rtl w:val="0"/>
        </w:rPr>
        <w:t xml:space="preserve">Nota. Valores de MAE en mm; las cuatro alternativas se evaluaron sobre las mismas ventanas de cada horizonte. Fuente: data/validation/ta01-model-comparison.csv del proyecto.</w:t>
      </w:r>
      <w:r>
        <w:rPr>
          <w:rFonts w:ascii="Times New Roman" w:hAnsi="Times New Roman"/>
          <w:color w:val="000000"/>
          <w:sz w:val="24"/>
          <w:rtl w:val="0"/>
        </w:rPr>
      </w:r>
      <w:r>
        <w:rPr>
          <w:rFonts w:ascii="Times New Roman" w:hAnsi="Times New Roman" w:eastAsia="Times New Roman" w:cs="Times New Roman"/>
          <w:color w:val="000000"/>
          <w:sz w:val="24"/>
          <w:szCs w:val="24"/>
        </w:rPr>
      </w:r>
    </w:p>
    <w:p w14:paraId="0000003B">
      <w:pPr>
        <w:pStyle w:val="672"/>
        <w:keepNext/>
        <w:keepLines w:val="false"/>
        <w:widowControl/>
        <w:pBdr/>
        <w:spacing w:after="80" w:before="160" w:line="480" w:lineRule="auto"/>
        <w:ind/>
        <w:rPr>
          <w:rFonts w:ascii="Times New Roman" w:hAnsi="Times New Roman" w:eastAsia="Times New Roman" w:cs="Times New Roman"/>
          <w:sz w:val="24"/>
          <w:szCs w:val="24"/>
        </w:rPr>
      </w:pPr>
      <w:r>
        <w:t>RQ1 and RQ2 Chronological tests and uncertainty</w:t>
      </w:r>
    </w:p>
    <w:p w14:paraId="0000003C">
      <w:pPr>
        <w:keepNext/>
        <w:widowControl/>
        <w:pBdr/>
        <w:spacing w:line="480" w:lineRule="auto" w:after="80"/>
        <w:ind/>
        <w:rPr>
          <w:rFonts w:ascii="Times New Roman" w:hAnsi="Times New Roman" w:eastAsia="Times New Roman" w:cs="Times New Roman"/>
          <w:sz w:val="24"/>
          <w:szCs w:val="24"/>
        </w:rPr>
      </w:pPr>
      <w:r>
        <w:rPr>
          <w:rFonts w:ascii="Times New Roman" w:hAnsi="Times New Roman"/>
          <w:color w:val="000000"/>
          <w:sz w:val="24"/>
        </w:rPr>
        <w:t xml:space="preserve">Tabla </w:t>
      </w:r>
      <w:r>
        <w:rPr>
          <w:rFonts w:ascii="Times New Roman" w:hAnsi="Times New Roman"/>
          <w:color w:val="000000"/>
          <w:sz w:val="24"/>
        </w:rPr>
        <w:t>4</w:t>
      </w:r>
      <w:r>
        <w:rPr>
          <w:rFonts w:ascii="Times New Roman" w:hAnsi="Times New Roman"/>
          <w:color w:val="000000"/>
          <w:sz w:val="24"/>
        </w:rPr>
        <w:br/>
        <w:t>MAE de LSTM e híbrido en pruebas cronológicas</w:t>
      </w:r>
    </w:p>
    <w:p>
      <w:pPr>
        <w:keepNext/>
        <w:widowControl/>
        <w:spacing w:line="480" w:lineRule="auto" w:after="80"/>
      </w:pPr>
      <w:r>
        <w:rPr>
          <w:rFonts w:ascii="Times New Roman" w:hAnsi="Times New Roman"/>
          <w:color w:val="000000"/>
          <w:sz w:val="24"/>
        </w:rPr>
        <w:t>Table 4. LSTM and hybrid MAE in chronological tests.</w:t>
      </w:r>
    </w:p>
    <w:tbl>
      <w:tblPr>
        <w:tblStyle w:val="680"/>
        <w:jc w:val="center"/>
        <w:tblW w:w="8503"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1858"/>
        <w:gridCol w:w="1858"/>
        <w:gridCol w:w="1858"/>
        <w:gridCol w:w="1858"/>
        <w:gridCol w:w="1858"/>
        <w:tblGridChange w:id="1">
          <w:tblGrid>
            <w:gridCol w:w="1701"/>
            <w:gridCol w:w="1417"/>
            <w:gridCol w:w="1417"/>
            <w:gridCol w:w="1984"/>
            <w:gridCol w:w="1984"/>
          </w:tblGrid>
        </w:tblGridChange>
      </w:tblGrid>
      <w:tr>
        <w:trPr>
          <w:cantSplit/>
          <w:tblHeader/>
          <w:tblHeader w:val="true"/>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3D">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Año de prueba</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3E">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Horizonte</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3F">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Ventanas</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40">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LSTM</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shd w:fill="EAEAEA"/>
          </w:tcPr>
          <w:p w14:paraId="00000041">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Híbrido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r>
      <w:tr>
        <w:trPr>
          <w:cantSplit/>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2">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3">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4">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1476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5">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0.00000435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6">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0.00000440</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7">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8">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6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9">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1066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A">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0.00002909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B">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0.00002964</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C">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D">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E">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1404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4F">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0.00000540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0">
            <w:pPr>
              <w:keepNext w:val="true"/>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0.00000519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1">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2">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6 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3">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1014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4">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0.00005769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W w:type="dxa" w:w="1858"/>
            <w:tcBorders>
              <w:top w:val="single" w:sz="4" w:color="D9D9D9"/>
              <w:left w:val="single" w:sz="4" w:color="D9D9D9"/>
              <w:bottom w:val="single" w:sz="4" w:color="D9D9D9"/>
              <w:right w:val="single" w:sz="4" w:color="D9D9D9"/>
            </w:tcBorders>
          </w:tcPr>
          <w:p w14:paraId="00000055">
            <w:pPr>
              <w:pBdr/>
              <w:spacing w:after="80" w:before="80" w:line="276"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0.00005502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bl>
    <w:p w14:paraId="00000056">
      <w:pPr>
        <w:widowControl/>
        <w:pBdr/>
        <w:spacing w:after="80" w:before="120" w:line="480" w:lineRule="auto"/>
        <w:ind/>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0"/>
          <w:rtl w:val="0"/>
        </w:rPr>
        <w:t xml:space="preserve">Nota. Fuente: data/validation/ta01-rolling-origin-model-comparison.csv y ta01-rolling-origin-bootstrap.json del repositorio sslope. MAE expresado en mm.</w:t>
      </w:r>
      <w:r>
        <w:rPr>
          <w:rFonts w:ascii="Times New Roman" w:hAnsi="Times New Roman" w:eastAsia="Times New Roman" w:cs="Times New Roman"/>
          <w:color w:val="000000"/>
          <w:sz w:val="24"/>
          <w:szCs w:val="24"/>
        </w:rPr>
      </w:r>
    </w:p>
    <w:p w14:paraId="00000057">
      <w:pPr>
        <w:widowControl/>
        <w:pBdr/>
        <w:spacing w:after="80" w:line="480" w:lineRule="auto"/>
        <w:ind w:firstLine="283"/>
        <w:rPr>
          <w:rFonts w:ascii="Times New Roman" w:hAnsi="Times New Roman" w:eastAsia="Times New Roman" w:cs="Times New Roman"/>
          <w:sz w:val="24"/>
          <w:szCs w:val="24"/>
        </w:rPr>
      </w:pPr>
      <w:r>
        <w:rPr/>
        <w:t>Al mover el año de prueba, el orden entre LSTM e híbrido cambió (Tabla 4). En 2024, el MAE del híbrido fue 1.15 % mayor a 1 h y 1.89 % mayor a 6 h; en 2025 fue 3.89 % menor a 1 h y 4.63 % menor a 6 h. Los cuatro intervalos del 95 % incluyeron cero. Estas estimaciones no sustentan una mejora consistente del corrector y tampoco prueban equivalencia de los modelos.</w:t>
      </w:r>
    </w:p>
    <w:p w14:paraId="00000058">
      <w:pPr>
        <w:widowControl/>
        <w:pBdr/>
        <w:spacing w:after="80" w:line="480" w:lineRule="auto"/>
        <w:ind w:firstLine="283"/>
        <w:rPr>
          <w:rFonts w:ascii="Times New Roman" w:hAnsi="Times New Roman" w:eastAsia="Times New Roman" w:cs="Times New Roman"/>
          <w:sz w:val="24"/>
          <w:szCs w:val="24"/>
        </w:rPr>
      </w:pPr>
      <w:r>
        <w:rPr/>
        <w:t>Los intervalos del 95 % para Δ fueron [−1.44 × 10⁻⁷; 4.25 × 10⁻⁸] mm a 1 h y [−1.15 × 10⁻⁶; 6.64 × 10⁻⁸] mm a 6 h en 2024; en 2025 fueron [−2.59 × 10⁻⁷; 6.88 × 10⁻⁷] mm y [−3.83 × 10⁻⁷; 6.25 × 10⁻⁶] mm. Las 82 fechas de prueba de 2024 y las 76 de 2025 constituyeron las unidades de remuestreo. Los intervalos describen variación entre fechas semisintéticas y no cuantifican incertidumbre geotécnica real.</w:t>
      </w:r>
    </w:p>
    <w:p>
      <w:pPr>
        <w:widowControl/>
        <w:spacing w:line="480" w:lineRule="auto" w:after="80"/>
        <w:ind w:firstLine="283"/>
      </w:pPr>
      <w:r>
        <w:rPr>
          <w:rFonts w:ascii="Times New Roman" w:hAnsi="Times New Roman"/>
          <w:color w:val="000000"/>
          <w:sz w:val="24"/>
        </w:rPr>
        <w:t>La Figura 3 presenta los tamaños de diferencia y sus intervalos; el signo positivo favorece al híbrido.</w:t>
      </w:r>
    </w:p>
    <w:p>
      <w:pPr>
        <w:keepNext/>
        <w:widowControl/>
        <w:spacing w:line="480" w:lineRule="auto" w:after="80"/>
      </w:pPr>
      <w:r>
        <w:rPr>
          <w:rFonts w:ascii="Times New Roman" w:hAnsi="Times New Roman"/>
          <w:color w:val="000000"/>
          <w:sz w:val="24"/>
        </w:rPr>
        <w:t>Figura 3</w:t>
        <w:br/>
        <w:t>Diferencia pareada de MAE entre LSTM e híbrido</w:t>
      </w:r>
    </w:p>
    <w:p>
      <w:pPr>
        <w:keepNext/>
        <w:widowControl/>
        <w:spacing w:line="480" w:lineRule="auto" w:after="80"/>
      </w:pPr>
      <w:r>
        <w:rPr>
          <w:rFonts w:ascii="Times New Roman" w:hAnsi="Times New Roman"/>
          <w:color w:val="000000"/>
          <w:sz w:val="24"/>
        </w:rPr>
        <w:t>Figure 3. Paired MAE difference between LSTM and the hybrid.</w:t>
      </w:r>
    </w:p>
    <w:p>
      <w:pPr>
        <w:keepNext/>
        <w:jc w:val="center"/>
      </w:pPr>
      <w:r>
        <w:rPr>
          <w:rFonts w:ascii="Times New Roman" w:hAnsi="Times New Roman"/>
          <w:color w:val="000000"/>
          <w:sz w:val="24"/>
        </w:rPr>
        <w:drawing>
          <wp:inline xmlns:pic="http://schemas.openxmlformats.org/drawingml/2006/picture">
            <wp:extent cx="5623560" cy="2422265"/>
            <wp:docPr id="12" name="Picture 12"/>
            <wp:cNvGraphicFramePr>
              <a:graphicFrameLocks noChangeAspect="1"/>
            </wp:cNvGraphicFramePr>
            <a:graphic>
              <a:graphicData uri="http://schemas.openxmlformats.org/drawingml/2006/picture">
                <pic:pic>
                  <pic:nvPicPr>
                    <pic:cNvPr id="0" name="Figura_3.png"/>
                    <pic:cNvPicPr/>
                  </pic:nvPicPr>
                  <pic:blipFill>
                    <a:blip r:embed="rId16"/>
                    <a:stretch>
                      <a:fillRect/>
                    </a:stretch>
                  </pic:blipFill>
                  <pic:spPr>
                    <a:xfrm>
                      <a:off x="0" y="0"/>
                      <a:ext cx="5623560" cy="2422265"/>
                    </a:xfrm>
                    <a:prstGeom prst="rect"/>
                  </pic:spPr>
                </pic:pic>
              </a:graphicData>
            </a:graphic>
          </wp:inline>
        </w:drawing>
      </w:r>
    </w:p>
    <w:p>
      <w:pPr>
        <w:widowControl/>
        <w:spacing w:line="480" w:lineRule="auto" w:after="80"/>
      </w:pPr>
      <w:r>
        <w:rPr>
          <w:rFonts w:ascii="Times New Roman" w:hAnsi="Times New Roman"/>
          <w:color w:val="000000"/>
          <w:sz w:val="24"/>
        </w:rPr>
        <w:t>Nota. Puntos: Δ = MAE(LSTM) − MAE(híbrido); barras: IC percentiles del 95 % por conglomerados de fecha. Las dos escalas del eje horizontal son distintas. No se representan valores p. Caso semisintético. Fuente: data/validation/ta01-rolling-origin-bootstrap.json.</w:t>
      </w:r>
    </w:p>
    <w:p>
      <w:pPr>
        <w:widowControl/>
        <w:pBdr/>
        <w:spacing w:line="480" w:lineRule="auto" w:after="80"/>
        <w:ind w:firstLine="283"/>
        <w:rPr/>
      </w:pPr>
      <w:r>
        <w:rPr>
          <w:rFonts w:ascii="Times New Roman" w:hAnsi="Times New Roman"/>
          <w:color w:val="000000"/>
          <w:sz w:val="24"/>
        </w:rPr>
        <w:t>Los controles conservan utilidad en los cortes cronológicos: en 2024, la persistencia y ridge obtuvieron MAE de 0.00001049 y 0.00000662 mm a 1 h, y 0.00006888 y 0.00005232 mm a 6</w:t>
      </w:r>
      <w:r>
        <w:rPr>
          <w:rFonts w:ascii="Times New Roman" w:hAnsi="Times New Roman"/>
          <w:color w:val="000000"/>
          <w:sz w:val="24"/>
        </w:rPr>
        <w:t xml:space="preserve"> h; en 2025 fueron 0.00002167 y 0.00002055 mm a 1 h, y 0.00014399 y 0.00015151 mm a 6 h. La LSTM y el híbrido mejoraron esos dos controles en los cuatro cortes, aunque su orden mutuo cambió. Fuente: data/validation/ta01-rolling-origin-model-comparison.csv.</w:t>
      </w:r>
      <w:r>
        <w:rPr>
          <w:rFonts w:ascii="Times New Roman" w:hAnsi="Times New Roman"/>
          <w:color w:val="000000"/>
          <w:sz w:val="24"/>
        </w:rPr>
      </w:r>
    </w:p>
    <w:p>
      <w:pPr>
        <w:widowControl/>
        <w:pBdr/>
        <w:spacing w:line="480" w:lineRule="auto" w:after="80"/>
        <w:ind w:firstLine="283"/>
        <w:rPr/>
      </w:pPr>
      <w:r>
        <w:rPr>
          <w:rFonts w:ascii="Times New Roman" w:hAnsi="Times New Roman"/>
          <w:b w:val="0"/>
          <w:i w:val="0"/>
          <w:color w:val="000000"/>
          <w:sz w:val="24"/>
        </w:rPr>
        <w:t xml:space="preserve">La selección por menor MAE de validación no identificó al modelo con menor MAE de prueba en tres de cuatro combinaciones año–horizonte. En el subconjunto con lluvia ≥5 mm/día, la cobertura de intervalos nominales del 95 % fue 33.3 % y 76.9 % a 1 </w:t>
      </w:r>
      <w:r>
        <w:rPr>
          <w:rFonts w:ascii="Times New Roman" w:hAnsi="Times New Roman"/>
          <w:b w:val="0"/>
          <w:i w:val="0"/>
          <w:color w:val="000000"/>
          <w:sz w:val="24"/>
        </w:rPr>
        <w:t>y 6 h en 2024, y 59.3 % y 43.6 % en 2025. Solo hubo dos y tres fechas de esa categoría, respectivamente. Estos diagnósticos describen inestabilidad de selección y calibración condicional dentro del banco, sin permitir una tasa fiable para tormentas reales.</w:t>
      </w:r>
      <w:r>
        <w:rPr>
          <w:rFonts w:ascii="Times New Roman" w:hAnsi="Times New Roman"/>
          <w:color w:val="000000"/>
          <w:sz w:val="24"/>
        </w:rPr>
      </w:r>
    </w:p>
    <w:p>
      <w:pPr>
        <w:widowControl/>
        <w:spacing w:line="480" w:lineRule="auto" w:after="80"/>
        <w:ind w:firstLine="283"/>
      </w:pPr>
      <w:r>
        <w:rPr>
          <w:rFonts w:ascii="Times New Roman" w:hAnsi="Times New Roman"/>
          <w:color w:val="000000"/>
          <w:sz w:val="24"/>
        </w:rPr>
        <w:t>La Figura 4 muestra que la cobertura global no asegura cobertura bajo lluvia más intensa.</w:t>
      </w:r>
    </w:p>
    <w:p>
      <w:pPr>
        <w:keepNext/>
        <w:widowControl/>
        <w:spacing w:line="480" w:lineRule="auto" w:after="80"/>
      </w:pPr>
      <w:r>
        <w:rPr>
          <w:rFonts w:ascii="Times New Roman" w:hAnsi="Times New Roman"/>
          <w:color w:val="000000"/>
          <w:sz w:val="24"/>
        </w:rPr>
        <w:t>Figura 4</w:t>
        <w:br/>
        <w:t>Cobertura retrospectiva de los intervalos del híbrido</w:t>
      </w:r>
    </w:p>
    <w:p>
      <w:pPr>
        <w:keepNext/>
        <w:widowControl/>
        <w:spacing w:line="480" w:lineRule="auto" w:after="80"/>
      </w:pPr>
      <w:r>
        <w:rPr>
          <w:rFonts w:ascii="Times New Roman" w:hAnsi="Times New Roman"/>
          <w:color w:val="000000"/>
          <w:sz w:val="24"/>
        </w:rPr>
        <w:t>Figure 4. Retrospective coverage of hybrid prediction intervals.</w:t>
      </w:r>
    </w:p>
    <w:p>
      <w:pPr>
        <w:keepNext/>
        <w:jc w:val="center"/>
      </w:pPr>
      <w:r>
        <w:rPr>
          <w:rFonts w:ascii="Times New Roman" w:hAnsi="Times New Roman"/>
          <w:color w:val="000000"/>
          <w:sz w:val="24"/>
        </w:rPr>
        <w:drawing>
          <wp:inline xmlns:pic="http://schemas.openxmlformats.org/drawingml/2006/picture">
            <wp:extent cx="5623560" cy="2524949"/>
            <wp:docPr id="13" name="Picture 13"/>
            <wp:cNvGraphicFramePr>
              <a:graphicFrameLocks noChangeAspect="1"/>
            </wp:cNvGraphicFramePr>
            <a:graphic>
              <a:graphicData uri="http://schemas.openxmlformats.org/drawingml/2006/picture">
                <pic:pic>
                  <pic:nvPicPr>
                    <pic:cNvPr id="0" name="Figura_4.png"/>
                    <pic:cNvPicPr/>
                  </pic:nvPicPr>
                  <pic:blipFill>
                    <a:blip r:embed="rId17"/>
                    <a:stretch>
                      <a:fillRect/>
                    </a:stretch>
                  </pic:blipFill>
                  <pic:spPr>
                    <a:xfrm>
                      <a:off x="0" y="0"/>
                      <a:ext cx="5623560" cy="2524949"/>
                    </a:xfrm>
                    <a:prstGeom prst="rect"/>
                  </pic:spPr>
                </pic:pic>
              </a:graphicData>
            </a:graphic>
          </wp:inline>
        </w:drawing>
      </w:r>
    </w:p>
    <w:p>
      <w:pPr>
        <w:widowControl/>
        <w:spacing w:line="480" w:lineRule="auto" w:after="80"/>
      </w:pPr>
      <w:r>
        <w:rPr>
          <w:rFonts w:ascii="Times New Roman" w:hAnsi="Times New Roman"/>
          <w:color w:val="000000"/>
          <w:sz w:val="24"/>
        </w:rPr>
        <w:t>Nota. Todas las ventanas frente a lluvia ≥5 mm/día. La línea discontinua indica el nivel nominal; la categoría de lluvia alta contiene dos fechas en 2024 y tres en 2025. Ventanas correlacionadas, no ensayos independientes. Caso semisintético. Fuente: data/validation/ta01-rolling-interval-coverage.csv.</w:t>
      </w:r>
    </w:p>
    <w:p w14:paraId="00000059">
      <w:pPr>
        <w:pStyle w:val="672"/>
        <w:keepNext/>
        <w:keepLines w:val="false"/>
        <w:widowControl/>
        <w:pBdr/>
        <w:spacing w:after="80" w:before="160" w:line="480" w:lineRule="auto"/>
        <w:ind/>
        <w:rPr>
          <w:rFonts w:ascii="Times New Roman" w:hAnsi="Times New Roman" w:eastAsia="Times New Roman" w:cs="Times New Roman"/>
          <w:sz w:val="24"/>
          <w:szCs w:val="24"/>
        </w:rPr>
      </w:pPr>
      <w:r>
        <w:t>RQ4 Spatial approximation to discrete equilibrium</w:t>
      </w:r>
    </w:p>
    <w:p w14:paraId="0000005A">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En un evento semisintético, la aproximación espacial PIELM/RBF del sistema incremental FEM obtuvo un error L2 relativo de desplazamiento de 12.57 % en 354 nodos sin supervisión de desplazamiento y un residuo relativo de equilibrio discreto de 14.39 %. El entrenamiento y la referencia compartieron la misma matriz de rigidez y carga; esos porcentajes miden concordancia interna, no validación independiente ni capacidad de transferirse a otra geometría. Los sensores empleados en esa aproximación también son sintéticos; no constituyen instrumentación de TA-01.</w:t>
      </w:r>
      <w:r>
        <w:rPr>
          <w:rFonts w:ascii="Times New Roman" w:hAnsi="Times New Roman"/>
          <w:color w:val="000000"/>
          <w:sz w:val="24"/>
        </w:rPr>
        <w:t xml:space="preserve"> La Tabla 5 distingue las comprobaciones analíticas de la concordancia con el operador compartido.</w:t>
      </w:r>
      <w:r>
        <w:rPr/>
      </w:r>
    </w:p>
    <w:p>
      <w:pPr>
        <w:keepNext/>
        <w:widowControl/>
        <w:spacing w:line="480" w:lineRule="auto" w:after="80"/>
      </w:pPr>
      <w:r>
        <w:rPr>
          <w:rFonts w:ascii="Times New Roman" w:hAnsi="Times New Roman"/>
          <w:color w:val="000000"/>
          <w:sz w:val="24"/>
        </w:rPr>
        <w:t>Tabla 5</w:t>
        <w:br/>
        <w:t>Alcance de la verificación numérica y espacial</w:t>
      </w:r>
    </w:p>
    <w:p>
      <w:pPr>
        <w:keepNext/>
        <w:widowControl/>
        <w:spacing w:line="480" w:lineRule="auto" w:after="80"/>
      </w:pPr>
      <w:r>
        <w:rPr>
          <w:rFonts w:ascii="Times New Roman" w:hAnsi="Times New Roman"/>
          <w:color w:val="000000"/>
          <w:sz w:val="24"/>
        </w:rPr>
        <w:t>Table 5. Scope of numerical and spatial verification.</w:t>
      </w:r>
    </w:p>
    <w:tbl>
      <w:tblPr>
        <w:tblW w:type="auto" w:w="0"/>
        <w:jc w:val="center"/>
        <w:tblLayout w:type="fixed"/>
        <w:tblLook w:firstColumn="1" w:firstRow="1" w:lastColumn="0" w:lastRow="0" w:noHBand="0" w:noVBand="1" w:val="04A0"/>
      </w:tblPr>
      <w:tblGrid>
        <w:gridCol w:w="2103"/>
        <w:gridCol w:w="1928"/>
        <w:gridCol w:w="1752"/>
        <w:gridCol w:w="3505"/>
      </w:tblGrid>
      <w:tr>
        <w:trPr>
          <w:cantSplit/>
          <w:tblHeader w:val="true"/>
        </w:trPr>
        <w:tc>
          <w:tcPr>
            <w:tcW w:type="dxa" w:w="2103"/>
            <w:vAlign w:val="center"/>
            <w:tcBorders>
              <w:top w:val="single" w:sz="4" w:color="D9D9D9"/>
              <w:left w:val="single" w:sz="4" w:color="D9D9D9"/>
              <w:bottom w:val="single" w:sz="4" w:color="D9D9D9"/>
              <w:right w:val="single" w:sz="4" w:color="D9D9D9"/>
            </w:tcBorders>
            <w:shd w:fill="EAEAEA"/>
          </w:tcPr>
          <w:p>
            <w:pPr>
              <w:spacing w:line="276" w:lineRule="auto" w:after="80" w:before="80"/>
              <w:ind w:firstLine="283"/>
            </w:pPr>
            <w:r>
              <w:rPr>
                <w:rFonts w:ascii="Times New Roman" w:hAnsi="Times New Roman"/>
                <w:b/>
                <w:color w:val="000000"/>
                <w:sz w:val="20"/>
              </w:rPr>
              <w:t>Comprobación</w:t>
            </w:r>
          </w:p>
        </w:tc>
        <w:tc>
          <w:tcPr>
            <w:tcW w:type="dxa" w:w="1928"/>
            <w:vAlign w:val="center"/>
            <w:tcBorders>
              <w:top w:val="single" w:sz="4" w:color="D9D9D9"/>
              <w:left w:val="single" w:sz="4" w:color="D9D9D9"/>
              <w:bottom w:val="single" w:sz="4" w:color="D9D9D9"/>
              <w:right w:val="single" w:sz="4" w:color="D9D9D9"/>
            </w:tcBorders>
            <w:shd w:fill="EAEAEA"/>
          </w:tcPr>
          <w:p>
            <w:pPr>
              <w:spacing w:line="276" w:lineRule="auto" w:after="80" w:before="80"/>
              <w:ind w:firstLine="283"/>
            </w:pPr>
            <w:r>
              <w:rPr>
                <w:rFonts w:ascii="Times New Roman" w:hAnsi="Times New Roman"/>
                <w:b/>
                <w:color w:val="000000"/>
                <w:sz w:val="20"/>
              </w:rPr>
              <w:t>Magnitud</w:t>
            </w:r>
          </w:p>
        </w:tc>
        <w:tc>
          <w:tcPr>
            <w:tcW w:type="dxa" w:w="1752"/>
            <w:vAlign w:val="center"/>
            <w:tcBorders>
              <w:top w:val="single" w:sz="4" w:color="D9D9D9"/>
              <w:left w:val="single" w:sz="4" w:color="D9D9D9"/>
              <w:bottom w:val="single" w:sz="4" w:color="D9D9D9"/>
              <w:right w:val="single" w:sz="4" w:color="D9D9D9"/>
            </w:tcBorders>
            <w:shd w:fill="EAEAEA"/>
          </w:tcPr>
          <w:p>
            <w:pPr>
              <w:spacing w:line="276" w:lineRule="auto" w:after="80" w:before="80"/>
              <w:ind w:firstLine="283"/>
            </w:pPr>
            <w:r>
              <w:rPr>
                <w:rFonts w:ascii="Times New Roman" w:hAnsi="Times New Roman"/>
                <w:b/>
                <w:color w:val="000000"/>
                <w:sz w:val="20"/>
              </w:rPr>
              <w:t>Resultado</w:t>
            </w:r>
          </w:p>
        </w:tc>
        <w:tc>
          <w:tcPr>
            <w:tcW w:type="dxa" w:w="3505"/>
            <w:vAlign w:val="center"/>
            <w:tcBorders>
              <w:top w:val="single" w:sz="4" w:color="D9D9D9"/>
              <w:left w:val="single" w:sz="4" w:color="D9D9D9"/>
              <w:bottom w:val="single" w:sz="4" w:color="D9D9D9"/>
              <w:right w:val="single" w:sz="4" w:color="D9D9D9"/>
            </w:tcBorders>
            <w:shd w:fill="EAEAEA"/>
          </w:tcPr>
          <w:p>
            <w:pPr>
              <w:spacing w:line="276" w:lineRule="auto" w:after="80" w:before="80"/>
              <w:ind w:firstLine="283"/>
            </w:pPr>
            <w:r>
              <w:rPr>
                <w:rFonts w:ascii="Times New Roman" w:hAnsi="Times New Roman"/>
                <w:b/>
                <w:color w:val="000000"/>
                <w:sz w:val="20"/>
              </w:rPr>
              <w:t>Alcance</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Parche CST</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Deformación</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1.14 × 10⁻¹⁸</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Campo afín; adimensional</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Elasticidad global</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Desplazamiento</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1.62 × 10⁻¹¹ m</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Solución analítica manufacturada</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Biot uniforme</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Desplazamiento</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1.60 × 10⁻¹¹ m</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Solución analítica manufacturada</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Malla 30 × 20</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Diferencia</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2.13 %</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Frente a referencia interna 48 × 32</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PIELM/RBF TA-01</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Error L2 relativo</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12.57 %</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354 nodos sin supervisión de desplazamiento</w:t>
            </w:r>
          </w:p>
        </w:tc>
      </w:tr>
      <w:tr>
        <w:trPr>
          <w:cantSplit/>
        </w:trPr>
        <w:tc>
          <w:tcPr>
            <w:tcW w:type="dxa" w:w="2103"/>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PIELM/RBF TA-01</w:t>
            </w:r>
          </w:p>
        </w:tc>
        <w:tc>
          <w:tcPr>
            <w:tcW w:type="dxa" w:w="192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Residuo relativo</w:t>
            </w:r>
          </w:p>
        </w:tc>
        <w:tc>
          <w:tcPr>
            <w:tcW w:type="dxa" w:w="1752"/>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14.39 %</w:t>
            </w:r>
          </w:p>
        </w:tc>
        <w:tc>
          <w:tcPr>
            <w:tcW w:type="dxa" w:w="3505"/>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Mismo operador FEM de referencia</w:t>
            </w:r>
          </w:p>
        </w:tc>
      </w:tr>
    </w:tbl>
    <w:p>
      <w:pPr>
        <w:widowControl/>
        <w:spacing w:line="480" w:lineRule="auto" w:after="80"/>
      </w:pPr>
      <w:r>
        <w:rPr>
          <w:rFonts w:ascii="Times New Roman" w:hAnsi="Times New Roman"/>
          <w:color w:val="000000"/>
          <w:sz w:val="24"/>
        </w:rPr>
        <w:t>Nota. Valores ya informados en el manuscrito, contrastados con data/validation/ta01-fem-mesh-sensitivity.json y ta01-spatial-pinn-validation.json. No se mezclan con errores de pronóstico temporal.</w:t>
      </w:r>
    </w:p>
    <w:p>
      <w:pPr>
        <w:pStyle w:val="672"/>
        <w:keepNext/>
        <w:widowControl/>
        <w:pBdr/>
        <w:spacing w:line="480" w:lineRule="auto" w:after="80"/>
        <w:ind/>
        <w:rPr/>
      </w:pPr>
      <w:r>
        <w:t>RQ3 Robustness to input perturbations</w:t>
      </w:r>
    </w:p>
    <w:p w14:paraId="0000005B">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Con ruido del 5 % en las entradas, el MAE de la LSTM aumentó 5.13 % a 1 h y 5.97 % a 6 h; el del híbrido aumentó 53.88 % y 46.10 %. Con 30 % de valores faltantes, los aumentos fueron 102.80 % y 60.88 % para la LSTM, frente a 133.96 % y 70.77 % para el híbrido. En estos dos tipos de perturbación, la corrección perdió su pequeña ventaja de MAE limpio. El ensayo utiliza faltantes aleatorios e imputación por media sin reentrenamiento; no reproduce todas las fallas posibles de sensores ni prueba comportamiento en campo. Fuente: data/validation/ta01-model-robustness.json.</w:t>
      </w:r>
      <w:r>
        <w:rPr>
          <w:rFonts w:ascii="Times New Roman" w:hAnsi="Times New Roman"/>
          <w:color w:val="000000"/>
          <w:sz w:val="24"/>
        </w:rPr>
        <w:t xml:space="preserve"> La Tabla 6 conserva los errores absolutos de las condiciones principales.</w:t>
      </w:r>
    </w:p>
    <w:p>
      <w:pPr>
        <w:keepNext/>
        <w:widowControl/>
        <w:spacing w:line="480" w:lineRule="auto" w:after="80"/>
      </w:pPr>
      <w:r>
        <w:rPr>
          <w:rFonts w:ascii="Times New Roman" w:hAnsi="Times New Roman"/>
          <w:color w:val="000000"/>
          <w:sz w:val="24"/>
        </w:rPr>
        <w:t>Tabla 6</w:t>
        <w:br/>
        <w:t>MAE con entradas limpias y perturbadas</w:t>
      </w:r>
    </w:p>
    <w:p>
      <w:pPr>
        <w:keepNext/>
        <w:widowControl/>
        <w:spacing w:line="480" w:lineRule="auto" w:after="80"/>
      </w:pPr>
      <w:r>
        <w:rPr>
          <w:rFonts w:ascii="Times New Roman" w:hAnsi="Times New Roman"/>
          <w:color w:val="000000"/>
          <w:sz w:val="24"/>
        </w:rPr>
        <w:t>Table 6. MAE with clean and perturbed inputs.</w:t>
      </w:r>
    </w:p>
    <w:tbl>
      <w:tblPr>
        <w:tblW w:type="auto" w:w="0"/>
        <w:jc w:val="center"/>
        <w:tblLayout w:type="fixed"/>
        <w:tblLook w:firstColumn="1" w:firstRow="1" w:lastColumn="0" w:lastRow="0" w:noHBand="0" w:noVBand="1" w:val="04A0"/>
      </w:tblPr>
      <w:tblGrid>
        <w:gridCol w:w="1858"/>
        <w:gridCol w:w="1858"/>
        <w:gridCol w:w="1858"/>
        <w:gridCol w:w="1858"/>
        <w:gridCol w:w="1858"/>
      </w:tblGrid>
      <w:tr>
        <w:trPr>
          <w:cantSplit/>
          <w:tblHeader w:val="true"/>
        </w:trPr>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ind w:firstLine="283"/>
            </w:pPr>
            <w:r>
              <w:rPr>
                <w:rFonts w:ascii="Times New Roman" w:hAnsi="Times New Roman"/>
                <w:b/>
                <w:color w:val="000000"/>
                <w:sz w:val="20"/>
              </w:rPr>
              <w:t>Horizonte</w:t>
            </w:r>
          </w:p>
        </w:tc>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ind w:firstLine="283"/>
            </w:pPr>
            <w:r>
              <w:rPr>
                <w:rFonts w:ascii="Times New Roman" w:hAnsi="Times New Roman"/>
                <w:b/>
                <w:color w:val="000000"/>
                <w:sz w:val="20"/>
              </w:rPr>
              <w:t>Condición</w:t>
            </w:r>
          </w:p>
        </w:tc>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ind w:firstLine="283"/>
            </w:pPr>
            <w:r>
              <w:rPr>
                <w:rFonts w:ascii="Times New Roman" w:hAnsi="Times New Roman"/>
                <w:b/>
                <w:color w:val="000000"/>
                <w:sz w:val="20"/>
              </w:rPr>
              <w:t>Ventanas</w:t>
            </w:r>
          </w:p>
        </w:tc>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ind w:firstLine="283"/>
            </w:pPr>
            <w:r>
              <w:rPr>
                <w:rFonts w:ascii="Times New Roman" w:hAnsi="Times New Roman"/>
                <w:b/>
                <w:color w:val="000000"/>
                <w:sz w:val="20"/>
              </w:rPr>
              <w:t>LSTM (mm)</w:t>
            </w:r>
          </w:p>
        </w:tc>
        <w:tc>
          <w:tcPr>
            <w:tcW w:type="dxa" w:w="1858"/>
            <w:vAlign w:val="center"/>
            <w:tcBorders>
              <w:top w:val="single" w:sz="4" w:color="D9D9D9"/>
              <w:left w:val="single" w:sz="4" w:color="D9D9D9"/>
              <w:bottom w:val="single" w:sz="4" w:color="D9D9D9"/>
              <w:right w:val="single" w:sz="4" w:color="D9D9D9"/>
            </w:tcBorders>
            <w:shd w:fill="EAEAEA"/>
          </w:tcPr>
          <w:p>
            <w:pPr>
              <w:spacing w:line="276" w:lineRule="auto" w:after="80" w:before="80"/>
              <w:ind w:firstLine="283"/>
            </w:pPr>
            <w:r>
              <w:rPr>
                <w:rFonts w:ascii="Times New Roman" w:hAnsi="Times New Roman"/>
                <w:b/>
                <w:color w:val="000000"/>
                <w:sz w:val="20"/>
              </w:rPr>
              <w:t>Híbrido (mm)</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1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Limpio</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1350</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0.00000858</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0.00000798</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1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Ruido 5 %</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1350</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0.00000902</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0.00001228</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1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Faltantes 30 %</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1350</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0.0000174</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0.00001867</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6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Limpio</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975</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0.00006332</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0.00006176</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6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Ruido 5 %</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975</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0.0000671</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0.00009023</w:t>
            </w:r>
          </w:p>
        </w:tc>
      </w:tr>
      <w:tr>
        <w:trPr>
          <w:cantSplit/>
        </w:trPr>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6 h</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Faltantes 30 %</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975</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0.00010187</w:t>
            </w:r>
          </w:p>
        </w:tc>
        <w:tc>
          <w:tcPr>
            <w:tcW w:type="dxa" w:w="1858"/>
            <w:vAlign w:val="center"/>
            <w:tcBorders>
              <w:top w:val="single" w:sz="4" w:color="D9D9D9"/>
              <w:left w:val="single" w:sz="4" w:color="D9D9D9"/>
              <w:bottom w:val="single" w:sz="4" w:color="D9D9D9"/>
              <w:right w:val="single" w:sz="4" w:color="D9D9D9"/>
            </w:tcBorders>
          </w:tcPr>
          <w:p>
            <w:pPr>
              <w:spacing w:line="276" w:lineRule="auto" w:after="80" w:before="80"/>
              <w:ind w:firstLine="283"/>
            </w:pPr>
            <w:r>
              <w:rPr>
                <w:rFonts w:ascii="Times New Roman" w:hAnsi="Times New Roman"/>
                <w:color w:val="000000"/>
                <w:sz w:val="20"/>
              </w:rPr>
              <w:t>0.00010547</w:t>
            </w:r>
          </w:p>
        </w:tc>
      </w:tr>
    </w:tbl>
    <w:p>
      <w:pPr>
        <w:widowControl/>
        <w:spacing w:line="480" w:lineRule="auto" w:after="80"/>
      </w:pPr>
      <w:r>
        <w:rPr>
          <w:rFonts w:ascii="Times New Roman" w:hAnsi="Times New Roman"/>
          <w:color w:val="000000"/>
          <w:sz w:val="24"/>
        </w:rPr>
        <w:t>Nota. Valores archivados sin recalcular ni modificar. Fuente: data/validation/ta01-robustness-summary.csv. Todas las respuestas objetivo son semisintéticas; no se reentrena bajo perturbación.</w:t>
      </w:r>
    </w:p>
    <w:p>
      <w:pPr>
        <w:widowControl/>
        <w:spacing w:line="480" w:lineRule="auto" w:after="80"/>
        <w:ind w:firstLine="283"/>
      </w:pPr>
      <w:r>
        <w:rPr>
          <w:rFonts w:ascii="Times New Roman" w:hAnsi="Times New Roman"/>
          <w:color w:val="000000"/>
          <w:sz w:val="24"/>
        </w:rPr>
        <w:t>La Figura 5 resume la sensibilidad al ruido y a la pérdida aleatoria de entradas.</w:t>
      </w:r>
    </w:p>
    <w:p>
      <w:pPr>
        <w:keepNext/>
        <w:widowControl/>
        <w:spacing w:line="480" w:lineRule="auto" w:after="80"/>
      </w:pPr>
      <w:r>
        <w:rPr>
          <w:rFonts w:ascii="Times New Roman" w:hAnsi="Times New Roman"/>
          <w:color w:val="000000"/>
          <w:sz w:val="24"/>
        </w:rPr>
        <w:t>Figura 5</w:t>
        <w:br/>
        <w:t>Sensibilidad predictiva a ruido y faltantes aleatorios</w:t>
      </w:r>
    </w:p>
    <w:p>
      <w:pPr>
        <w:keepNext/>
        <w:widowControl/>
        <w:spacing w:line="480" w:lineRule="auto" w:after="80"/>
      </w:pPr>
      <w:r>
        <w:rPr>
          <w:rFonts w:ascii="Times New Roman" w:hAnsi="Times New Roman"/>
          <w:color w:val="000000"/>
          <w:sz w:val="24"/>
        </w:rPr>
        <w:t>Figure 5. Predictive sensitivity to noise and random missing inputs.</w:t>
      </w:r>
    </w:p>
    <w:p>
      <w:pPr>
        <w:keepNext/>
        <w:jc w:val="center"/>
      </w:pPr>
      <w:r>
        <w:rPr>
          <w:rFonts w:ascii="Times New Roman" w:hAnsi="Times New Roman"/>
          <w:color w:val="000000"/>
          <w:sz w:val="24"/>
        </w:rPr>
        <w:drawing>
          <wp:inline xmlns:pic="http://schemas.openxmlformats.org/drawingml/2006/picture">
            <wp:extent cx="5623560" cy="2702910"/>
            <wp:docPr id="14" name="Picture 14"/>
            <wp:cNvGraphicFramePr>
              <a:graphicFrameLocks noChangeAspect="1"/>
            </wp:cNvGraphicFramePr>
            <a:graphic>
              <a:graphicData uri="http://schemas.openxmlformats.org/drawingml/2006/picture">
                <pic:pic>
                  <pic:nvPicPr>
                    <pic:cNvPr id="0" name="Figura_5.png"/>
                    <pic:cNvPicPr/>
                  </pic:nvPicPr>
                  <pic:blipFill>
                    <a:blip r:embed="rId18"/>
                    <a:stretch>
                      <a:fillRect/>
                    </a:stretch>
                  </pic:blipFill>
                  <pic:spPr>
                    <a:xfrm>
                      <a:off x="0" y="0"/>
                      <a:ext cx="5623560" cy="2702910"/>
                    </a:xfrm>
                    <a:prstGeom prst="rect"/>
                  </pic:spPr>
                </pic:pic>
              </a:graphicData>
            </a:graphic>
          </wp:inline>
        </w:drawing>
      </w:r>
    </w:p>
    <w:p>
      <w:pPr>
        <w:widowControl/>
        <w:spacing w:line="480" w:lineRule="auto" w:after="80"/>
      </w:pPr>
      <w:r>
        <w:rPr>
          <w:rFonts w:ascii="Times New Roman" w:hAnsi="Times New Roman"/>
          <w:color w:val="000000"/>
          <w:sz w:val="24"/>
        </w:rPr>
        <w:t>Nota. Ruido relativo a la desviación de entrenamiento y faltantes imputados con medias de entrenamiento. Cada punto compara la condición perturbada con el caso limpio del mismo modelo. Sin reentrenamiento. Caso semisintético. Fuente: data/validation/ta01-robustness-summary.csv.</w:t>
      </w:r>
    </w:p>
    <w:p>
      <w:pPr>
        <w:widowControl/>
        <w:spacing w:line="480" w:lineRule="auto" w:after="80"/>
        <w:ind w:firstLine="283"/>
      </w:pPr>
      <w:r>
        <w:rPr>
          <w:rFonts w:ascii="Times New Roman" w:hAnsi="Times New Roman"/>
          <w:color w:val="000000"/>
          <w:sz w:val="24"/>
        </w:rPr>
        <w:t>La Figura 6 presenta las variantes con entradas hidrológicas o mecánicas sustituidas por sus medias de entrenamiento. Son ensayos de enmascaramiento en inferencia, sin reentrenamiento: no equivalen a quitar esas variables de una arquitectura entrenada de nuevo. Tampoco aíslan el aporte causal de cada término de la pérdida del corrector; esa ablación permanece pendiente.</w:t>
      </w:r>
    </w:p>
    <w:p>
      <w:pPr>
        <w:widowControl/>
        <w:spacing w:line="480" w:lineRule="auto" w:after="80"/>
        <w:ind w:firstLine="283"/>
      </w:pPr>
      <w:r>
        <w:rPr>
          <w:rFonts w:ascii="Times New Roman" w:hAnsi="Times New Roman"/>
          <w:color w:val="000000"/>
          <w:sz w:val="24"/>
        </w:rPr>
        <w:t>La Figura 6 compara el error de las variantes con entradas enmascaradas, sin atribuirles un efecto causal aislado.</w:t>
      </w:r>
    </w:p>
    <w:p>
      <w:pPr>
        <w:keepNext/>
        <w:widowControl/>
        <w:spacing w:line="480" w:lineRule="auto" w:after="80"/>
      </w:pPr>
      <w:r>
        <w:rPr>
          <w:rFonts w:ascii="Times New Roman" w:hAnsi="Times New Roman"/>
          <w:color w:val="000000"/>
          <w:sz w:val="24"/>
        </w:rPr>
        <w:t>Figura 6</w:t>
        <w:br/>
        <w:t>Enmascaramiento de entradas hidrológicas y mecánicas</w:t>
      </w:r>
    </w:p>
    <w:p>
      <w:pPr>
        <w:keepNext/>
        <w:widowControl/>
        <w:spacing w:line="480" w:lineRule="auto" w:after="80"/>
      </w:pPr>
      <w:r>
        <w:rPr>
          <w:rFonts w:ascii="Times New Roman" w:hAnsi="Times New Roman"/>
          <w:color w:val="000000"/>
          <w:sz w:val="24"/>
        </w:rPr>
        <w:t>Figure 6. Masking hydrological and mechanical inputs.</w:t>
      </w:r>
    </w:p>
    <w:p>
      <w:pPr>
        <w:keepNext/>
        <w:jc w:val="center"/>
      </w:pPr>
      <w:r>
        <w:rPr>
          <w:rFonts w:ascii="Times New Roman" w:hAnsi="Times New Roman"/>
          <w:color w:val="000000"/>
          <w:sz w:val="24"/>
        </w:rPr>
        <w:drawing>
          <wp:inline xmlns:pic="http://schemas.openxmlformats.org/drawingml/2006/picture">
            <wp:extent cx="5623560" cy="2524949"/>
            <wp:docPr id="15" name="Picture 15"/>
            <wp:cNvGraphicFramePr>
              <a:graphicFrameLocks noChangeAspect="1"/>
            </wp:cNvGraphicFramePr>
            <a:graphic>
              <a:graphicData uri="http://schemas.openxmlformats.org/drawingml/2006/picture">
                <pic:pic>
                  <pic:nvPicPr>
                    <pic:cNvPr id="0" name="Figura_6.png"/>
                    <pic:cNvPicPr/>
                  </pic:nvPicPr>
                  <pic:blipFill>
                    <a:blip r:embed="rId19"/>
                    <a:stretch>
                      <a:fillRect/>
                    </a:stretch>
                  </pic:blipFill>
                  <pic:spPr>
                    <a:xfrm>
                      <a:off x="0" y="0"/>
                      <a:ext cx="5623560" cy="2524949"/>
                    </a:xfrm>
                    <a:prstGeom prst="rect"/>
                  </pic:spPr>
                </pic:pic>
              </a:graphicData>
            </a:graphic>
          </wp:inline>
        </w:drawing>
      </w:r>
    </w:p>
    <w:p>
      <w:pPr>
        <w:widowControl/>
        <w:spacing w:line="480" w:lineRule="auto" w:after="80"/>
      </w:pPr>
      <w:r>
        <w:rPr>
          <w:rFonts w:ascii="Times New Roman" w:hAnsi="Times New Roman"/>
          <w:color w:val="000000"/>
          <w:sz w:val="24"/>
        </w:rPr>
        <w:t>Nota. Entradas sustituidas por medias de entrenamiento. MAE en las mismas ventanas del conjunto no cronológico de prueba. Las variantes no son modelos reentrenados ni ablaciones de términos individuales de la pérdida. Caso semisintético. Fuente: data/validation/ta01-ablation-summary.csv.</w:t>
      </w:r>
    </w:p>
    <w:p w14:paraId="0000005C">
      <w:pPr>
        <w:pStyle w:val="671"/>
        <w:keepNext/>
        <w:keepLines w:val="false"/>
        <w:widowControl/>
        <w:pBdr/>
        <w:spacing w:after="80" w:before="160" w:line="480" w:lineRule="auto"/>
        <w:ind/>
        <w:jc w:val="center"/>
        <w:rPr>
          <w:rFonts w:ascii="Times New Roman" w:hAnsi="Times New Roman" w:eastAsia="Times New Roman" w:cs="Times New Roman"/>
          <w:sz w:val="24"/>
          <w:szCs w:val="24"/>
        </w:rPr>
      </w:pPr>
      <w:r>
        <w:t>DISCUSSION</w:t>
      </w:r>
    </w:p>
    <w:p w14:paraId="0000005D">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El valor del prototipo reside en reunir una sección mecánica reproducible, un modelo temporal entrenado y un registro de procedencia para c</w:t>
      </w:r>
      <w:r>
        <w:rPr>
          <w:rFonts w:ascii="Times New Roman" w:hAnsi="Times New Roman" w:eastAsia="Times New Roman" w:cs="Times New Roman"/>
          <w:color w:val="000000"/>
          <w:sz w:val="24"/>
          <w:szCs w:val="24"/>
          <w:rtl w:val="0"/>
        </w:rPr>
        <w:t xml:space="preserve">ada pronóstico. En trabajos con monitoreo real, la actualización de parámetros y el contraste con eventos observados son elementos centrales para sostener la interpretación del gemelo digital (Liu et al., 2022; Piciullo et al., 2025). TA-01 todavía no disp</w:t>
      </w:r>
      <w:r>
        <w:rPr>
          <w:rFonts w:ascii="Times New Roman" w:hAnsi="Times New Roman" w:eastAsia="Times New Roman" w:cs="Times New Roman"/>
          <w:color w:val="000000"/>
          <w:sz w:val="24"/>
          <w:szCs w:val="24"/>
          <w:rtl w:val="0"/>
        </w:rPr>
        <w:t xml:space="preserve">one de ese contraste: solo la lluvia diaria tiene origen externo y la respuesta geotécnica se genera con hipótesis del propio modelo. En consecuencia, un error de pronóstico bajo mide la reproducción de ese generador, no la precisión de una alerta de mina.</w:t>
      </w:r>
      <w:r>
        <w:rPr>
          <w:rFonts w:ascii="Times New Roman" w:hAnsi="Times New Roman" w:eastAsia="Times New Roman" w:cs="Times New Roman"/>
          <w:color w:val="000000"/>
          <w:sz w:val="24"/>
          <w:szCs w:val="24"/>
        </w:rPr>
      </w:r>
    </w:p>
    <w:p w14:paraId="0000005E">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La literatura ha mostrado interés por introducir conocimiento físico en predictores de estabilidad (Dahal &amp; </w:t>
      </w:r>
      <w:r>
        <w:rPr>
          <w:rFonts w:ascii="Times New Roman" w:hAnsi="Times New Roman" w:eastAsia="Times New Roman" w:cs="Times New Roman"/>
          <w:color w:val="000000"/>
          <w:sz w:val="24"/>
          <w:szCs w:val="24"/>
          <w:rtl w:val="0"/>
        </w:rPr>
        <w:t xml:space="preserve">Lombardo, 2025; Pei et al., 2023). Aquí, las restricciones de monotonía aportan una propiedad verificable al corrector; su efecto sobre el MAE cambia de signo entre los dos años examinados. Esa variación y los intervalos que incluyen cero aconsejan present</w:t>
      </w:r>
      <w:r>
        <w:rPr>
          <w:rFonts w:ascii="Times New Roman" w:hAnsi="Times New Roman" w:eastAsia="Times New Roman" w:cs="Times New Roman"/>
          <w:color w:val="000000"/>
          <w:sz w:val="24"/>
          <w:szCs w:val="24"/>
          <w:rtl w:val="0"/>
        </w:rPr>
        <w:t xml:space="preserve">ar ambos modelos como alternativas experimentales. La evaluación espacial, aunque incorpora equilibrio discreto, depende del mismo operador FEM empleado para construir su referencia. No demuestra que se haya entrenado una PINN completa para el talud TA-01.</w:t>
      </w:r>
      <w:r>
        <w:rPr>
          <w:rFonts w:ascii="Times New Roman" w:hAnsi="Times New Roman" w:eastAsia="Times New Roman" w:cs="Times New Roman"/>
          <w:color w:val="000000"/>
          <w:sz w:val="24"/>
          <w:szCs w:val="24"/>
        </w:rPr>
      </w:r>
    </w:p>
    <w:p>
      <w:pPr>
        <w:widowControl/>
        <w:pBdr/>
        <w:spacing w:line="480" w:lineRule="auto" w:after="80"/>
        <w:ind w:firstLine="283"/>
        <w:rPr/>
      </w:pPr>
      <w:r>
        <w:rPr>
          <w:rFonts w:ascii="Times New Roman" w:hAnsi="Times New Roman"/>
          <w:color w:val="000000"/>
          <w:sz w:val="24"/>
        </w:rPr>
        <w:t>No se registr</w:t>
      </w:r>
      <w:r>
        <w:rPr>
          <w:rFonts w:ascii="Times New Roman" w:hAnsi="Times New Roman"/>
          <w:color w:val="000000"/>
          <w:sz w:val="24"/>
        </w:rPr>
        <w:t>ó un benchm</w:t>
      </w:r>
      <w:r>
        <w:rPr>
          <w:rFonts w:ascii="Times New Roman" w:hAnsi="Times New Roman"/>
          <w:color w:val="000000"/>
          <w:sz w:val="24"/>
        </w:rPr>
        <w:t>ar</w:t>
      </w:r>
      <w:r>
        <w:rPr>
          <w:rFonts w:ascii="Times New Roman" w:hAnsi="Times New Roman"/>
          <w:color w:val="000000"/>
          <w:sz w:val="24"/>
        </w:rPr>
        <w:t>k</w:t>
      </w:r>
      <w:r>
        <w:rPr>
          <w:rFonts w:ascii="Times New Roman" w:hAnsi="Times New Roman"/>
          <w:color w:val="000000"/>
          <w:sz w:val="24"/>
        </w:rPr>
        <w:t xml:space="preserve"> comparable</w:t>
      </w:r>
      <w:r>
        <w:rPr>
          <w:rFonts w:ascii="Times New Roman" w:hAnsi="Times New Roman"/>
          <w:color w:val="000000"/>
          <w:sz w:val="24"/>
        </w:rPr>
        <w:t xml:space="preserve"> de tiempo de entrenamiento, inferencia, consumo energético o latencia de extremo a extremo</w:t>
      </w:r>
      <w:r>
        <w:rPr>
          <w:rFonts w:ascii="Times New Roman" w:hAnsi="Times New Roman"/>
          <w:color w:val="000000"/>
          <w:sz w:val="24"/>
        </w:rPr>
        <w:t>. Algunos artefactos sí contienen medidas parciales de inferencia, insuficientes para sustentar eficiencia operacional</w:t>
      </w:r>
      <w:r>
        <w:rPr>
          <w:rFonts w:ascii="Times New Roman" w:hAnsi="Times New Roman"/>
          <w:color w:val="000000"/>
          <w:sz w:val="24"/>
        </w:rPr>
        <w:t>. Por ello, el experimento evalúa precisión y robustez interna, pero no eficiencia operacional. La mejora de MAE en la partición por fechas es pequeña en valor absoluto y no compensa por sí sola la degradación del corrector con entradas perturbadas.</w:t>
      </w:r>
    </w:p>
    <w:p>
      <w:pPr>
        <w:widowControl/>
        <w:spacing w:line="480" w:lineRule="auto" w:after="80"/>
        <w:ind w:firstLine="283"/>
      </w:pPr>
      <w:r>
        <w:rPr>
          <w:rFonts w:ascii="Times New Roman" w:hAnsi="Times New Roman"/>
          <w:color w:val="000000"/>
          <w:sz w:val="24"/>
        </w:rPr>
        <w:t>La escala numérica requiere cautela adicional. El posprocesamiento FEM guarda las magnitudes nodales con un paso de redondeo de 10⁻⁵ mm (10⁻⁸ m), anterior a la construcción de las ventanas. Un MAE promedio inferior a ese paso es matemáticamente posible, pero no acredita resolución física ni precisión instrumental. Las pequeñas diferencias de error deben contrastarse con la sensibilidad al almacenamiento y a la tolerancia del solver antes de atribuirles relevancia geotécnica.</w:t>
      </w:r>
      <w:r>
        <w:rPr/>
      </w:r>
    </w:p>
    <w:p w14:paraId="0000005F">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El FEM supone deformación plana y elasticidad lineal, mientras que la inestabilidad real puede involucrar plasticidad, discontinuidades, heterogeneidad y flujo transitorio. La comparación con una malla interna más fina no muestra convergencia monótona y la reproducción externa de un benchmark de reducción de resistencia no valida el FEM lineal propio. El índice mostrado por el visor tampoco sustituye un factor de seguridad obtenido por reducción de resistencia. Para avanzar hacia </w:t>
      </w:r>
      <w:r>
        <w:rPr>
          <w:rFonts w:ascii="Times New Roman" w:hAnsi="Times New Roman"/>
          <w:color w:val="000000"/>
          <w:sz w:val="24"/>
        </w:rPr>
        <w:t>l</w:t>
      </w:r>
      <w:r>
        <w:rPr>
          <w:rFonts w:ascii="Times New Roman" w:hAnsi="Times New Roman"/>
          <w:color w:val="000000"/>
          <w:sz w:val="24"/>
        </w:rPr>
        <w:t>a</w:t>
      </w:r>
      <w:r>
        <w:rPr>
          <w:rFonts w:ascii="Times New Roman" w:hAnsi="Times New Roman"/>
          <w:color w:val="000000"/>
          <w:sz w:val="24"/>
        </w:rPr>
        <w:t xml:space="preserve"> </w:t>
      </w:r>
      <w:r>
        <w:rPr>
          <w:rFonts w:ascii="Times New Roman" w:hAnsi="Times New Roman"/>
          <w:color w:val="000000"/>
          <w:sz w:val="24"/>
        </w:rPr>
        <w:t>v</w:t>
      </w:r>
      <w:r>
        <w:rPr>
          <w:rFonts w:ascii="Times New Roman" w:hAnsi="Times New Roman"/>
          <w:color w:val="000000"/>
          <w:sz w:val="24"/>
        </w:rPr>
        <w:t>al</w:t>
      </w:r>
      <w:r>
        <w:rPr>
          <w:rFonts w:ascii="Times New Roman" w:hAnsi="Times New Roman"/>
          <w:color w:val="000000"/>
          <w:sz w:val="24"/>
        </w:rPr>
        <w:t>idación</w:t>
      </w:r>
      <w:r>
        <w:rPr>
          <w:rFonts w:ascii="Times New Roman" w:hAnsi="Times New Roman"/>
          <w:color w:val="000000"/>
          <w:sz w:val="24"/>
        </w:rPr>
        <w:t xml:space="preserve"> de </w:t>
      </w:r>
      <w:r>
        <w:rPr>
          <w:rFonts w:ascii="Times New Roman" w:hAnsi="Times New Roman"/>
          <w:color w:val="000000"/>
          <w:sz w:val="24"/>
        </w:rPr>
        <w:t>un talud real</w:t>
      </w:r>
      <w:r>
        <w:rPr>
          <w:rFonts w:ascii="Times New Roman" w:hAnsi="Times New Roman"/>
          <w:color w:val="000000"/>
          <w:sz w:val="24"/>
        </w:rPr>
        <w:t xml:space="preserve"> harían falta parámetros y series de sensores observados, verificación geotécnica independiente, comparación con eventos no utilizados en el ajuste, análisis de incertidumbre y criterios de alerta contrastados. Un estudio de sensibilidad a excavaciones requeriría representar esos cambios geométricos en la simulación y evaluarlos con datos pertinentes.</w:t>
      </w:r>
    </w:p>
    <w:p>
      <w:pPr>
        <w:pStyle w:val="672"/>
        <w:keepNext/>
        <w:widowControl/>
        <w:pBdr/>
        <w:spacing w:line="480" w:lineRule="auto" w:after="80"/>
        <w:ind/>
        <w:rPr/>
      </w:pPr>
      <w:r>
        <w:t>Threats to validity</w:t>
      </w:r>
    </w:p>
    <w:p>
      <w:pPr>
        <w:widowControl/>
        <w:pBdr/>
        <w:spacing w:after="80" w:line="480" w:lineRule="auto"/>
        <w:ind w:firstLine="283"/>
        <w:jc w:val="both"/>
        <w:rPr/>
      </w:pPr>
      <w:r>
        <w:rPr>
          <w:rFonts w:ascii="Times New Roman" w:hAnsi="Times New Roman"/>
          <w:color w:val="000000"/>
          <w:sz w:val="24"/>
        </w:rPr>
        <w:t>Validez interna. El generador y los modelos comparten variables derivadas del mismo FEM, lo que puede favorecer la concordancia. La separación por fecha, los cortes cronológicos y la perturbación exclusiva de entradas reservadas reducen la fuga temporal, pero no eliminan la dependencia respecto del generador.</w:t>
      </w:r>
      <w:r>
        <w:rPr>
          <w:rFonts w:ascii="Times New Roman" w:hAnsi="Times New Roman"/>
          <w:color w:val="000000"/>
          <w:sz w:val="24"/>
        </w:rPr>
        <w:t xml:space="preserve"> La lluvia futura conocida constituye una condición idealizada, no una entrada disponible sin error en campo. Además, la sustitución de variables por medias puede crear combinaciones fuera de la distribución conjunta del generador.</w:t>
      </w:r>
    </w:p>
    <w:p>
      <w:pPr>
        <w:widowControl/>
        <w:pBdr/>
        <w:spacing w:after="80" w:line="480" w:lineRule="auto"/>
        <w:ind w:firstLine="283"/>
        <w:jc w:val="both"/>
        <w:rPr/>
      </w:pPr>
      <w:r>
        <w:rPr>
          <w:rFonts w:ascii="Times New Roman" w:hAnsi="Times New Roman"/>
          <w:color w:val="000000"/>
          <w:sz w:val="24"/>
        </w:rPr>
        <w:t xml:space="preserve">Validez de constructo. El resultado pronosticado es </w:t>
      </w:r>
      <w:r>
        <w:rPr>
          <w:rFonts w:ascii="Times New Roman" w:hAnsi="Times New Roman"/>
          <w:color w:val="000000"/>
          <w:sz w:val="24"/>
        </w:rPr>
        <w:t>e</w:t>
      </w:r>
      <w:r>
        <w:rPr>
          <w:rFonts w:ascii="Times New Roman" w:hAnsi="Times New Roman"/>
          <w:color w:val="000000"/>
          <w:sz w:val="24"/>
        </w:rPr>
        <w:t>l</w:t>
      </w:r>
      <w:r>
        <w:rPr>
          <w:rFonts w:ascii="Times New Roman" w:hAnsi="Times New Roman"/>
          <w:color w:val="000000"/>
          <w:sz w:val="24"/>
        </w:rPr>
        <w:t xml:space="preserve"> desplazamiento</w:t>
      </w:r>
      <w:r>
        <w:rPr>
          <w:rFonts w:ascii="Times New Roman" w:hAnsi="Times New Roman"/>
          <w:color w:val="000000"/>
          <w:sz w:val="24"/>
        </w:rPr>
        <w:t xml:space="preserve"> máximo inducido por lluvia respecto del estado inicial</w:t>
      </w:r>
      <w:r>
        <w:rPr>
          <w:rFonts w:ascii="Times New Roman" w:hAnsi="Times New Roman"/>
          <w:color w:val="000000"/>
          <w:sz w:val="24"/>
        </w:rPr>
        <w:t>, no el desplazamiento total ni un FoS por reducción de resistencia. La corrección monótona representa conocimiento físico agregado y no una PINN completa. Las conclusiones se formulan con esas definiciones.</w:t>
      </w:r>
    </w:p>
    <w:p>
      <w:pPr>
        <w:widowControl/>
        <w:pBdr/>
        <w:spacing w:after="80" w:line="480" w:lineRule="auto"/>
        <w:ind w:firstLine="283"/>
        <w:jc w:val="both"/>
        <w:rPr/>
      </w:pPr>
      <w:r>
        <w:rPr>
          <w:rFonts w:ascii="Times New Roman" w:hAnsi="Times New Roman"/>
          <w:b/>
          <w:color w:val="000000"/>
          <w:sz w:val="24"/>
        </w:rPr>
        <w:t xml:space="preserve">Validez externa. </w:t>
      </w:r>
      <w:r>
        <w:rPr>
          <w:rFonts w:ascii="Times New Roman" w:hAnsi="Times New Roman"/>
          <w:color w:val="000000"/>
          <w:sz w:val="24"/>
        </w:rPr>
        <w:t xml:space="preserve">TA-01 usa una sola geometría, rangos supuestos y perfiles simplificados de lluvia. No se evaluaron otras litologías, excavaciones, sensores ni eventos de falla observados; por ello no se generaliza a una mina real.</w:t>
      </w:r>
      <w:r>
        <w:rPr>
          <w:rFonts w:ascii="Times New Roman" w:hAnsi="Times New Roman"/>
          <w:color w:val="000000"/>
          <w:sz w:val="24"/>
        </w:rPr>
      </w:r>
    </w:p>
    <w:p>
      <w:pPr>
        <w:keepLines w:val="true"/>
        <w:widowControl/>
        <w:pBdr/>
        <w:spacing w:after="80" w:line="480" w:lineRule="auto"/>
        <w:ind w:firstLine="283"/>
        <w:jc w:val="both"/>
        <w:rPr/>
      </w:pPr>
      <w:r>
        <w:rPr/>
        <w:t>Validez de conclusión. Las fechas, no las ventanas horarias, fueron las unidades de remuestreo. No se registró un cálculo de potencia ni un umbral de equivalencia antes del análisis; la inclusión de cero en los cuatro intervalos indica que la ventaja del híbrido no fue consistente entre cortes y horizontes, sin demostrar equivalencia. Los subconjuntos de lluvia ≥5 mm/día incluyen solo dos fechas en 2024 y tres en 2025; sus estimaciones de cobertura son inestables. La precisión de almacenamiento del FEM y la variación entre semillas de entrenamiento no se evaluaron como factores de sensibilidad.</w:t>
      </w:r>
    </w:p>
    <w:p>
      <w:pPr>
        <w:pStyle w:val="672"/>
        <w:keepNext/>
        <w:widowControl/>
        <w:pBdr/>
        <w:spacing w:line="480" w:lineRule="auto" w:after="80"/>
        <w:ind/>
        <w:rPr/>
      </w:pPr>
      <w:r>
        <w:t>Responsible use and governance</w:t>
      </w:r>
    </w:p>
    <w:p>
      <w:pPr>
        <w:widowControl/>
        <w:pBdr/>
        <w:spacing w:after="80" w:line="480" w:lineRule="auto"/>
        <w:ind w:firstLine="283"/>
        <w:jc w:val="both"/>
        <w:rPr/>
      </w:pPr>
      <w:r>
        <w:rPr>
          <w:rFonts w:ascii="Times New Roman" w:hAnsi="Times New Roman"/>
          <w:color w:val="000000"/>
          <w:sz w:val="24"/>
        </w:rPr>
        <w:t xml:space="preserve">El prototipo no debe emitir alertas autónomas. Un falso negativo podría retrasar una inspección o evacuación, mientras que un falso positivo podría interrumpir innecesariamente la operación. Cualquier aplicación futura requiere umbrales validados con da</w:t>
      </w:r>
      <w:r>
        <w:rPr>
          <w:rFonts w:ascii="Times New Roman" w:hAnsi="Times New Roman"/>
          <w:color w:val="000000"/>
          <w:sz w:val="24"/>
        </w:rPr>
        <w:t xml:space="preserve">tos de campo, redundancia de sensores, registro de versiones, revisión de un profesional geotécnico y un procedimiento de escalamiento. Las predicciones fuera del dominio de lluvia, geometría o materiales de entrenamiento deben marcarse como no confiables.</w:t>
      </w:r>
      <w:r>
        <w:rPr>
          <w:rFonts w:ascii="Times New Roman" w:hAnsi="Times New Roman"/>
          <w:color w:val="000000"/>
          <w:sz w:val="24"/>
        </w:rPr>
      </w:r>
    </w:p>
    <w:p w14:paraId="00000060">
      <w:pPr>
        <w:pStyle w:val="671"/>
        <w:keepNext/>
        <w:keepLines w:val="false"/>
        <w:widowControl/>
        <w:pBdr/>
        <w:spacing w:after="80" w:before="160" w:line="480" w:lineRule="auto"/>
        <w:ind/>
        <w:jc w:val="center"/>
        <w:rPr>
          <w:rFonts w:ascii="Times New Roman" w:hAnsi="Times New Roman" w:eastAsia="Times New Roman" w:cs="Times New Roman"/>
          <w:sz w:val="24"/>
          <w:szCs w:val="24"/>
        </w:rPr>
      </w:pPr>
      <w:r>
        <w:t>CONCLUSIONS</w:t>
      </w:r>
    </w:p>
    <w:p w14:paraId="00000061">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b w:val="0"/>
          <w:i w:val="0"/>
          <w:color w:val="000000"/>
          <w:sz w:val="24"/>
        </w:rPr>
        <w:t>RQ1 mostró que el híbrido obtuvo el menor MAE en la partición por fechas, con reducciones relativas de 6.99 % a 1 h y 2.46 % a 6 h frente a la LSTM. Sin embargo, el orden cambió entre las pruebas cronológicas.</w:t>
      </w:r>
      <w:r>
        <w:rPr>
          <w:rFonts w:ascii="Times New Roman" w:hAnsi="Times New Roman" w:eastAsia="Times New Roman" w:cs="Times New Roman"/>
          <w:color w:val="000000"/>
          <w:sz w:val="24"/>
          <w:szCs w:val="24"/>
        </w:rPr>
      </w:r>
    </w:p>
    <w:p w14:paraId="00000062">
      <w:pPr>
        <w:widowControl/>
        <w:pBdr/>
        <w:spacing w:after="80" w:line="480" w:lineRule="auto"/>
        <w:ind w:firstLine="283"/>
        <w:rPr>
          <w:rFonts w:ascii="Times New Roman" w:hAnsi="Times New Roman" w:eastAsia="Times New Roman" w:cs="Times New Roman"/>
          <w:sz w:val="24"/>
          <w:szCs w:val="24"/>
        </w:rPr>
      </w:pPr>
      <w:r>
        <w:rPr/>
        <w:t>RQ2 no encontró una ventaja consistente de la corrección residual: la LSTM fue mejor en 2024 y el híbrido en 2025, mientras que los cuatro intervalos pareados incluyeron cero. RQ3 mostró que ambos modelos se degradaron con ruido y faltantes, pero el híbrido perdió más MAE relativo y absoluto en las condiciones evaluadas. La calidad de entrada es, por tanto, una condición crítica del prototipo.</w:t>
      </w:r>
    </w:p>
    <w:p w14:paraId="00000063">
      <w:pPr>
        <w:widowControl/>
        <w:pBdr/>
        <w:spacing w:after="80" w:line="480" w:lineRule="auto"/>
        <w:ind w:firstLine="283"/>
        <w:rPr>
          <w:rFonts w:ascii="Times New Roman" w:hAnsi="Times New Roman" w:eastAsia="Times New Roman" w:cs="Times New Roman"/>
          <w:sz w:val="24"/>
          <w:szCs w:val="24"/>
        </w:rPr>
      </w:pPr>
      <w:r>
        <w:rPr>
          <w:rFonts w:ascii="Times New Roman" w:hAnsi="Times New Roman"/>
          <w:color w:val="000000"/>
          <w:sz w:val="24"/>
        </w:rPr>
        <w:t xml:space="preserve">RQ4 </w:t>
      </w:r>
      <w:r>
        <w:rPr>
          <w:rFonts w:ascii="Times New Roman" w:hAnsi="Times New Roman"/>
          <w:color w:val="000000"/>
          <w:sz w:val="24"/>
        </w:rPr>
        <w:t>veri</w:t>
      </w:r>
      <w:r>
        <w:rPr>
          <w:rFonts w:ascii="Times New Roman" w:hAnsi="Times New Roman"/>
          <w:color w:val="000000"/>
          <w:sz w:val="24"/>
        </w:rPr>
        <w:t>fi</w:t>
      </w:r>
      <w:r>
        <w:rPr>
          <w:rFonts w:ascii="Times New Roman" w:hAnsi="Times New Roman"/>
          <w:color w:val="000000"/>
          <w:sz w:val="24"/>
        </w:rPr>
        <w:t>c</w:t>
      </w:r>
      <w:r>
        <w:rPr>
          <w:rFonts w:ascii="Times New Roman" w:hAnsi="Times New Roman"/>
          <w:color w:val="000000"/>
          <w:sz w:val="24"/>
        </w:rPr>
        <w:t>ó</w:t>
      </w:r>
      <w:r>
        <w:rPr>
          <w:rFonts w:ascii="Times New Roman" w:hAnsi="Times New Roman"/>
          <w:color w:val="000000"/>
          <w:sz w:val="24"/>
        </w:rPr>
        <w:t xml:space="preserve"> aspectos de</w:t>
      </w:r>
      <w:r>
        <w:rPr>
          <w:rFonts w:ascii="Times New Roman" w:hAnsi="Times New Roman"/>
          <w:color w:val="000000"/>
          <w:sz w:val="24"/>
        </w:rPr>
        <w:t xml:space="preserve"> la implementación del FEM mediante pruebas internas y obtuvo concordancia parcial de la aproximación espacial con el mismo operador. Estas verificaciones no constituyen validación geotécnica independiente. En conjunto, TA-01 es una prueba de concepto semisintética para estudiar el flujo FEM LSTM; no valida alertas, tiempo real, FoS operacional ni una PINN de ecuaciones gobernantes.</w:t>
      </w:r>
    </w:p>
    <w:p>
      <w:pPr>
        <w:pStyle w:val="671"/>
        <w:keepNext/>
        <w:widowControl/>
        <w:pBdr/>
        <w:spacing w:line="480" w:lineRule="auto" w:after="80"/>
        <w:ind/>
        <w:rPr/>
      </w:pPr>
      <w:r>
        <w:t>Data, code, and materials availability</w:t>
      </w:r>
    </w:p>
    <w:p>
      <w:pPr>
        <w:widowControl/>
        <w:pBdr/>
        <w:spacing w:after="80" w:line="480" w:lineRule="auto"/>
        <w:ind w:firstLine="283"/>
        <w:jc w:val="both"/>
        <w:rPr/>
      </w:pPr>
      <w:r>
        <w:rPr>
          <w:rFonts w:ascii="Times New Roman" w:hAnsi="Times New Roman"/>
          <w:color w:val="000000"/>
          <w:sz w:val="24"/>
        </w:rPr>
        <w:t xml:space="preserve">El código, los scripts, los escenarios semisintéticos, los pesos entrenados y los archivos de validación están disponibles en el repositorio público sslope (https://github.com/RobertoA1/sslope). El manifiesto data/validation/ta01-replicat</w:t>
      </w:r>
      <w:r>
        <w:rPr>
          <w:rFonts w:ascii="Times New Roman" w:hAnsi="Times New Roman"/>
          <w:color w:val="000000"/>
          <w:sz w:val="24"/>
        </w:rPr>
        <w:t xml:space="preserve">ion-manifest.json registra huellas SHA-256 de fuentes y resultados. El código y la documentación se distribuyen bajo MIT (LICENSE); las contribuciones originales de los autores en data/generated/, data/models/ y data/validation/ se distribuyen bajo CC BY 4</w:t>
      </w:r>
      <w:r>
        <w:rPr>
          <w:rFonts w:ascii="Times New Roman" w:hAnsi="Times New Roman"/>
          <w:color w:val="000000"/>
          <w:sz w:val="24"/>
        </w:rPr>
        <w:t xml:space="preserve">.0 (data/LICENSE.md). La precipitación de reanálisis procede de NASA POWER; su procedencia y las condiciones de las demás fuentes externas se documentan por separado y no quedan sustituidas por la licencia de los autores. El README explica la ejecución y D</w:t>
      </w:r>
      <w:r>
        <w:rPr>
          <w:rFonts w:ascii="Times New Roman" w:hAnsi="Times New Roman"/>
          <w:color w:val="000000"/>
          <w:sz w:val="24"/>
        </w:rPr>
        <w:t xml:space="preserve">ocker Compose reproduce el servicio web local. Aún deben fijarse la versión de Python para todos los experimentos y un archivo inmutable de la versión publicada para facilitar la réplica exacta. En TA-01 no se procesaron datos personales ni confidenciales.</w:t>
      </w:r>
      <w:r>
        <w:rPr>
          <w:rFonts w:ascii="Times New Roman" w:hAnsi="Times New Roman"/>
          <w:color w:val="000000"/>
          <w:sz w:val="24"/>
        </w:rPr>
      </w:r>
      <w:r>
        <w:rPr/>
      </w:r>
    </w:p>
    <w:p>
      <w:pPr>
        <w:pStyle w:val="671"/>
        <w:keepNext/>
        <w:widowControl/>
        <w:pBdr/>
        <w:spacing w:line="480" w:lineRule="auto" w:after="80"/>
        <w:ind/>
        <w:rPr/>
      </w:pPr>
      <w:r>
        <w:t>DECLARATIONS</w:t>
      </w:r>
    </w:p>
    <w:p>
      <w:pPr>
        <w:widowControl/>
        <w:pBdr/>
        <w:spacing w:after="80" w:line="480" w:lineRule="auto"/>
        <w:ind w:firstLine="283"/>
        <w:jc w:val="both"/>
        <w:rPr/>
      </w:pPr>
      <w:r>
        <w:t>Ethics. The study uses public precipitation data and simulated geotechnical data. It does not involve human participants, animals, or personal information.</w:t>
      </w:r>
    </w:p>
    <w:p>
      <w:pPr>
        <w:keepLines w:val="true"/>
        <w:widowControl/>
        <w:pBdr/>
        <w:spacing w:after="80" w:line="480" w:lineRule="auto"/>
        <w:ind w:firstLine="283"/>
        <w:jc w:val="both"/>
        <w:rPr/>
      </w:pPr>
      <w:r>
        <w:t>Funding. The authors report no specific funding, grants, or institutional support for this study.</w:t>
      </w:r>
    </w:p>
    <w:p>
      <w:pPr>
        <w:keepLines w:val="true"/>
        <w:widowControl/>
        <w:pBdr/>
        <w:spacing w:after="80" w:line="480" w:lineRule="auto"/>
        <w:ind w:firstLine="283"/>
        <w:jc w:val="both"/>
        <w:rPr/>
      </w:pPr>
      <w:r>
        <w:t>Conflicts of interest. The authors report no conflicts of interest related to this work.</w:t>
      </w:r>
    </w:p>
    <w:p>
      <w:pPr>
        <w:widowControl/>
        <w:pBdr/>
        <w:spacing w:after="80" w:line="480" w:lineRule="auto"/>
        <w:ind w:firstLine="283"/>
        <w:jc w:val="both"/>
        <w:rPr/>
      </w:pPr>
      <w:r>
        <w:t>Responsible use. This research prototype must not be used for safety, evacuation, or production decisions without independent validation and professional oversight.</w:t>
      </w:r>
    </w:p>
    <w:p>
      <w:pPr>
        <w:pStyle w:val="671"/>
      </w:pPr>
      <w:r>
        <w:t>ACKNOWLEDGEMENTS</w:t>
      </w:r>
    </w:p>
    <w:p>
      <w:pPr/>
      <w:r>
        <w:t>OpenAI Codex assisted with manuscript editing, consistency checks against the archived code and results, and document preparation. The authors retain responsibility for the final content.</w:t>
      </w:r>
    </w:p>
    <w:p w14:paraId="000001B3">
      <w:pPr>
        <w:pStyle w:val="671"/>
        <w:keepNext/>
        <w:pageBreakBefore/>
        <w:widowControl/>
        <w:pBdr/>
        <w:spacing w:before="160" w:line="480" w:lineRule="auto" w:after="80"/>
        <w:ind/>
        <w:jc w:val="center"/>
        <w:rPr>
          <w:rFonts w:ascii="Times New Roman" w:hAnsi="Times New Roman" w:eastAsia="Times New Roman" w:cs="Times New Roman"/>
          <w:b/>
          <w:bCs/>
          <w:sz w:val="24"/>
          <w:szCs w:val="24"/>
        </w:rPr>
      </w:pPr>
      <w:r>
        <w:t>REFERENCES</w:t>
      </w:r>
    </w:p>
    <w:p w14:paraId="000001B4">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Anchiraico Alderete, J. K., Orellana Mendoza, E. E., Ayre Balbin, V., &amp; Toykin Mucha, C. R. (2026). </w:t>
      </w:r>
      <w:r>
        <w:rPr>
          <w:rFonts w:ascii="Times New Roman" w:hAnsi="Times New Roman" w:eastAsia="Times New Roman" w:cs="Times New Roman"/>
          <w:i/>
          <w:iCs/>
          <w:color w:val="000000"/>
          <w:sz w:val="24"/>
          <w:szCs w:val="24"/>
          <w:rtl w:val="0"/>
        </w:rPr>
        <w:t xml:space="preserve">Tecnologías de la información aplicadas a la simulación probabilística de estabilidad geotécnica mediante Python</w:t>
      </w:r>
      <w:r>
        <w:rPr>
          <w:rFonts w:ascii="Times New Roman" w:hAnsi="Times New Roman" w:eastAsia="Times New Roman" w:cs="Times New Roman"/>
          <w:color w:val="000000"/>
          <w:sz w:val="24"/>
          <w:szCs w:val="24"/>
          <w:rtl w:val="0"/>
        </w:rPr>
        <w:t xml:space="preserve">. Zenodo. https://doi.org/10.5281/zenodo.21273130</w:t>
      </w:r>
      <w:r>
        <w:rPr>
          <w:rFonts w:ascii="Times New Roman" w:hAnsi="Times New Roman" w:eastAsia="Times New Roman" w:cs="Times New Roman"/>
          <w:color w:val="000000"/>
          <w:sz w:val="24"/>
          <w:szCs w:val="24"/>
        </w:rPr>
      </w:r>
    </w:p>
    <w:p w14:paraId="000001B5">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Arias-Valencia, D. C., &amp; Aristizábal-Arias, J. A. (2024). Análisis probabilístico de estabilidad de taludes con falla planar en la Comuna Universitaria de la ciudad de Manizales (Colombia). </w:t>
      </w:r>
      <w:r>
        <w:rPr>
          <w:rFonts w:ascii="Times New Roman" w:hAnsi="Times New Roman" w:eastAsia="Times New Roman" w:cs="Times New Roman"/>
          <w:i/>
          <w:iCs/>
          <w:color w:val="000000"/>
          <w:sz w:val="24"/>
          <w:szCs w:val="24"/>
          <w:rtl w:val="0"/>
        </w:rPr>
        <w:t xml:space="preserve">Información Tecnológica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35</w:t>
      </w:r>
      <w:r>
        <w:rPr>
          <w:rFonts w:ascii="Times New Roman" w:hAnsi="Times New Roman" w:eastAsia="Times New Roman" w:cs="Times New Roman"/>
          <w:color w:val="000000"/>
          <w:sz w:val="24"/>
          <w:szCs w:val="24"/>
          <w:rtl w:val="0"/>
        </w:rPr>
        <w:t xml:space="preserve">(3), 1–10. https://doi.org/10.4067/S0718-07642024000300001</w:t>
      </w:r>
      <w:r>
        <w:rPr>
          <w:rFonts w:ascii="Times New Roman" w:hAnsi="Times New Roman" w:eastAsia="Times New Roman" w:cs="Times New Roman"/>
          <w:color w:val="000000"/>
          <w:sz w:val="24"/>
          <w:szCs w:val="24"/>
        </w:rPr>
      </w:r>
    </w:p>
    <w:p w14:paraId="000001B6">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Avellán, E., Carrera, J., &amp; Sánchez, D. (2023). Análisis tenso-deformacional del talud ubicado en la Avenida Mariscal Sucre, sector La Comuna. </w:t>
      </w:r>
      <w:r>
        <w:rPr>
          <w:rFonts w:ascii="Times New Roman" w:hAnsi="Times New Roman" w:eastAsia="Times New Roman" w:cs="Times New Roman"/>
          <w:i/>
          <w:iCs/>
          <w:color w:val="000000"/>
          <w:sz w:val="24"/>
          <w:szCs w:val="24"/>
          <w:rtl w:val="0"/>
        </w:rPr>
        <w:t xml:space="preserve">Green World Journal</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6</w:t>
      </w:r>
      <w:r>
        <w:rPr>
          <w:rFonts w:ascii="Times New Roman" w:hAnsi="Times New Roman" w:eastAsia="Times New Roman" w:cs="Times New Roman"/>
          <w:color w:val="000000"/>
          <w:sz w:val="24"/>
          <w:szCs w:val="24"/>
          <w:rtl w:val="0"/>
        </w:rPr>
        <w:t xml:space="preserve">(3). https://doi.org/10.53313/gwj62090</w:t>
      </w:r>
      <w:r>
        <w:rPr>
          <w:rFonts w:ascii="Times New Roman" w:hAnsi="Times New Roman" w:eastAsia="Times New Roman" w:cs="Times New Roman"/>
          <w:color w:val="000000"/>
          <w:sz w:val="24"/>
          <w:szCs w:val="24"/>
        </w:rPr>
      </w:r>
    </w:p>
    <w:p w14:paraId="000001B7">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Blas Cano, J. W., &amp; Milla Vergara, E. A. (2023). Caracterización geotécnica para determinar el modelo de estabilización del talud a escala reducida. </w:t>
      </w:r>
      <w:r>
        <w:rPr>
          <w:rFonts w:ascii="Times New Roman" w:hAnsi="Times New Roman" w:eastAsia="Times New Roman" w:cs="Times New Roman"/>
          <w:i/>
          <w:iCs/>
          <w:color w:val="000000"/>
          <w:sz w:val="24"/>
          <w:szCs w:val="24"/>
          <w:rtl w:val="0"/>
        </w:rPr>
        <w:t xml:space="preserve">Revista del Instituto de Investigación de la Facultad de Minas, Metalurgia y Ciencias Geográficas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26</w:t>
      </w:r>
      <w:r>
        <w:rPr>
          <w:rFonts w:ascii="Times New Roman" w:hAnsi="Times New Roman" w:eastAsia="Times New Roman" w:cs="Times New Roman"/>
          <w:color w:val="000000"/>
          <w:sz w:val="24"/>
          <w:szCs w:val="24"/>
          <w:rtl w:val="0"/>
        </w:rPr>
        <w:t xml:space="preserve">(51), e24403. https://doi.org/10.15381/iigeo.v26i51.24403</w:t>
      </w:r>
      <w:r>
        <w:rPr>
          <w:rFonts w:ascii="Times New Roman" w:hAnsi="Times New Roman" w:eastAsia="Times New Roman" w:cs="Times New Roman"/>
          <w:color w:val="000000"/>
          <w:sz w:val="24"/>
          <w:szCs w:val="24"/>
        </w:rPr>
      </w:r>
    </w:p>
    <w:p w14:paraId="000001B8">
      <w:pPr>
        <w:keepLines w:val="true"/>
        <w:widowControl/>
        <w:pBdr/>
        <w:spacing w:after="80" w:line="480" w:lineRule="auto"/>
        <w:ind w:left="425" w:hanging="425"/>
        <w:rPr>
          <w:rFonts w:ascii="Times New Roman" w:hAnsi="Times New Roman" w:eastAsia="Times New Roman" w:cs="Times New Roman"/>
          <w:sz w:val="24"/>
          <w:szCs w:val="24"/>
        </w:rPr>
      </w:pPr>
      <w:r>
        <w:rPr/>
        <w:t>Briceño, J., Guillén, M., Belandria, N., &amp; León, F. (2023). Análisis de estabilidad de taludes de secciones típicas en la construcción de carreteras a través de modelos numéricos. Tekhné, 26(3), 62–72. https://doi.org/10.62876/tekhn.v26i3.6137</w:t>
      </w:r>
    </w:p>
    <w:p w14:paraId="000001B9">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Briceño Balza, J. E., Belandria Rodriguez, N. T., &amp; León Oviedo, F. M. (2022). Ubicación y profundidad de la grieta de tracción en taludes con el empleo de modelos numéricos. </w:t>
      </w:r>
      <w:r>
        <w:rPr>
          <w:rFonts w:ascii="Times New Roman" w:hAnsi="Times New Roman" w:eastAsia="Times New Roman" w:cs="Times New Roman"/>
          <w:i/>
          <w:iCs/>
          <w:color w:val="000000"/>
          <w:sz w:val="24"/>
          <w:szCs w:val="24"/>
          <w:rtl w:val="0"/>
        </w:rPr>
        <w:t xml:space="preserve">Revista Técnica de la Facultad de Ingeniería Universidad del Zulia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45</w:t>
      </w:r>
      <w:r>
        <w:rPr>
          <w:rFonts w:ascii="Times New Roman" w:hAnsi="Times New Roman" w:eastAsia="Times New Roman" w:cs="Times New Roman"/>
          <w:color w:val="000000"/>
          <w:sz w:val="24"/>
          <w:szCs w:val="24"/>
          <w:rtl w:val="0"/>
        </w:rPr>
        <w:t xml:space="preserve">(2), 111–121. https://doi.org/10.22209/rt.v45n2a04</w:t>
      </w:r>
      <w:r>
        <w:rPr>
          <w:rFonts w:ascii="Times New Roman" w:hAnsi="Times New Roman" w:eastAsia="Times New Roman" w:cs="Times New Roman"/>
          <w:color w:val="000000"/>
          <w:sz w:val="24"/>
          <w:szCs w:val="24"/>
        </w:rPr>
      </w:r>
    </w:p>
    <w:p w14:paraId="000001BA">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Bustillos Cotrado, J. A. (2024). Análisis bidimensional de estabilidad del talud en una zona de falla geológica en Chinchao, Huánuco, Perú. </w:t>
      </w:r>
      <w:r>
        <w:rPr>
          <w:rFonts w:ascii="Times New Roman" w:hAnsi="Times New Roman" w:eastAsia="Times New Roman" w:cs="Times New Roman"/>
          <w:i/>
          <w:iCs/>
          <w:color w:val="000000"/>
          <w:sz w:val="24"/>
          <w:szCs w:val="24"/>
          <w:rtl w:val="0"/>
        </w:rPr>
        <w:t xml:space="preserve">Revista Peruana de Ingeniería, Arquitectura y Medio Ambiente</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w:t>
      </w:r>
      <w:r>
        <w:rPr>
          <w:rFonts w:ascii="Times New Roman" w:hAnsi="Times New Roman" w:eastAsia="Times New Roman" w:cs="Times New Roman"/>
          <w:color w:val="000000"/>
          <w:sz w:val="24"/>
          <w:szCs w:val="24"/>
          <w:rtl w:val="0"/>
        </w:rPr>
        <w:t xml:space="preserve">(1), 9–17. https://doi.org/10.37711/repiama.2024.1.1.2</w:t>
      </w:r>
      <w:r>
        <w:rPr>
          <w:rFonts w:ascii="Times New Roman" w:hAnsi="Times New Roman" w:eastAsia="Times New Roman" w:cs="Times New Roman"/>
          <w:color w:val="000000"/>
          <w:sz w:val="24"/>
          <w:szCs w:val="24"/>
        </w:rPr>
      </w:r>
    </w:p>
    <w:p w14:paraId="000001BB">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Caballero, C., Castillo, P., Castrellón, J., &amp; Rodríguez, S. (2023). Análisis geomecánico mediante modelo de estabilidad de laderas en la zona de Bambito (Chiriquí). </w:t>
      </w:r>
      <w:r>
        <w:rPr>
          <w:rFonts w:ascii="Times New Roman" w:hAnsi="Times New Roman" w:eastAsia="Times New Roman" w:cs="Times New Roman"/>
          <w:i/>
          <w:iCs/>
          <w:color w:val="000000"/>
          <w:sz w:val="24"/>
          <w:szCs w:val="24"/>
          <w:rtl w:val="0"/>
        </w:rPr>
        <w:t xml:space="preserve">Revista de Iniciación Científica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9</w:t>
      </w:r>
      <w:r>
        <w:rPr>
          <w:rFonts w:ascii="Times New Roman" w:hAnsi="Times New Roman" w:eastAsia="Times New Roman" w:cs="Times New Roman"/>
          <w:color w:val="000000"/>
          <w:sz w:val="24"/>
          <w:szCs w:val="24"/>
          <w:rtl w:val="0"/>
        </w:rPr>
        <w:t xml:space="preserve">(2), 91–97. https://doi.org/10.33412/rev-ric.v9.2.3846</w:t>
      </w:r>
      <w:r>
        <w:rPr>
          <w:rFonts w:ascii="Times New Roman" w:hAnsi="Times New Roman" w:eastAsia="Times New Roman" w:cs="Times New Roman"/>
          <w:color w:val="000000"/>
          <w:sz w:val="24"/>
          <w:szCs w:val="24"/>
        </w:rPr>
      </w:r>
    </w:p>
    <w:p w14:paraId="000001BC">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Campos, F., Mora, R., Sequeira, J., &amp; Garnier, M. (2022). Aplicación de análisis de admisibilidad cinemática y equilibrio límite para optimizar la geometría de explotación de una cantera en el cantón de León Cortes, San José, Costa Rica. </w:t>
      </w:r>
      <w:r>
        <w:rPr>
          <w:rFonts w:ascii="Times New Roman" w:hAnsi="Times New Roman" w:eastAsia="Times New Roman" w:cs="Times New Roman"/>
          <w:i/>
          <w:iCs/>
          <w:color w:val="000000"/>
          <w:sz w:val="24"/>
          <w:szCs w:val="24"/>
          <w:rtl w:val="0"/>
        </w:rPr>
        <w:t xml:space="preserve">Revista Geológica de América Central</w:t>
      </w:r>
      <w:r>
        <w:rPr>
          <w:rFonts w:ascii="Times New Roman" w:hAnsi="Times New Roman" w:eastAsia="Times New Roman" w:cs="Times New Roman"/>
          <w:color w:val="000000"/>
          <w:sz w:val="24"/>
          <w:szCs w:val="24"/>
          <w:rtl w:val="0"/>
        </w:rPr>
        <w:t xml:space="preserve">, (66), 1–25. https://doi.org/10.15517/rgac.v66i0.49786</w:t>
      </w:r>
      <w:r>
        <w:rPr>
          <w:rFonts w:ascii="Times New Roman" w:hAnsi="Times New Roman" w:eastAsia="Times New Roman" w:cs="Times New Roman"/>
          <w:color w:val="000000"/>
          <w:sz w:val="24"/>
          <w:szCs w:val="24"/>
        </w:rPr>
      </w:r>
    </w:p>
    <w:p w14:paraId="000001BD">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Catari Colque, P. P</w:t>
      </w:r>
      <w:r>
        <w:rPr>
          <w:rFonts w:ascii="Times New Roman" w:hAnsi="Times New Roman" w:eastAsia="Times New Roman" w:cs="Times New Roman"/>
          <w:color w:val="000000"/>
          <w:sz w:val="24"/>
          <w:szCs w:val="24"/>
          <w:rtl w:val="0"/>
        </w:rPr>
        <w:t xml:space="preserve">., Barriga Paria, C. J., Villanueva Ari, C. R., Gomez Velasquez, J. M., Alvarado Ramirez, H. L., Melgar Raymundo, D. R., &amp; Chirinos Quintanilla, E. A. (2025). Optimización del diseño de talud en minería superficial mediante el método de elementos finitos. </w:t>
      </w:r>
      <w:r>
        <w:rPr>
          <w:rFonts w:ascii="Times New Roman" w:hAnsi="Times New Roman" w:eastAsia="Times New Roman" w:cs="Times New Roman"/>
          <w:i/>
          <w:iCs/>
          <w:color w:val="000000"/>
          <w:sz w:val="24"/>
          <w:szCs w:val="24"/>
          <w:rtl w:val="0"/>
        </w:rPr>
        <w:t xml:space="preserve">Novasinergia Revista Digital de Ciencia, Ingeniería y Tecnología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8</w:t>
      </w:r>
      <w:r>
        <w:rPr>
          <w:rFonts w:ascii="Times New Roman" w:hAnsi="Times New Roman" w:eastAsia="Times New Roman" w:cs="Times New Roman"/>
          <w:color w:val="000000"/>
          <w:sz w:val="24"/>
          <w:szCs w:val="24"/>
          <w:rtl w:val="0"/>
        </w:rPr>
        <w:t xml:space="preserve">(1), 33–51. https://doi.org/10.37135/ns.01.15.09</w:t>
      </w:r>
      <w:r>
        <w:rPr>
          <w:rFonts w:ascii="Times New Roman" w:hAnsi="Times New Roman" w:eastAsia="Times New Roman" w:cs="Times New Roman"/>
          <w:color w:val="000000"/>
          <w:sz w:val="24"/>
          <w:szCs w:val="24"/>
        </w:rPr>
      </w:r>
    </w:p>
    <w:p w14:paraId="000001BE">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Chilon Chilon, R. (2025). Análisis de relaves filtrados para la estabilización física en la conformación de una presa. </w:t>
      </w:r>
      <w:r>
        <w:rPr>
          <w:rFonts w:ascii="Times New Roman" w:hAnsi="Times New Roman" w:eastAsia="Times New Roman" w:cs="Times New Roman"/>
          <w:i/>
          <w:iCs/>
          <w:color w:val="000000"/>
          <w:sz w:val="24"/>
          <w:szCs w:val="24"/>
          <w:rtl w:val="0"/>
        </w:rPr>
        <w:t xml:space="preserve">Aporte Santiaguino</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18</w:t>
      </w:r>
      <w:r>
        <w:rPr>
          <w:rFonts w:ascii="Times New Roman" w:hAnsi="Times New Roman" w:eastAsia="Times New Roman" w:cs="Times New Roman"/>
          <w:color w:val="000000"/>
          <w:sz w:val="24"/>
          <w:szCs w:val="24"/>
          <w:rtl w:val="0"/>
        </w:rPr>
        <w:t xml:space="preserve">(2), 157–168. https://doi.org/10.32911/as.2025.v18.n2.1232</w:t>
      </w:r>
      <w:r>
        <w:rPr>
          <w:rFonts w:ascii="Times New Roman" w:hAnsi="Times New Roman" w:eastAsia="Times New Roman" w:cs="Times New Roman"/>
          <w:color w:val="000000"/>
          <w:sz w:val="24"/>
          <w:szCs w:val="24"/>
        </w:rPr>
      </w:r>
    </w:p>
    <w:p w14:paraId="000001BF">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Cusme Intriago, R. R., Herrera Martínez, Y. A., Lagla Guishcasho, A. E., &amp; Cruz Aguinda, E. A. (2026). Análisis de estabilidad de taludes para el reservorio de la comunidad de Maca Atapulo. </w:t>
      </w:r>
      <w:r>
        <w:rPr>
          <w:rFonts w:ascii="Times New Roman" w:hAnsi="Times New Roman" w:eastAsia="Times New Roman" w:cs="Times New Roman"/>
          <w:i/>
          <w:iCs/>
          <w:color w:val="000000"/>
          <w:sz w:val="24"/>
          <w:szCs w:val="24"/>
          <w:rtl w:val="0"/>
        </w:rPr>
        <w:t xml:space="preserve">RECIAMUC</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10</w:t>
      </w:r>
      <w:r>
        <w:rPr>
          <w:rFonts w:ascii="Times New Roman" w:hAnsi="Times New Roman" w:eastAsia="Times New Roman" w:cs="Times New Roman"/>
          <w:color w:val="000000"/>
          <w:sz w:val="24"/>
          <w:szCs w:val="24"/>
          <w:rtl w:val="0"/>
        </w:rPr>
        <w:t xml:space="preserve">(1 especial), 189–197. https://doi.org/10.26820/reciamuc/10.(1).especial.2026.189-197</w:t>
      </w:r>
      <w:r>
        <w:rPr>
          <w:rFonts w:ascii="Times New Roman" w:hAnsi="Times New Roman" w:eastAsia="Times New Roman" w:cs="Times New Roman"/>
          <w:color w:val="000000"/>
          <w:sz w:val="24"/>
          <w:szCs w:val="24"/>
        </w:rPr>
      </w:r>
    </w:p>
    <w:p w14:paraId="000001C0">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Dahal, A., &amp; Lombardo, L. (2025). Towards physics-informed neural networks for landslide prediction. </w:t>
      </w:r>
      <w:r>
        <w:rPr>
          <w:rFonts w:ascii="Times New Roman" w:hAnsi="Times New Roman" w:eastAsia="Times New Roman" w:cs="Times New Roman"/>
          <w:i/>
          <w:iCs/>
          <w:color w:val="000000"/>
          <w:sz w:val="24"/>
          <w:szCs w:val="24"/>
          <w:rtl w:val="0"/>
        </w:rPr>
        <w:t xml:space="preserve">Engineering Geology</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344</w:t>
      </w:r>
      <w:r>
        <w:rPr>
          <w:rFonts w:ascii="Times New Roman" w:hAnsi="Times New Roman" w:eastAsia="Times New Roman" w:cs="Times New Roman"/>
          <w:color w:val="000000"/>
          <w:sz w:val="24"/>
          <w:szCs w:val="24"/>
          <w:rtl w:val="0"/>
        </w:rPr>
        <w:t xml:space="preserve">, 107852. https://doi.org/10.1016/j.enggeo.2024.107852</w:t>
      </w:r>
      <w:r>
        <w:rPr>
          <w:rFonts w:ascii="Times New Roman" w:hAnsi="Times New Roman" w:eastAsia="Times New Roman" w:cs="Times New Roman"/>
          <w:color w:val="000000"/>
          <w:sz w:val="24"/>
          <w:szCs w:val="24"/>
        </w:rPr>
      </w:r>
    </w:p>
    <w:p w14:paraId="000001C1">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Dong, X., Li, S., Ma, R., Tian, W., Zhao, K., Xiang, H., Zhu, J., &amp; Qiu, Y. (2025). Cloud-based slope risk monitoring and early warning system for open-pit coal mines: A case study of Zhonglian Runshi.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15</w:t>
      </w:r>
      <w:r>
        <w:rPr>
          <w:rFonts w:ascii="Times New Roman" w:hAnsi="Times New Roman" w:eastAsia="Times New Roman" w:cs="Times New Roman"/>
          <w:color w:val="000000"/>
          <w:sz w:val="24"/>
          <w:szCs w:val="24"/>
          <w:rtl w:val="0"/>
        </w:rPr>
        <w:t xml:space="preserve">, 44396. https://doi.org/10.1038/s41598-025-28190-4</w:t>
      </w:r>
      <w:r>
        <w:rPr>
          <w:rFonts w:ascii="Times New Roman" w:hAnsi="Times New Roman" w:eastAsia="Times New Roman" w:cs="Times New Roman"/>
          <w:color w:val="000000"/>
          <w:sz w:val="24"/>
          <w:szCs w:val="24"/>
        </w:rPr>
      </w:r>
    </w:p>
    <w:p w14:paraId="000001C2">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Du, K., Li, S., &amp; Li, C. (2026). An integrated simulation–AI framework for fast stability evaluation and risk-control-oriented design of open-pit mine slopes. </w:t>
      </w:r>
      <w:r>
        <w:rPr>
          <w:rFonts w:ascii="Times New Roman" w:hAnsi="Times New Roman" w:eastAsia="Times New Roman" w:cs="Times New Roman"/>
          <w:i/>
          <w:iCs/>
          <w:color w:val="000000"/>
          <w:sz w:val="24"/>
          <w:szCs w:val="24"/>
          <w:rtl w:val="0"/>
        </w:rPr>
        <w:t xml:space="preserve">Applied Sciences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16</w:t>
      </w:r>
      <w:r>
        <w:rPr>
          <w:rFonts w:ascii="Times New Roman" w:hAnsi="Times New Roman" w:eastAsia="Times New Roman" w:cs="Times New Roman"/>
          <w:color w:val="000000"/>
          <w:sz w:val="24"/>
          <w:szCs w:val="24"/>
          <w:rtl w:val="0"/>
        </w:rPr>
        <w:t xml:space="preserve">(10), 4932. https://doi.org/10.3390/app16104932</w:t>
      </w:r>
      <w:r>
        <w:rPr>
          <w:rFonts w:ascii="Times New Roman" w:hAnsi="Times New Roman" w:eastAsia="Times New Roman" w:cs="Times New Roman"/>
          <w:color w:val="000000"/>
          <w:sz w:val="24"/>
          <w:szCs w:val="24"/>
        </w:rPr>
      </w:r>
    </w:p>
    <w:p>
      <w:pPr>
        <w:widowControl/>
        <w:spacing w:line="480" w:lineRule="auto" w:after="80"/>
        <w:ind w:left="425" w:hanging="425"/>
      </w:pPr>
      <w:r>
        <w:rPr>
          <w:rFonts w:ascii="Times New Roman" w:hAnsi="Times New Roman"/>
          <w:i w:val="0"/>
          <w:sz w:val="24"/>
        </w:rPr>
        <w:t xml:space="preserve">Field, C. A., &amp; Welsh, A. H. (2007). Bootstrapping clustered data. </w:t>
      </w:r>
      <w:r>
        <w:rPr>
          <w:rFonts w:ascii="Times New Roman" w:hAnsi="Times New Roman"/>
          <w:i/>
          <w:sz w:val="24"/>
        </w:rPr>
        <w:t>Journal of the Royal Statistical Society: Series B (Statistical Methodology), 69</w:t>
      </w:r>
      <w:r>
        <w:rPr>
          <w:rFonts w:ascii="Times New Roman" w:hAnsi="Times New Roman"/>
          <w:i w:val="0"/>
          <w:sz w:val="24"/>
        </w:rPr>
        <w:t>(3), 369–390. https://doi.org/10.1111/j.1467-9868.2007.00593.x</w:t>
      </w:r>
    </w:p>
    <w:p w14:paraId="000001C3">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González Serrano, D. H. (2025). Metodología aplicada al análisis geotécnico y evaluación de la estabilidad de taludes mediante SIG en entornos mineros. </w:t>
      </w:r>
      <w:r>
        <w:rPr>
          <w:rFonts w:ascii="Times New Roman" w:hAnsi="Times New Roman" w:eastAsia="Times New Roman" w:cs="Times New Roman"/>
          <w:i/>
          <w:iCs/>
          <w:color w:val="000000"/>
          <w:sz w:val="24"/>
          <w:szCs w:val="24"/>
          <w:rtl w:val="0"/>
        </w:rPr>
        <w:t xml:space="preserve">Revista Científica de Salud y Desarrollo Humano</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6</w:t>
      </w:r>
      <w:r>
        <w:rPr>
          <w:rFonts w:ascii="Times New Roman" w:hAnsi="Times New Roman" w:eastAsia="Times New Roman" w:cs="Times New Roman"/>
          <w:color w:val="000000"/>
          <w:sz w:val="24"/>
          <w:szCs w:val="24"/>
          <w:rtl w:val="0"/>
        </w:rPr>
        <w:t xml:space="preserve">(4), 797–829. https://doi.org/10.61368/r.s.d.h.v6i4.907</w:t>
      </w:r>
      <w:r>
        <w:rPr>
          <w:rFonts w:ascii="Times New Roman" w:hAnsi="Times New Roman" w:eastAsia="Times New Roman" w:cs="Times New Roman"/>
          <w:color w:val="000000"/>
          <w:sz w:val="24"/>
          <w:szCs w:val="24"/>
        </w:rPr>
      </w:r>
    </w:p>
    <w:p w14:paraId="000001C4">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Guan, Z., &amp; Wang, Y. (2024). Fusion of three-dimensional geotechnical and geophysical data for developing digital twin of underground space. </w:t>
      </w:r>
      <w:r>
        <w:rPr>
          <w:rFonts w:ascii="Times New Roman" w:hAnsi="Times New Roman" w:eastAsia="Times New Roman" w:cs="Times New Roman"/>
          <w:i/>
          <w:iCs/>
          <w:color w:val="000000"/>
          <w:sz w:val="24"/>
          <w:szCs w:val="24"/>
          <w:rtl w:val="0"/>
        </w:rPr>
        <w:t xml:space="preserve">Soils and Foundations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64</w:t>
      </w:r>
      <w:r>
        <w:rPr>
          <w:rFonts w:ascii="Times New Roman" w:hAnsi="Times New Roman" w:eastAsia="Times New Roman" w:cs="Times New Roman"/>
          <w:color w:val="000000"/>
          <w:sz w:val="24"/>
          <w:szCs w:val="24"/>
          <w:rtl w:val="0"/>
        </w:rPr>
        <w:t xml:space="preserve">(6), 101528. https://doi.org/10.1016/j.sandf.2024.101528</w:t>
      </w:r>
      <w:r>
        <w:rPr>
          <w:rFonts w:ascii="Times New Roman" w:hAnsi="Times New Roman" w:eastAsia="Times New Roman" w:cs="Times New Roman"/>
          <w:color w:val="000000"/>
          <w:sz w:val="24"/>
          <w:szCs w:val="24"/>
        </w:rPr>
      </w:r>
    </w:p>
    <w:p w14:paraId="000001C5">
      <w:pPr>
        <w:keepLines w:val="true"/>
        <w:widowControl/>
        <w:pBdr/>
        <w:spacing w:after="80" w:line="480" w:lineRule="auto"/>
        <w:ind w:left="425" w:hanging="425"/>
        <w:rPr>
          <w:rFonts w:ascii="Times New Roman" w:hAnsi="Times New Roman" w:eastAsia="Times New Roman" w:cs="Times New Roman"/>
          <w:sz w:val="24"/>
          <w:szCs w:val="24"/>
        </w:rPr>
      </w:pPr>
      <w:r>
        <w:rPr/>
        <w:t>Gómez Intriago, E. C., Guevara Sánchez, D. F., &amp; Ortiz Hernández, E. (2024). Diseño de estabilidad de talud del sector de la Simbocal, vía Margarita-San Vicente, provincia de Manabí. Polo del Conocimiento, 9(3), 1905–1917. https://doi.org/10.23857/pc.v9i3.6761</w:t>
      </w:r>
    </w:p>
    <w:p w14:paraId="000001C6">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Hamzaban, M.-T., Kanoundoust, S., &amp; Geraili Mikola, R. (2026). Evaluating 2D and 3D slope stability in a complex open-pit mine: A CAD-based numerical study.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16</w:t>
      </w:r>
      <w:r>
        <w:rPr>
          <w:rFonts w:ascii="Times New Roman" w:hAnsi="Times New Roman" w:eastAsia="Times New Roman" w:cs="Times New Roman"/>
          <w:color w:val="000000"/>
          <w:sz w:val="24"/>
          <w:szCs w:val="24"/>
          <w:rtl w:val="0"/>
        </w:rPr>
        <w:t xml:space="preserve">, 28126. https://doi.org/10.1038/s41598-026-58822-2</w:t>
      </w:r>
      <w:r>
        <w:rPr>
          <w:rFonts w:ascii="Times New Roman" w:hAnsi="Times New Roman" w:eastAsia="Times New Roman" w:cs="Times New Roman"/>
          <w:color w:val="000000"/>
          <w:sz w:val="24"/>
          <w:szCs w:val="24"/>
        </w:rPr>
      </w:r>
    </w:p>
    <w:p>
      <w:pPr>
        <w:widowControl/>
        <w:spacing w:line="480" w:lineRule="auto" w:after="80"/>
        <w:ind w:left="425" w:hanging="425"/>
      </w:pPr>
      <w:r>
        <w:rPr>
          <w:rFonts w:ascii="Times New Roman" w:hAnsi="Times New Roman"/>
          <w:i w:val="0"/>
          <w:sz w:val="24"/>
        </w:rPr>
        <w:t xml:space="preserve">Hochreiter, S., &amp; Schmidhuber, J. (1997). Long short-term memory. </w:t>
      </w:r>
      <w:r>
        <w:rPr>
          <w:rFonts w:ascii="Times New Roman" w:hAnsi="Times New Roman"/>
          <w:i/>
          <w:sz w:val="24"/>
        </w:rPr>
        <w:t>Neural Computation, 9</w:t>
      </w:r>
      <w:r>
        <w:rPr>
          <w:rFonts w:ascii="Times New Roman" w:hAnsi="Times New Roman"/>
          <w:i w:val="0"/>
          <w:sz w:val="24"/>
        </w:rPr>
        <w:t>(8), 1735–1780. https://doi.org/10.1162/neco.1997.9.8.1735</w:t>
      </w:r>
    </w:p>
    <w:p>
      <w:pPr>
        <w:widowControl/>
        <w:spacing w:line="480" w:lineRule="auto" w:after="80"/>
        <w:ind w:left="425" w:hanging="425"/>
      </w:pPr>
      <w:r>
        <w:rPr>
          <w:rFonts w:ascii="Times New Roman" w:hAnsi="Times New Roman"/>
          <w:i w:val="0"/>
          <w:sz w:val="24"/>
        </w:rPr>
        <w:t xml:space="preserve">Karniadakis, G. E., Kevrekidis, I. G., Lu, L., Perdikaris, P., Wang, S., &amp; Yang, L. (2021). Physics-informed machine learning. </w:t>
      </w:r>
      <w:r>
        <w:rPr>
          <w:rFonts w:ascii="Times New Roman" w:hAnsi="Times New Roman"/>
          <w:i/>
          <w:sz w:val="24"/>
        </w:rPr>
        <w:t>Nature Reviews Physics, 3</w:t>
      </w:r>
      <w:r>
        <w:rPr>
          <w:rFonts w:ascii="Times New Roman" w:hAnsi="Times New Roman"/>
          <w:i w:val="0"/>
          <w:sz w:val="24"/>
        </w:rPr>
        <w:t>, 422–440. https://doi.org/10.1038/s42254-021-00314-5</w:t>
      </w:r>
    </w:p>
    <w:p>
      <w:pPr>
        <w:widowControl/>
        <w:spacing w:line="480" w:lineRule="auto" w:after="80"/>
        <w:ind w:left="425" w:hanging="425"/>
      </w:pPr>
      <w:r>
        <w:rPr>
          <w:rFonts w:ascii="Times New Roman" w:hAnsi="Times New Roman"/>
          <w:i w:val="0"/>
          <w:sz w:val="24"/>
        </w:rPr>
        <w:t xml:space="preserve">Kingma, D. P., &amp; Ba, J. (2015). </w:t>
      </w:r>
      <w:r>
        <w:rPr>
          <w:rFonts w:ascii="Times New Roman" w:hAnsi="Times New Roman"/>
          <w:i/>
          <w:sz w:val="24"/>
        </w:rPr>
        <w:t>Adam: A method for stochastic optimization.</w:t>
      </w:r>
      <w:r>
        <w:rPr>
          <w:rFonts w:ascii="Times New Roman" w:hAnsi="Times New Roman"/>
          <w:i w:val="0"/>
          <w:sz w:val="24"/>
        </w:rPr>
        <w:t xml:space="preserve"> International Conference on Learning Representations. https://arxiv.org/abs/1412.6980</w:t>
      </w:r>
    </w:p>
    <w:p w14:paraId="000001C7">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Liu, X., Wang, Y., Koo, R. C. H., &amp; Kwan, J. S. H. (2022). Development of a slope digital twin for predicting temporal variation of rainfall-induced slope instability using past slope performance records and monitoring data. </w:t>
      </w:r>
      <w:r>
        <w:rPr>
          <w:rFonts w:ascii="Times New Roman" w:hAnsi="Times New Roman" w:eastAsia="Times New Roman" w:cs="Times New Roman"/>
          <w:i/>
          <w:iCs/>
          <w:color w:val="000000"/>
          <w:sz w:val="24"/>
          <w:szCs w:val="24"/>
          <w:rtl w:val="0"/>
        </w:rPr>
        <w:t xml:space="preserve">Engineering Geology</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308</w:t>
      </w:r>
      <w:r>
        <w:rPr>
          <w:rFonts w:ascii="Times New Roman" w:hAnsi="Times New Roman" w:eastAsia="Times New Roman" w:cs="Times New Roman"/>
          <w:color w:val="000000"/>
          <w:sz w:val="24"/>
          <w:szCs w:val="24"/>
          <w:rtl w:val="0"/>
        </w:rPr>
        <w:t xml:space="preserve">, 106825. https://doi.org/10.1016/j.enggeo.2022.106825</w:t>
      </w:r>
      <w:r>
        <w:rPr>
          <w:rFonts w:ascii="Times New Roman" w:hAnsi="Times New Roman" w:eastAsia="Times New Roman" w:cs="Times New Roman"/>
          <w:color w:val="000000"/>
          <w:sz w:val="24"/>
          <w:szCs w:val="24"/>
        </w:rPr>
      </w:r>
    </w:p>
    <w:p w14:paraId="000001C8">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Liu, Y., &amp; Jia, C. (2026). Integrating deep neural network with elastoplastic analysis: A hybrid approach for slope stability analysis. </w:t>
      </w:r>
      <w:r>
        <w:rPr>
          <w:rFonts w:ascii="Times New Roman" w:hAnsi="Times New Roman" w:eastAsia="Times New Roman" w:cs="Times New Roman"/>
          <w:i/>
          <w:iCs/>
          <w:color w:val="000000"/>
          <w:sz w:val="24"/>
          <w:szCs w:val="24"/>
          <w:rtl w:val="0"/>
        </w:rPr>
        <w:t xml:space="preserve">Environmental Earth Sciences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85</w:t>
      </w:r>
      <w:r>
        <w:rPr>
          <w:rFonts w:ascii="Times New Roman" w:hAnsi="Times New Roman" w:eastAsia="Times New Roman" w:cs="Times New Roman"/>
          <w:color w:val="000000"/>
          <w:sz w:val="24"/>
          <w:szCs w:val="24"/>
          <w:rtl w:val="0"/>
        </w:rPr>
        <w:t xml:space="preserve">(14), 368. https://doi.org/10.1007/s12665-026-13107-9</w:t>
      </w:r>
      <w:r>
        <w:rPr>
          <w:rFonts w:ascii="Times New Roman" w:hAnsi="Times New Roman" w:eastAsia="Times New Roman" w:cs="Times New Roman"/>
          <w:color w:val="000000"/>
          <w:sz w:val="24"/>
          <w:szCs w:val="24"/>
        </w:rPr>
      </w:r>
    </w:p>
    <w:p w14:paraId="000001C9">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Lyu, J., Hu, T., Liu, G., Cao, B., Wang, W., &amp; Li, S. (2024). Stability evaluation of open-pit mine slope based on Bayesian optimization 1D-CNN.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14</w:t>
      </w:r>
      <w:r>
        <w:rPr>
          <w:rFonts w:ascii="Times New Roman" w:hAnsi="Times New Roman" w:eastAsia="Times New Roman" w:cs="Times New Roman"/>
          <w:color w:val="000000"/>
          <w:sz w:val="24"/>
          <w:szCs w:val="24"/>
          <w:rtl w:val="0"/>
        </w:rPr>
        <w:t xml:space="preserve">, 13995. https://doi.org/10.1038/s41598-024-64663-8</w:t>
      </w:r>
      <w:r>
        <w:rPr>
          <w:rFonts w:ascii="Times New Roman" w:hAnsi="Times New Roman" w:eastAsia="Times New Roman" w:cs="Times New Roman"/>
          <w:color w:val="000000"/>
          <w:sz w:val="24"/>
          <w:szCs w:val="24"/>
        </w:rPr>
      </w:r>
    </w:p>
    <w:p w14:paraId="000001CA">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Montúfar Chiriboga, G. J. (2025). Estudio de la estabilidad de taludes en Panamá bajo diferentes condiciones de carga utilizando elementos finitos. </w:t>
      </w:r>
      <w:r>
        <w:rPr>
          <w:rFonts w:ascii="Times New Roman" w:hAnsi="Times New Roman" w:eastAsia="Times New Roman" w:cs="Times New Roman"/>
          <w:i/>
          <w:iCs/>
          <w:color w:val="000000"/>
          <w:sz w:val="24"/>
          <w:szCs w:val="24"/>
          <w:rtl w:val="0"/>
        </w:rPr>
        <w:t xml:space="preserve">Revista Saberes APUDEP</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8</w:t>
      </w:r>
      <w:r>
        <w:rPr>
          <w:rFonts w:ascii="Times New Roman" w:hAnsi="Times New Roman" w:eastAsia="Times New Roman" w:cs="Times New Roman"/>
          <w:color w:val="000000"/>
          <w:sz w:val="24"/>
          <w:szCs w:val="24"/>
          <w:rtl w:val="0"/>
        </w:rPr>
        <w:t xml:space="preserve">(1), 40–54. https://doi.org/10.48204/j.saberes.v8n1.a6780</w:t>
      </w:r>
      <w:r>
        <w:rPr>
          <w:rFonts w:ascii="Times New Roman" w:hAnsi="Times New Roman" w:eastAsia="Times New Roman" w:cs="Times New Roman"/>
          <w:color w:val="000000"/>
          <w:sz w:val="24"/>
          <w:szCs w:val="24"/>
        </w:rPr>
      </w:r>
    </w:p>
    <w:p w14:paraId="000001CB">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Nanda, S., &amp; Patel, S. (2026). Evaluating LEM, FEM, and DFN approaches for rock slope stability across GSI ranges for open-pit mine.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Publicación anticipada en línea. https://doi.org/10.1038/s41598-026-62662-5</w:t>
      </w:r>
      <w:r>
        <w:rPr>
          <w:rFonts w:ascii="Times New Roman" w:hAnsi="Times New Roman" w:eastAsia="Times New Roman" w:cs="Times New Roman"/>
          <w:color w:val="000000"/>
          <w:sz w:val="24"/>
          <w:szCs w:val="24"/>
        </w:rPr>
      </w:r>
    </w:p>
    <w:p w14:paraId="000001CC">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National Aeronautics and Space Administration. (s. f.). </w:t>
      </w:r>
      <w:r>
        <w:rPr>
          <w:rFonts w:ascii="Times New Roman" w:hAnsi="Times New Roman" w:eastAsia="Times New Roman" w:cs="Times New Roman"/>
          <w:i/>
          <w:iCs/>
          <w:color w:val="000000"/>
          <w:sz w:val="24"/>
          <w:szCs w:val="24"/>
          <w:rtl w:val="0"/>
        </w:rPr>
        <w:t xml:space="preserve">Prediction Of Worldwide Energy Resources (POWER)</w:t>
      </w:r>
      <w:r>
        <w:rPr>
          <w:rFonts w:ascii="Times New Roman" w:hAnsi="Times New Roman" w:eastAsia="Times New Roman" w:cs="Times New Roman"/>
          <w:color w:val="000000"/>
          <w:sz w:val="24"/>
          <w:szCs w:val="24"/>
          <w:rtl w:val="0"/>
        </w:rPr>
        <w:t xml:space="preserve"> [Conjunto de datos]. Recuperado el 22 de septiembre de 2026, de https://power.larc.nasa.gov/</w:t>
      </w:r>
      <w:r>
        <w:rPr>
          <w:rFonts w:ascii="Times New Roman" w:hAnsi="Times New Roman" w:eastAsia="Times New Roman" w:cs="Times New Roman"/>
          <w:color w:val="000000"/>
          <w:sz w:val="24"/>
          <w:szCs w:val="24"/>
        </w:rPr>
      </w:r>
    </w:p>
    <w:p w14:paraId="000001CD">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Oliva González, A. O., Berumen Rodríguez, M. A., &amp; Mascareño Jiménez, D. (2023). Procedimiento práctico para evaluar la estabilidad y probabilidad de falla de taludes de corte en el área urbana de Tijuana, México. </w:t>
      </w:r>
      <w:r>
        <w:rPr>
          <w:rFonts w:ascii="Times New Roman" w:hAnsi="Times New Roman" w:eastAsia="Times New Roman" w:cs="Times New Roman"/>
          <w:i/>
          <w:iCs/>
          <w:color w:val="000000"/>
          <w:sz w:val="24"/>
          <w:szCs w:val="24"/>
          <w:rtl w:val="0"/>
        </w:rPr>
        <w:t xml:space="preserve">Revista Ingenio</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20</w:t>
      </w:r>
      <w:r>
        <w:rPr>
          <w:rFonts w:ascii="Times New Roman" w:hAnsi="Times New Roman" w:eastAsia="Times New Roman" w:cs="Times New Roman"/>
          <w:color w:val="000000"/>
          <w:sz w:val="24"/>
          <w:szCs w:val="24"/>
          <w:rtl w:val="0"/>
        </w:rPr>
        <w:t xml:space="preserve">(1), 16–23. https://doi.org/10.22463/2011642X.3364</w:t>
      </w:r>
      <w:r>
        <w:rPr>
          <w:rFonts w:ascii="Times New Roman" w:hAnsi="Times New Roman" w:eastAsia="Times New Roman" w:cs="Times New Roman"/>
          <w:color w:val="000000"/>
          <w:sz w:val="24"/>
          <w:szCs w:val="24"/>
        </w:rPr>
      </w:r>
    </w:p>
    <w:p w14:paraId="000001CE">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Pei, T., Qiu, T., &amp; Shen, C. (2023). Applying knowledge-guided machine learning to slope stability prediction. </w:t>
      </w:r>
      <w:r>
        <w:rPr>
          <w:rFonts w:ascii="Times New Roman" w:hAnsi="Times New Roman" w:eastAsia="Times New Roman" w:cs="Times New Roman"/>
          <w:i/>
          <w:iCs/>
          <w:color w:val="000000"/>
          <w:sz w:val="24"/>
          <w:szCs w:val="24"/>
          <w:rtl w:val="0"/>
        </w:rPr>
        <w:t xml:space="preserve">Journal of Geotechnical and Geoenvironmental Engineering</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149</w:t>
      </w:r>
      <w:r>
        <w:rPr>
          <w:rFonts w:ascii="Times New Roman" w:hAnsi="Times New Roman" w:eastAsia="Times New Roman" w:cs="Times New Roman"/>
          <w:color w:val="000000"/>
          <w:sz w:val="24"/>
          <w:szCs w:val="24"/>
          <w:rtl w:val="0"/>
        </w:rPr>
        <w:t xml:space="preserve">(10), 04023089. https://doi.org/10.1061/JGGEFK.GTENG-11053</w:t>
      </w:r>
      <w:r>
        <w:rPr>
          <w:rFonts w:ascii="Times New Roman" w:hAnsi="Times New Roman" w:eastAsia="Times New Roman" w:cs="Times New Roman"/>
          <w:color w:val="000000"/>
          <w:sz w:val="24"/>
          <w:szCs w:val="24"/>
        </w:rPr>
      </w:r>
    </w:p>
    <w:p w14:paraId="000001CF">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Peña Anampa, I. V., Vera Teves, R. M., Vasquez Ramirez, A. A., &amp; Gálvez Quintana, M. A. (2023). Evaluación del peligro por inestabilidad de taludes en la ruta PE-3S, Abancay. </w:t>
      </w:r>
      <w:r>
        <w:rPr>
          <w:rFonts w:ascii="Times New Roman" w:hAnsi="Times New Roman" w:eastAsia="Times New Roman" w:cs="Times New Roman"/>
          <w:i/>
          <w:iCs/>
          <w:color w:val="000000"/>
          <w:sz w:val="24"/>
          <w:szCs w:val="24"/>
          <w:rtl w:val="0"/>
        </w:rPr>
        <w:t xml:space="preserve">Hatun Yachay Wasi</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w:t>
      </w:r>
      <w:r>
        <w:rPr>
          <w:rFonts w:ascii="Times New Roman" w:hAnsi="Times New Roman" w:eastAsia="Times New Roman" w:cs="Times New Roman"/>
          <w:color w:val="000000"/>
          <w:sz w:val="24"/>
          <w:szCs w:val="24"/>
          <w:rtl w:val="0"/>
        </w:rPr>
        <w:t xml:space="preserve">(2), 40–51. https://doi.org/10.57107/hyw.v2i2.45</w:t>
      </w:r>
      <w:r>
        <w:rPr>
          <w:rFonts w:ascii="Times New Roman" w:hAnsi="Times New Roman" w:eastAsia="Times New Roman" w:cs="Times New Roman"/>
          <w:color w:val="000000"/>
          <w:sz w:val="24"/>
          <w:szCs w:val="24"/>
        </w:rPr>
      </w:r>
    </w:p>
    <w:p w14:paraId="000001D0">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Piciullo, L., Abraham, M. T., Drøsdal, I. N., &amp; Paulsen, E. S. (2025). An operational IoT-based slope stability forecast using a digital twin. </w:t>
      </w:r>
      <w:r>
        <w:rPr>
          <w:rFonts w:ascii="Times New Roman" w:hAnsi="Times New Roman" w:eastAsia="Times New Roman" w:cs="Times New Roman"/>
          <w:i/>
          <w:iCs/>
          <w:color w:val="000000"/>
          <w:sz w:val="24"/>
          <w:szCs w:val="24"/>
          <w:rtl w:val="0"/>
        </w:rPr>
        <w:t xml:space="preserve">Environmental Modelling &amp; Software</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183</w:t>
      </w:r>
      <w:r>
        <w:rPr>
          <w:rFonts w:ascii="Times New Roman" w:hAnsi="Times New Roman" w:eastAsia="Times New Roman" w:cs="Times New Roman"/>
          <w:color w:val="000000"/>
          <w:sz w:val="24"/>
          <w:szCs w:val="24"/>
          <w:rtl w:val="0"/>
        </w:rPr>
        <w:t xml:space="preserve">, 106228. https://doi.org/10.1016/j.envsoft.2024.106228</w:t>
      </w:r>
      <w:r>
        <w:rPr>
          <w:rFonts w:ascii="Times New Roman" w:hAnsi="Times New Roman" w:eastAsia="Times New Roman" w:cs="Times New Roman"/>
          <w:color w:val="000000"/>
          <w:sz w:val="24"/>
          <w:szCs w:val="24"/>
        </w:rPr>
      </w:r>
    </w:p>
    <w:p w14:paraId="000001D1">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Ragam, P., Kushal Kumar, N., Ajith, J. E., Karthik, G., Himanshu, V. K., Sree Machupalli, D., &amp; Ramesh Murlidhar, B. (2024). Estimation of slope stability using ensemble-based hybrid machine learning approaches. </w:t>
      </w:r>
      <w:r>
        <w:rPr>
          <w:rFonts w:ascii="Times New Roman" w:hAnsi="Times New Roman" w:eastAsia="Times New Roman" w:cs="Times New Roman"/>
          <w:i/>
          <w:iCs/>
          <w:color w:val="000000"/>
          <w:sz w:val="24"/>
          <w:szCs w:val="24"/>
          <w:rtl w:val="0"/>
        </w:rPr>
        <w:t xml:space="preserve">Frontiers in Materials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11</w:t>
      </w:r>
      <w:r>
        <w:rPr>
          <w:rFonts w:ascii="Times New Roman" w:hAnsi="Times New Roman" w:eastAsia="Times New Roman" w:cs="Times New Roman"/>
          <w:color w:val="000000"/>
          <w:sz w:val="24"/>
          <w:szCs w:val="24"/>
          <w:rtl w:val="0"/>
        </w:rPr>
        <w:t xml:space="preserve">, 1330609. https://doi.org/10.3389/fmats.2024.1330609</w:t>
      </w:r>
      <w:r>
        <w:rPr>
          <w:rFonts w:ascii="Times New Roman" w:hAnsi="Times New Roman" w:eastAsia="Times New Roman" w:cs="Times New Roman"/>
          <w:color w:val="000000"/>
          <w:sz w:val="24"/>
          <w:szCs w:val="24"/>
        </w:rPr>
      </w:r>
    </w:p>
    <w:p>
      <w:pPr>
        <w:widowControl/>
        <w:spacing w:line="480" w:lineRule="auto" w:after="80"/>
        <w:ind w:left="425" w:hanging="425"/>
      </w:pPr>
      <w:r>
        <w:rPr>
          <w:rFonts w:ascii="Times New Roman" w:hAnsi="Times New Roman"/>
          <w:i w:val="0"/>
          <w:sz w:val="24"/>
        </w:rPr>
        <w:t xml:space="preserve">Raissi, M., Perdikaris, P., &amp; Karniadakis, G. E. (2019). Physics-informed neural networks: A deep learning framework for solving forward and inverse problems involving nonlinear partial differential equations. </w:t>
      </w:r>
      <w:r>
        <w:rPr>
          <w:rFonts w:ascii="Times New Roman" w:hAnsi="Times New Roman"/>
          <w:i/>
          <w:sz w:val="24"/>
        </w:rPr>
        <w:t>Journal of Computational Physics, 378</w:t>
      </w:r>
      <w:r>
        <w:rPr>
          <w:rFonts w:ascii="Times New Roman" w:hAnsi="Times New Roman"/>
          <w:i w:val="0"/>
          <w:sz w:val="24"/>
        </w:rPr>
        <w:t>, 686–707. https://doi.org/10.1016/j.jcp.2018.10.045</w:t>
      </w:r>
    </w:p>
    <w:p w14:paraId="000001D2">
      <w:pPr>
        <w:keepLines w:val="true"/>
        <w:widowControl/>
        <w:pBdr/>
        <w:spacing w:after="80" w:line="480" w:lineRule="auto"/>
        <w:ind w:left="425" w:hanging="425"/>
        <w:rPr>
          <w:rFonts w:ascii="Times New Roman" w:hAnsi="Times New Roman" w:eastAsia="Times New Roman" w:cs="Times New Roman"/>
          <w:sz w:val="24"/>
          <w:szCs w:val="24"/>
        </w:rPr>
      </w:pPr>
      <w:r>
        <w:rPr/>
        <w:t>Sequeira-Arguedas, J. M. (2023). Contexto de inestabilidad de laderas en la Ruta Nacional 613 en 2020, Coto Brus, Costa Rica. Infraestructura Vial, 25(44), 1–14. https://doi.org/10.15517/iv.v25i44.54752</w:t>
      </w:r>
    </w:p>
    <w:p w14:paraId="000001D3">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Tan, W., Wu, S., Li, Y., &amp; Guo, Q. (2025). Digital twins’ application for geotechnical engineering: A review of current status and future directions in China. </w:t>
      </w:r>
      <w:r>
        <w:rPr>
          <w:rFonts w:ascii="Times New Roman" w:hAnsi="Times New Roman" w:eastAsia="Times New Roman" w:cs="Times New Roman"/>
          <w:i/>
          <w:iCs/>
          <w:color w:val="000000"/>
          <w:sz w:val="24"/>
          <w:szCs w:val="24"/>
          <w:rtl w:val="0"/>
        </w:rPr>
        <w:t xml:space="preserve">Applied Sciences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15</w:t>
      </w:r>
      <w:r>
        <w:rPr>
          <w:rFonts w:ascii="Times New Roman" w:hAnsi="Times New Roman" w:eastAsia="Times New Roman" w:cs="Times New Roman"/>
          <w:color w:val="000000"/>
          <w:sz w:val="24"/>
          <w:szCs w:val="24"/>
          <w:rtl w:val="0"/>
        </w:rPr>
        <w:t xml:space="preserve">(15), 8229. https://doi.org/10.3390/app15158229</w:t>
      </w:r>
      <w:r>
        <w:rPr>
          <w:rFonts w:ascii="Times New Roman" w:hAnsi="Times New Roman" w:eastAsia="Times New Roman" w:cs="Times New Roman"/>
          <w:color w:val="000000"/>
          <w:sz w:val="24"/>
          <w:szCs w:val="24"/>
        </w:rPr>
      </w:r>
    </w:p>
    <w:p w14:paraId="000001D4">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Tian, Y., Yang, Y., Ma, L., Qi, X., &amp; Lu, X. (2026). Enhancing the safety assessment of open-pit mine slopes with interpretable, data-driven stacking learning and three-dimensional stability analysis. </w:t>
      </w:r>
      <w:r>
        <w:rPr>
          <w:rFonts w:ascii="Times New Roman" w:hAnsi="Times New Roman" w:eastAsia="Times New Roman" w:cs="Times New Roman"/>
          <w:i/>
          <w:iCs/>
          <w:color w:val="000000"/>
          <w:sz w:val="24"/>
          <w:szCs w:val="24"/>
          <w:rtl w:val="0"/>
        </w:rPr>
        <w:t xml:space="preserve">Engineering Applications of Artificial Intelligence</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177</w:t>
      </w:r>
      <w:r>
        <w:rPr>
          <w:rFonts w:ascii="Times New Roman" w:hAnsi="Times New Roman" w:eastAsia="Times New Roman" w:cs="Times New Roman"/>
          <w:color w:val="000000"/>
          <w:sz w:val="24"/>
          <w:szCs w:val="24"/>
          <w:rtl w:val="0"/>
        </w:rPr>
        <w:t xml:space="preserve">, 114862. https://doi.org/10.1016/j.engappai.2026.114862</w:t>
      </w:r>
      <w:r>
        <w:rPr>
          <w:rFonts w:ascii="Times New Roman" w:hAnsi="Times New Roman" w:eastAsia="Times New Roman" w:cs="Times New Roman"/>
          <w:color w:val="000000"/>
          <w:sz w:val="24"/>
          <w:szCs w:val="24"/>
        </w:rPr>
      </w:r>
    </w:p>
    <w:p w14:paraId="000001D5">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Úcar Navarro, R., Arlegui Crespo, L., Belandria Rodríguez, N., &amp; Toro Mora, R. (2024). Criterios de rotura no lineales para la estabilidad de taludes en macizos rocosos con deslizamiento plano. </w:t>
      </w:r>
      <w:r>
        <w:rPr>
          <w:rFonts w:ascii="Times New Roman" w:hAnsi="Times New Roman" w:eastAsia="Times New Roman" w:cs="Times New Roman"/>
          <w:i/>
          <w:iCs/>
          <w:color w:val="000000"/>
          <w:sz w:val="24"/>
          <w:szCs w:val="24"/>
          <w:rtl w:val="0"/>
        </w:rPr>
        <w:t xml:space="preserve">Geogaceta</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75</w:t>
      </w:r>
      <w:r>
        <w:rPr>
          <w:rFonts w:ascii="Times New Roman" w:hAnsi="Times New Roman" w:eastAsia="Times New Roman" w:cs="Times New Roman"/>
          <w:color w:val="000000"/>
          <w:sz w:val="24"/>
          <w:szCs w:val="24"/>
          <w:rtl w:val="0"/>
        </w:rPr>
        <w:t xml:space="preserve">, 99–102. https://doi.org/10.55407/geogaceta100833</w:t>
      </w:r>
      <w:r>
        <w:rPr>
          <w:rFonts w:ascii="Times New Roman" w:hAnsi="Times New Roman" w:eastAsia="Times New Roman" w:cs="Times New Roman"/>
          <w:color w:val="000000"/>
          <w:sz w:val="24"/>
          <w:szCs w:val="24"/>
        </w:rPr>
      </w:r>
    </w:p>
    <w:p w14:paraId="000001D6">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Wang, S., Zhang, Z., &amp; Wang, C. (2023). Prediction of stability coefficient of open-pit mine slope based on artificial intelligence deep learning algorithm.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13</w:t>
      </w:r>
      <w:r>
        <w:rPr>
          <w:rFonts w:ascii="Times New Roman" w:hAnsi="Times New Roman" w:eastAsia="Times New Roman" w:cs="Times New Roman"/>
          <w:color w:val="000000"/>
          <w:sz w:val="24"/>
          <w:szCs w:val="24"/>
          <w:rtl w:val="0"/>
        </w:rPr>
        <w:t xml:space="preserve">, 12017. https://doi.org/10.1038/s41598-023-38896-y</w:t>
      </w:r>
      <w:r>
        <w:rPr>
          <w:rFonts w:ascii="Times New Roman" w:hAnsi="Times New Roman" w:eastAsia="Times New Roman" w:cs="Times New Roman"/>
          <w:color w:val="000000"/>
          <w:sz w:val="24"/>
          <w:szCs w:val="24"/>
        </w:rPr>
      </w:r>
    </w:p>
    <w:p w14:paraId="000001D7">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Yiğit, A. Y., &amp; Şenol, H. İ. (2025). Surface change and stability analysis in open-pit mines using UAV photogrammetric data and geospatial analysis. </w:t>
      </w:r>
      <w:r>
        <w:rPr>
          <w:rFonts w:ascii="Times New Roman" w:hAnsi="Times New Roman" w:eastAsia="Times New Roman" w:cs="Times New Roman"/>
          <w:i/>
          <w:iCs/>
          <w:color w:val="000000"/>
          <w:sz w:val="24"/>
          <w:szCs w:val="24"/>
          <w:rtl w:val="0"/>
        </w:rPr>
        <w:t xml:space="preserve">Drones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9</w:t>
      </w:r>
      <w:r>
        <w:rPr>
          <w:rFonts w:ascii="Times New Roman" w:hAnsi="Times New Roman" w:eastAsia="Times New Roman" w:cs="Times New Roman"/>
          <w:color w:val="000000"/>
          <w:sz w:val="24"/>
          <w:szCs w:val="24"/>
          <w:rtl w:val="0"/>
        </w:rPr>
        <w:t xml:space="preserve">(7), 472. https://doi.org/10.3390/drones9070472</w:t>
      </w:r>
      <w:r>
        <w:rPr>
          <w:rFonts w:ascii="Times New Roman" w:hAnsi="Times New Roman" w:eastAsia="Times New Roman" w:cs="Times New Roman"/>
          <w:color w:val="000000"/>
          <w:sz w:val="24"/>
          <w:szCs w:val="24"/>
        </w:rPr>
      </w:r>
    </w:p>
    <w:p w14:paraId="000001D8">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Yin, L., Wang, D., Xing, X., Meng, X., &amp; Wu, Y. (2025). Research on 3D stability algorithm of spatial concave slope.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15</w:t>
      </w:r>
      <w:r>
        <w:rPr>
          <w:rFonts w:ascii="Times New Roman" w:hAnsi="Times New Roman" w:eastAsia="Times New Roman" w:cs="Times New Roman"/>
          <w:color w:val="000000"/>
          <w:sz w:val="24"/>
          <w:szCs w:val="24"/>
          <w:rtl w:val="0"/>
        </w:rPr>
        <w:t xml:space="preserve">, 22656. https://doi.org/10.1038/s41598-025-07733-9</w:t>
      </w:r>
      <w:r>
        <w:rPr>
          <w:rFonts w:ascii="Times New Roman" w:hAnsi="Times New Roman" w:eastAsia="Times New Roman" w:cs="Times New Roman"/>
          <w:color w:val="000000"/>
          <w:sz w:val="24"/>
          <w:szCs w:val="24"/>
        </w:rPr>
      </w:r>
    </w:p>
    <w:p w14:paraId="000001D9">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Yuan, J., Liu, G., &amp; Chai, S. (2024). 3D geological fine modeling and dynamic updating method of fault slope in open-pit coal mine. </w:t>
      </w:r>
      <w:r>
        <w:rPr>
          <w:rFonts w:ascii="Times New Roman" w:hAnsi="Times New Roman" w:eastAsia="Times New Roman" w:cs="Times New Roman"/>
          <w:i/>
          <w:iCs/>
          <w:color w:val="000000"/>
          <w:sz w:val="24"/>
          <w:szCs w:val="24"/>
          <w:rtl w:val="0"/>
        </w:rPr>
        <w:t xml:space="preserve">Scientific Reports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14</w:t>
      </w:r>
      <w:r>
        <w:rPr>
          <w:rFonts w:ascii="Times New Roman" w:hAnsi="Times New Roman" w:eastAsia="Times New Roman" w:cs="Times New Roman"/>
          <w:color w:val="000000"/>
          <w:sz w:val="24"/>
          <w:szCs w:val="24"/>
          <w:rtl w:val="0"/>
        </w:rPr>
        <w:t xml:space="preserve">, 29906. https://doi.org/10.1038/s41598-024-81872-3</w:t>
      </w:r>
      <w:r>
        <w:rPr>
          <w:rFonts w:ascii="Times New Roman" w:hAnsi="Times New Roman" w:eastAsia="Times New Roman" w:cs="Times New Roman"/>
          <w:color w:val="000000"/>
          <w:sz w:val="24"/>
          <w:szCs w:val="24"/>
        </w:rPr>
      </w:r>
    </w:p>
    <w:p w14:paraId="000001DA">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Zamora Nevado, R. M., &amp; Medina Vásquez, Y. E. (2023). Diseño de aplicativo en Python como soporte de enseñanza aprendizaje para la estabilidad de taludes. </w:t>
      </w:r>
      <w:r>
        <w:rPr>
          <w:rFonts w:ascii="Times New Roman" w:hAnsi="Times New Roman" w:eastAsia="Times New Roman" w:cs="Times New Roman"/>
          <w:i/>
          <w:iCs/>
          <w:color w:val="000000"/>
          <w:sz w:val="24"/>
          <w:szCs w:val="24"/>
          <w:rtl w:val="0"/>
        </w:rPr>
        <w:t xml:space="preserve">Revista del Instituto de Investigación de la Facultad de Minas, Metalurgia y Ciencias Geográficas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26</w:t>
      </w:r>
      <w:r>
        <w:rPr>
          <w:rFonts w:ascii="Times New Roman" w:hAnsi="Times New Roman" w:eastAsia="Times New Roman" w:cs="Times New Roman"/>
          <w:color w:val="000000"/>
          <w:sz w:val="24"/>
          <w:szCs w:val="24"/>
          <w:rtl w:val="0"/>
        </w:rPr>
        <w:t xml:space="preserve">(52), e25004. https://doi.org/10.15381/iigeo.v26i52.25004</w:t>
      </w:r>
      <w:r>
        <w:rPr>
          <w:rFonts w:ascii="Times New Roman" w:hAnsi="Times New Roman" w:eastAsia="Times New Roman" w:cs="Times New Roman"/>
          <w:color w:val="000000"/>
          <w:sz w:val="24"/>
          <w:szCs w:val="24"/>
        </w:rPr>
      </w:r>
    </w:p>
    <w:p w14:paraId="000001DB">
      <w:pPr>
        <w:keepLines w:val="true"/>
        <w:widowControl/>
        <w:pBdr/>
        <w:spacing w:after="80" w:line="480" w:lineRule="auto"/>
        <w:ind w:left="425" w:hanging="425"/>
        <w:rPr>
          <w:rFonts w:ascii="Times New Roman" w:hAnsi="Times New Roman" w:eastAsia="Times New Roman" w:cs="Times New Roman"/>
          <w:sz w:val="24"/>
          <w:szCs w:val="24"/>
        </w:rPr>
      </w:pPr>
      <w:r>
        <w:rPr>
          <w:rFonts w:ascii="Times New Roman" w:hAnsi="Times New Roman" w:eastAsia="Times New Roman" w:cs="Times New Roman"/>
          <w:color w:val="000000"/>
          <w:sz w:val="24"/>
          <w:szCs w:val="24"/>
          <w:rtl w:val="0"/>
        </w:rPr>
        <w:t xml:space="preserve">Zhang, S., Ding, L., Xie, M., He, X., Yang, R., &amp; Tong, C. (2024). Reliability analysis of slope stability by neural network, principal component analysis, and transfer learning techniques. </w:t>
      </w:r>
      <w:r>
        <w:rPr>
          <w:rFonts w:ascii="Times New Roman" w:hAnsi="Times New Roman" w:eastAsia="Times New Roman" w:cs="Times New Roman"/>
          <w:i/>
          <w:iCs/>
          <w:color w:val="000000"/>
          <w:sz w:val="24"/>
          <w:szCs w:val="24"/>
          <w:rtl w:val="0"/>
        </w:rPr>
        <w:t xml:space="preserve">Journal of Rock Mechanics and Geotechnical Engineering</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16</w:t>
      </w:r>
      <w:r>
        <w:rPr>
          <w:rFonts w:ascii="Times New Roman" w:hAnsi="Times New Roman" w:eastAsia="Times New Roman" w:cs="Times New Roman"/>
          <w:color w:val="000000"/>
          <w:sz w:val="24"/>
          <w:szCs w:val="24"/>
          <w:rtl w:val="0"/>
        </w:rPr>
        <w:t xml:space="preserve">(10), 4034–4045. https://doi.org/10.1016/j.jrmge.2023.06.023</w:t>
      </w:r>
      <w:r>
        <w:rPr>
          <w:rFonts w:ascii="Times New Roman" w:hAnsi="Times New Roman" w:eastAsia="Times New Roman" w:cs="Times New Roman"/>
          <w:color w:val="000000"/>
          <w:sz w:val="24"/>
          <w:szCs w:val="24"/>
        </w:rPr>
      </w:r>
    </w:p>
    <w:p w14:paraId="000001DC">
      <w:pPr>
        <w:keepLines w:val="true"/>
        <w:widowControl/>
        <w:pBdr/>
        <w:spacing w:after="80" w:line="480" w:lineRule="auto"/>
        <w:ind w:left="425" w:hanging="425"/>
        <w:rPr/>
        <w:sectPr>
          <w:footnotePr/>
          <w:endnotePr/>
          <w:type w:val="nextPage"/>
          <w:pgSz w:h="16834" w:orient="portrait" w:w="11909"/>
          <w:pgMar w:top="1224" w:right="1296" w:bottom="1080" w:left="1296" w:header="720" w:footer="720" w:gutter="0"/>
          <w:pgNumType w:start="1"/>
          <w:cols w:num="1" w:sep="0" w:space="1701" w:equalWidth="1"/>
        </w:sectPr>
      </w:pPr>
      <w:r>
        <w:rPr>
          <w:rFonts w:ascii="Times New Roman" w:hAnsi="Times New Roman" w:eastAsia="Times New Roman" w:cs="Times New Roman"/>
          <w:color w:val="000000"/>
          <w:sz w:val="24"/>
          <w:szCs w:val="24"/>
          <w:rtl w:val="0"/>
        </w:rPr>
        <w:t xml:space="preserve">Zhang, Z., Wang, B., Li, Z., Ye, X., Sun, Z., &amp; Dias, D. (2024). Physics-guided neural network-based framework for 3D modeling of slope stability. </w:t>
      </w:r>
      <w:r>
        <w:rPr>
          <w:rFonts w:ascii="Times New Roman" w:hAnsi="Times New Roman" w:eastAsia="Times New Roman" w:cs="Times New Roman"/>
          <w:i/>
          <w:iCs/>
          <w:color w:val="000000"/>
          <w:sz w:val="24"/>
          <w:szCs w:val="24"/>
          <w:rtl w:val="0"/>
        </w:rPr>
        <w:t xml:space="preserve">Computers and Geotechnics</w:t>
      </w:r>
      <w:r>
        <w:rPr>
          <w:rFonts w:ascii="Times New Roman" w:hAnsi="Times New Roman" w:eastAsia="Times New Roman" w:cs="Times New Roman"/>
          <w:color w:val="000000"/>
          <w:sz w:val="24"/>
          <w:szCs w:val="24"/>
          <w:rtl w:val="0"/>
        </w:rPr>
        <w:t xml:space="preserve">, </w:t>
      </w:r>
      <w:r>
        <w:rPr>
          <w:rFonts w:ascii="Times New Roman" w:hAnsi="Times New Roman" w:eastAsia="Times New Roman" w:cs="Times New Roman"/>
          <w:i/>
          <w:iCs/>
          <w:color w:val="000000"/>
          <w:sz w:val="24"/>
          <w:szCs w:val="24"/>
          <w:rtl w:val="0"/>
        </w:rPr>
        <w:t xml:space="preserve">176</w:t>
      </w:r>
      <w:r>
        <w:rPr>
          <w:rFonts w:ascii="Times New Roman" w:hAnsi="Times New Roman" w:eastAsia="Times New Roman" w:cs="Times New Roman"/>
          <w:color w:val="000000"/>
          <w:sz w:val="24"/>
          <w:szCs w:val="24"/>
          <w:rtl w:val="0"/>
        </w:rPr>
        <w:t xml:space="preserve">, 106801. https://doi.org/10.1016/j.compgeo.2024.106801</w:t>
      </w:r>
      <w:r>
        <w:rPr>
          <w:rFonts w:ascii="Times New Roman" w:hAnsi="Times New Roman"/>
          <w:color w:val="000000"/>
          <w:sz w:val="24"/>
          <w:rtl w:val="0"/>
        </w:rPr>
      </w:r>
      <w:r>
        <w:rPr>
          <w:rFonts w:ascii="Times New Roman" w:hAnsi="Times New Roman"/>
          <w:color w:val="000000"/>
          <w:sz w:val="24"/>
        </w:rPr>
      </w:r>
    </w:p>
    <w:p w14:paraId="00000064">
      <w:pPr>
        <w:pStyle w:val="671"/>
        <w:keepNext/>
        <w:widowControl/>
        <w:pBdr/>
        <w:spacing w:before="160" w:line="480" w:lineRule="auto" w:after="80"/>
        <w:ind/>
        <w:jc w:val="center"/>
        <w:rPr>
          <w:rFonts w:ascii="Times New Roman" w:hAnsi="Times New Roman" w:eastAsia="Times New Roman" w:cs="Times New Roman"/>
          <w:sz w:val="24"/>
          <w:szCs w:val="24"/>
        </w:rPr>
      </w:pPr>
      <w:r>
        <w:t>APPENDIX A</w:t>
      </w:r>
    </w:p>
    <w:p w14:paraId="00000065">
      <w:pPr>
        <w:widowControl/>
        <w:pBdr/>
        <w:spacing w:after="80" w:line="480" w:lineRule="auto"/>
        <w:ind w:firstLine="283"/>
        <w:rPr>
          <w:rFonts w:ascii="Times New Roman" w:hAnsi="Times New Roman" w:eastAsia="Times New Roman" w:cs="Times New Roman"/>
          <w:sz w:val="24"/>
          <w:szCs w:val="24"/>
        </w:rPr>
      </w:pPr>
      <w:r>
        <w:rPr/>
        <w:t>Este material suplementario reúne la matriz de 40 antecedentes utilizada para contextualizar el trabajo. Se mantiene fuera del cuerpo principal para preservar el cierre de resultados, discusión y conclusiones.</w:t>
      </w:r>
    </w:p>
    <w:p w14:paraId="00000066">
      <w:pPr>
        <w:keepNext/>
        <w:widowControl/>
        <w:pBdr/>
        <w:spacing w:line="480" w:lineRule="auto" w:after="80"/>
        <w:ind/>
        <w:rPr>
          <w:rFonts w:ascii="Times New Roman" w:hAnsi="Times New Roman" w:eastAsia="Times New Roman" w:cs="Times New Roman"/>
          <w:sz w:val="24"/>
          <w:szCs w:val="24"/>
        </w:rPr>
      </w:pPr>
      <w:r>
        <w:rPr>
          <w:rFonts w:ascii="Times New Roman" w:hAnsi="Times New Roman"/>
          <w:b w:val="0"/>
          <w:i w:val="0"/>
          <w:color w:val="000000"/>
          <w:sz w:val="24"/>
        </w:rPr>
        <w:t xml:space="preserve">Tabla A1</w:t>
      </w:r>
      <w:r>
        <w:rPr>
          <w:rFonts w:ascii="Times New Roman" w:hAnsi="Times New Roman" w:eastAsia="Times New Roman" w:cs="Times New Roman"/>
          <w:color w:val="000000"/>
          <w:sz w:val="24"/>
          <w:szCs w:val="24"/>
        </w:rPr>
      </w:r>
    </w:p>
    <w:p w14:paraId="00000067">
      <w:pPr>
        <w:keepNext w:val="true"/>
        <w:widowControl/>
        <w:pBdr/>
        <w:spacing w:after="80" w:line="480" w:lineRule="auto"/>
        <w:ind w:firstLine="283"/>
        <w:rPr>
          <w:rFonts w:ascii="Times New Roman" w:hAnsi="Times New Roman" w:eastAsia="Times New Roman" w:cs="Times New Roman"/>
          <w:sz w:val="24"/>
          <w:szCs w:val="24"/>
        </w:rPr>
      </w:pPr>
      <w:r>
        <w:rPr>
          <w:rFonts w:ascii="Times New Roman" w:hAnsi="Times New Roman"/>
          <w:b w:val="0"/>
          <w:i w:val="0"/>
          <w:color w:val="000000"/>
          <w:sz w:val="24"/>
        </w:rPr>
        <w:t xml:space="preserve">Matriz de antecedentes con resultados y DOI</w:t>
      </w:r>
      <w:r>
        <w:rPr>
          <w:rFonts w:ascii="Times New Roman" w:hAnsi="Times New Roman" w:eastAsia="Times New Roman" w:cs="Times New Roman"/>
          <w:color w:val="000000"/>
          <w:sz w:val="24"/>
          <w:szCs w:val="24"/>
        </w:rPr>
      </w:r>
    </w:p>
    <w:tbl>
      <w:tblPr>
        <w:tblStyle w:val="681"/>
        <w:jc w:val="center"/>
        <w:tblW w:w="1048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Look w:val="0400" w:firstRow="0" w:lastRow="0" w:firstColumn="0" w:lastColumn="0" w:noHBand="0" w:noVBand="1"/>
      </w:tblPr>
      <w:tblGrid>
        <w:gridCol w:w="560"/>
        <w:gridCol w:w="1880"/>
        <w:gridCol w:w="2340"/>
        <w:gridCol w:w="3480"/>
        <w:gridCol w:w="2220"/>
        <w:tblGridChange w:id="2">
          <w:tblGrid>
            <w:gridCol w:w="560"/>
            <w:gridCol w:w="1880"/>
            <w:gridCol w:w="2340"/>
            <w:gridCol w:w="3480"/>
            <w:gridCol w:w="2220"/>
          </w:tblGrid>
        </w:tblGridChange>
      </w:tblGrid>
      <w:tr>
        <w:trPr>
          <w:cantSplit/>
          <w:tblHeader/>
          <w:tblHeader w:val="true"/>
        </w:trPr>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8">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ID</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9">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Autor (año)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A">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Título del artículo</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B">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Resultados</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c>
          <w:tcPr>
            <w:shd w:val="clear" w:color="auto" w:fill="e7e6e6"/>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shd w:fill="EAEAEA"/>
          </w:tcPr>
          <w:p w14:paraId="0000006C">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b/>
                <w:bCs/>
                <w:color w:val="000000"/>
                <w:sz w:val="20"/>
                <w:szCs w:val="20"/>
                <w:rtl w:val="0"/>
              </w:rPr>
              <w:t xml:space="preserve">DOI / enlace</w:t>
            </w:r>
            <w:r>
              <w:rPr>
                <w:rFonts w:ascii="Times New Roman" w:hAnsi="Times New Roman"/>
                <w:b/>
                <w:color w:val="000000"/>
                <w:sz w:val="20"/>
                <w:rtl w:val="0"/>
              </w:rPr>
            </w:r>
            <w:r>
              <w:rPr>
                <w:rFonts w:ascii="Times New Roman" w:hAnsi="Times New Roman" w:eastAsia="Times New Roman" w:cs="Times New Roman"/>
                <w:b/>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6D">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6E">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Liu, X., Wang, Y., Koo, R. C. H. y Kwan, J. S. H. (2022)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6F">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Development of a slope digital twin for predicting temporal variation of rainfall-induced slope instability using past slope performance records and monitoring data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0">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Propone y valida un gemelo digital de talud que actualiza parámetros hidráulicos y resistentes con lluvia, presión de poros y registros de desempeño; la variación prevista de estabilidad concuerda con una falla observada.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1">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https://doi.org/10.1016/j.enggeo.2022.106825</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2">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3">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Liu, Y. y Jia, C.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4">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Integrating deep neural network with elastoplastic analysis: a hybrid approach for slope stability analysis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5">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PINN con elastoplasticidad de Mohr–Coulomb predice desplazamiento, tensiones y FOS sin un conjunto de entrenamiento preconstruido; los ejemplos validan alta precisión frente a software comercial.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6">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https://doi.org/10.1007/s12665-026-13107-9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7">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8">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Pei, T., Qiu, T. y Shen, C.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9">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Applying Knowledge-Guided Machine Learning to Slope Stability Prediction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A">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modelos híbridos conocimiento-datos y la función de pérdida guiada por conocimiento superan a modelos puramente físicos y puramente basados en datos, y se alinean mejor con el FOS reportado.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B">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https://doi.org/10.1061/JGGEFK.GTENG-11053</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C">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D">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Wang, S., Zhang, Z. y Wang, C.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E">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Prediction of stability coefficient of open-pit mine slope based on artificial intelligence deep learning algorithm</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7F">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algoritmo de aprendizaje profundo estimó FOS de 1.086 antes y 1.227 después del tratamiento, y mejoró la eficiencia de predicción frente al algoritmo tradicional.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0">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https://doi.org/10.1038/s41598-023-38896-y</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1">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2">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Lyu, J., Hu, T., Liu, G., Cao, B., Wang, W. y Li, S.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3">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Stability evaluation of open-pit mine slope based on Bayesian optimization 1D-CNN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4">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Desarrolla una B-1D CNN para evaluar estabilidad de taludes y optimiza sus hiperparámetros con Bayes; el enfoque mejora la extracción de características y el desempeño de clasificación.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5">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https://doi.org/10.1038/s41598-024-64663-8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6">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7">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Zhang, Z., Wang, B., Li, Z., Ye, X., Sun, Z. y Dias, D.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8">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Physics-guided neural network-based framework for 3D modeling of slope stability</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9">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Presenta un PINN sin datos etiquetados para el análisis 3D y un PINN híbrido para excitaciones externas; la validación muestra viabilidad para estabilidad sísmica.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A">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https://doi.org/10.1016/j.compgeo.2024.106801</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B">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C">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Guan, Z. y Wang, Y.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D">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Fusion of three-dimensional geotechnical and geophysical data for developing digital twin of underground space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E">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Propone fusión 3D de datos geotécnicos y geofísicos para construir un modelo confiable de propiedades geotécnicas, base para gemelos digitales del subsuelo.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8F">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https://doi.org/10.1016/j.sandf.2024.101528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0">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1">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Ragam, P., Kushal Kumar, N., Ajith, J. E., Karthik, G., Himanshu, V. K., Sree Machupalli, D. y Ramesh Murlidhar, B.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2">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Estimation of slope stability using ensemble-based hybrid machine learning approaches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3">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Compara MLR, árbol de decisión, RF, XGBoost y un modelo híbrido XGBoost-RF para estimar el FOS de un talud de mina a cielo abierto.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4">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https://doi.org/10.3389/fmats.2024.1330609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5">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6">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Zhang, S., Ding, L., Xie, M., He, X., Yang, R. y Tong, C.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7">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Reliability analysis of slope stability by neural network, principal component analysis, and transfer learning techniques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8">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PCA-NN reduce variables y costo computacional, y PCAeNN-eTL conserva potencial de evaluación con menos datos de entrenamiento para diferentes distribuciones espaciales.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9">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https://doi.org/10.1016/j.jrmge.2023.06.023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A">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B">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Yuan, J., Liu, G. y Chai, S.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C">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3D geological fine modeling and dynamic updating method of fault slope in open-pit coal mine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D">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Desarrolla modelado geológico 3D fino y actualización dinámica de estratos y fallas para que el modelo represente los cambios conforme avanza la excavación.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E">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https://doi.org/10.1038/s41598-024-81872-3</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9F">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0">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Yiğit, A. Y. y Şenol, H. İ.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1">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Surface Change and Stability Analysis in Open-Pit Mines Using UAV Photogrammetric Data and Geospatial Analysis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2">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fotogrametría UAV multitemporal y el análisis M3C2 cuantifican cambios y detectan zonas inestables mediante umbrales de variación, rugosidad y verticalidad.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3">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https://doi.org/10.3390/drones9070472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4">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5">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Dahal, A. y Lombardo, L.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6">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Towards physics-informed neural networks for landslide prediction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7">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Un PINN recupera parámetros geotécnicos desde variables proxy y genera mapas regionales; los resultados abren la posibilidad de predicción casi en tiempo real.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8">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https://doi.org/10.1016/j.enggeo.2024.107852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9">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A">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Yin, L., Wang, D., Xing, X., Meng, X. y Wu, Y.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B">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Research on 3D stability algorithm of spatial concave slope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C">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Deriva un método de equilibrio límite para taludes cóncavos 3D; encuentra una superficie potencial elipsoidal y una relación exponencial entre FOS 3D y radio de curvatura.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D">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https://doi.org/10.1038/s41598-025-07733-9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E">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AF">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Piciullo, L., Abraham, M. T., Drøsdal, I. N. y Paulsen, E. S.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0">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 operational IoT-based slope stability forecast using a digital twin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1">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Integra monitoreo hidrológico en tiempo real, pronóstico meteorológico, modelos numéricos y RF/PR para pronosticar FOS diario a tres días y emitir alertas automáticas.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2">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https://doi.org/10.1016/j.envsoft.2024.106228</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3">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4">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Tan, W., Wu, S., Li, Y. y Guo, Q.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5">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Digital Twins’ Application for Geotechnical Engineering: A Review of Current Status and Future Directions in China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6">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Revisión de gemelos digitales geotécnicos: identifica retos de sensado multi-fuente, modelos geológicos 3D, interoperabilidad, plataformas de ciclo de vida y estándares de datos.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7">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https://doi.org/10.3390/app15158229</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8">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9">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Dong, X., Li, S., Ma, R., Tian, W., Zhao, K., Xiang, H., Zhu, J. y Qiu, Y.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A">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Cloud-based slope risk monitoring and early warning system for openpit coal mines: a case study of Zhonglian Runshi</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B">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EWS en nube combina IoT, LSTM y Dempster–Shafer; en campo logró R² = 0.91, RMSE &lt; 0.11 mm, 69 sensores y menor costo que Transformer.</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C">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https://doi.org/10.1038/s41598-025-28190-4</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D">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E">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Nanda, S. y Patel, S.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BF">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Evaluating LEM, FEM, and DFN approaches for rock slope stability across GSI ranges for open pit mine</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0">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comparación LEM–FEM–DFN muestra que LEM entrega el FoS más alto y DFN el más conservador; la selección depende del GSI y de discontinuidades.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1">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https://doi.org/10.1038/s41598-026-62662-5</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2">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3">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Hamzaban, M.-T., Kanoundoust, S. y Geraili Mikola, R.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4">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Evaluating 2D and 3D slope stability in a complex open-pit mine: a CAD-based numerical study</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5">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modelo 3D predijo FOS global de 1.285 y falla rotacional, mientras los cortes 2D produjeron FOS de 1.04 a 4.11 y no capturaron toda la superficie de falla.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6">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https://doi.org/10.1038/s41598-026-58822-2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7">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E-19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8">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Tian, Y., Yang, Y., Ma, L., Qi, X. y Lu, X.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9">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Enhancing the safety assessment of open-pit mine slopes with interpretable, data-driven stacking learning and three-dimensional stability analysis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A">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Combina equilibrio límite 3D y stacking interpretable; logra AUC de 0.9515 y valida buena precisión en ocho casos reales.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B">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https://doi.org/10.1016/j.engappai.2026.114862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C">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E-20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D">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Du, K., Li, S. y Li, C.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E">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 Integrated Simulation–AI Framework for Fast Stability Evaluation and Risk-Control-Oriented Design of Open-Pit Mine Slopes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CF">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marco simulación–IA emplea escenarios numéricos y BO-SVR; obtiene R² &gt; 0.98 y permite evaluación rápida de riesgo y optimización del ángulo de banco.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0">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https://doi.org/10.3390/app16104932</w:t>
            </w:r>
            <w:r>
              <w:rPr>
                <w:rFonts w:ascii="Times New Roman" w:hAnsi="Times New Roman"/>
                <w:color w:val="000000"/>
                <w:sz w:val="20"/>
                <w:rtl w:val="0"/>
              </w:rPr>
            </w:r>
            <w:r>
              <w:rPr>
                <w:rFonts w:ascii="Times New Roman" w:hAnsi="Times New Roman" w:eastAsia="Times New Roman" w:cs="Times New Roman"/>
                <w:color w:val="000000"/>
                <w:sz w:val="20"/>
                <w:szCs w:val="24"/>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1">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2">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Catari Colque, P. P., Barriga Paria, C. J., Villanueva Ari, C. R., Gomez Velasquez, J. M., Alvarado Ramirez, H. L., Melgar Raymundo, D. R. y Chirinos Quintanilla, E. A.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3">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Optimización del diseño de talud en minería superficial mediante el método de elementos finitos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4">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Para la mina Cuajone, el modelo de elementos finitos recomienda un ángulo interrampa de 43° con FS 1.1 al sur y 38° con FS 1.57 al norte, facilitando un diseño de talud más seguro.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https://doi.org/10.37135/ns.01.15.09</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6">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7">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Bustillos Cotrado, J. A.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8">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bidimensional de estabilidad del talud en una zona de falla geológica en Chinchao, Huánuco, Perú</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9">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análisis de equilibrio límite encontró FS de 0.381 en condición estática y 0.214 en condición pseudoestática; el talud es inestable aunque la falla geológica está inactiva.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https://doi.org/10.37711/repiama.2024.1.1.2</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B">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C">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Cusme Intriago, R. R., Herrera Martínez, Y. A., Lagla Guishcasho, A. E. y Cruz Aguinda, E. A.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D">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de estabilidad de taludes para el reservorio de la comunidad de Maca Atapulo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DE">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análisis Bishop y GEO5 obtuvo un FS promedio de 0.85 en suelo limoso de baja cohesión, por debajo del valor admisible; recomienda refuerzo para reducir la susceptibilidad a deslizamientos.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https://doi.org/10.26820/reciamuc/10.(1).especial.2026.189-197</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0">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1">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Peña Anampa, I. V., Vera Teves, R. M., Vasquez Ramirez, A. A. y Gálvez Quintana, M. A.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2">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Evaluación del peligro por inestabilidad de taludes en la ruta PE-3S, Abancay</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3">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Los cinco subtramos evaluados presentan peligro muy alto y factores de seguridad que indican alta probabilidad de deslizamiento, asociados a saturación, pendiente y lluvia.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https://doi.org/10.57107/hyw.v2i2.45</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5">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6">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Briceño, J., Guillén, M., Belandria, N. y León, F.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7">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de estabilidad de taludes de secciones típicas en la construcción de carreteras a través de modelos numérico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8">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Compara el método de equilibrio límite y el método de elementos finitos en secciones viales de diferentes materiales, y propone dimensiones geométricas de taludes que conservan condiciones de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https://doi.org/10.62876/tekhn.v26i3.6137</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A">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ind w:firstLine="283"/>
            </w:pPr>
            <w:r>
              <w:rPr/>
              <w:t>Gómez Intriago, E. C., Guevara Sánchez, D. F. y Ortiz Hernández, E. (2024)</w:t>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C">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Diseño de estabilidad de talud del sector de la Simbocal, vía Margarita-San Vicente, provincia de Manabí</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D">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estudio integra caracterización geotécnica, topografía, ensayos de laboratorio y modelación para plantear un diseño de talud orientado a reducir el riesgo vial en Simbocal.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https://doi.org/10.23857/pc.v9i3.6761</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EF">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0">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Oliva González, A. O., Berumen Rodríguez, M. A. y Mascareño Jiménez, D.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1">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Procedimiento práctico para evaluar la estabilidad y probabilidad de falla de taludes de corte en el área urbana de Tijuana, México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2">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procedimiento estima el nivel de seguridad y la probabilidad anual de falla para distintas geometrías, sismicidad y saturación; los casos reales muestran que es útil para diseño y corrección de taludes.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https://doi.org/10.22463/2011642X.3364</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4">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5">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Caballero, C., Castillo, P., Castrellón, J. y Rodríguez, S.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6">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geomecánico mediante modelo de estabilidad de laderas en la zona de Bambito (Chiriquí)</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7">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análisis de cuatro estaciones con GeoSlope vinculó los principales factores de riesgo con el material, la estratigrafía y la topografía, e identificó configuraciones favorables a deslizamientos.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https://doi.org/10.33412/rev-ric.v9.2.3846</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9">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S-09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A">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Blas Cano, J. W. y Milla Vergara, E. A.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B">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Caracterización geotécnica para determinar el modelo de estabilización del talud a escala reducida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C">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modelo experimental elevó el FS de 0.86 en el talud natural a 1.20 en el estabilizado, un aumento de 28.33 %.</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https://doi.org/10.15381/iigeo.v26i51.24403</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E">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0FF">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Avellán, E., Carrera, J. y Sánchez, D.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0">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tenso-deformacional del talud ubicado en la Avenida Mariscal Sucre, sector La Comuna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1">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análisis de muestras y escenarios de saturación y sismo identifica al contenido de humedad y al factor sísmico como la combinación crítica para la estabilidad del talud urbano.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https://doi.org/10.53313/gwj62090</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3">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S-11</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4">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Úcar Navarro, R., Arlegui Crespo, L., Belandria Rodríguez, N. y Toro Mora, R.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5">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Criterios de rotura no lineales para la estabilidad de taludes en macizos rocosos con deslizamiento plano</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6">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Compara los criterios no lineales de Úcar y Hoek-Brown para hallar el plano de deslizamiento crítico y el factor de seguridad mínimo en taludes rocosos.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https://doi.org/10.55407/geogaceta100833</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8">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9">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Montúfar Chiriboga, G. J.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A">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Estudio de la estabilidad de taludes en Panamá bajo diferentes condiciones de carga utilizando elementos finitos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B">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GEO5 muestra que la saturación y las sobrecargas incrementan la vulnerabilidad, especialmente en condiciones sísmicas, y pueden comprometer el factor de seguridad en un proyecto residencial.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https://doi.org/10.48204/j.saberes.v8n1.a6780</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D">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E">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Chilon Chilon, R.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0F">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de relaves filtrados para la estabilización física en la conformación de una presa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0">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Las pruebas de relaves filtrados para una presa minera establecen condiciones de seguridad superiores a 1.5 en análisis estático y a 1.0 en condición pseudoestática.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https://doi.org/10.32911/as.2025.v18.n2.1232</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2">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3">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Campos, F., Mora, R., Sequeira, J. y Garnier, M. (2022)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4">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Aplicación de análisis de admisibilidad cinemática y equilibrio límite para optimizar la geometría de explotación de una cantera en el cantón de León Cortes, San José, Costa Rica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5">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caracterización geomecánica y los análisis cinemáticos y de equilibrio límite definen orientaciones de explotación que favorecen taludes estables y una operación más segura de cantera.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https://doi.org/10.15517/rgac.v66i0.49786</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7">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8">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Sequeira-Arguedas, J. M.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9">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Contexto de inestabilidad de laderas en la Ruta Nacional 613 en 2020, Coto Brus, Costa Rica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A">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zonificación regional concluye que al menos el 24 % del corredor es susceptible a remoción en masa, influida por controles geológico-estructurales y eventos extremos de precipitación.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https://doi.org/10.15517/iv.v25i44.54752</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C">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D">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González Serrano, D. H. (2025)</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E">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Metodología aplicada al análisis geotécnico y evaluación de la estabilidad de taludes mediante SIG en entornos mineros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1F">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integración de sondeos, ensayos geotécnicos, SIG, análisis cinemático y medidas de mitigación identifica sectores críticos y eleva los factores de seguridad de la mina por encima de 1.2.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https://doi.org/10.61368/r.s.d.h.v6i4.907</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1">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S-17</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2">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Arias-Valencia, D. C. y Aristizábal-Arias, J. A. (2024)</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3">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Análisis probabilístico de estabilidad de taludes con falla planar en la Comuna Universitaria de la ciudad de Manizales (Colombia)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4">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simulación Monte Carlo con 5000 iteraciones identificó que factores de seguridad determinísticos aceptables pueden coexistir con amenaza alta; el análisis probabilístico sirve para detección temprana.</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https://doi.org/10.4067/S0718-07642024000300001</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6">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S-18</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7">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Anchiraico Alderete, J. K., Orellana Mendoza, E. E., Ayre Balbin, V. y Toykin Mucha, C. R. (2026)</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8">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Tecnologías de la Información aplicadas a la simulación probabilística de estabilidad geotécnica mediante Python</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9">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 herramienta Python obtuvo FS medio de 3.602, β de 4.512 y probabilidad de falla aproximada de 0.00 %, con una discrepancia menor de 1.5 % entre Monte Carlo y Rosenblueth.</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https://doi.org/10.5281/zenodo.21273130</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B">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S-19</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C">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Zamora Nevado, R. M. y Medina Vásquez, Y. E. (2023)</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D">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Diseño de aplicativo en Python como soporte de enseñanza aprendizaje para la estabilidad de taludes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2E">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El aplicativo Python calcula y grafica el FS de un talud mediante una interfaz gráfica; obtuvo FS = 1.26, coincidente con el procedimiento manual.</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https://doi.org/10.15381/iigeo.v26i52.25004</w:t>
            </w:r>
            <w:r>
              <w:rPr>
                <w:rFonts w:ascii="Times New Roman" w:hAnsi="Times New Roman"/>
                <w:color w:val="000000"/>
                <w:sz w:val="20"/>
              </w:rPr>
            </w:r>
          </w:p>
        </w:tc>
      </w:tr>
      <w:tr>
        <w:trPr>
          <w:cantSplit/>
        </w:trPr>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0">
            <w:pPr>
              <w:pBdr/>
              <w:spacing w:after="80" w:line="276" w:lineRule="auto" w:before="80"/>
              <w:ind w:firstLine="283"/>
              <w:jc w:val="center"/>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S-20</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1">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Briceño Balza, J. E., Belandria Rodriguez, N. T. y León Oviedo, F. M. (2022)</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2">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Ubicación y profundidad de la grieta de tracción en taludes con el empleo de modelos numéricos</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14:paraId="00000133">
            <w:pPr>
              <w:pBdr/>
              <w:spacing w:after="80" w:line="276" w:lineRule="auto" w:before="80"/>
              <w:ind w:firstLine="283"/>
              <w:rPr>
                <w:rFonts w:ascii="Times New Roman" w:hAnsi="Times New Roman" w:eastAsia="Times New Roman" w:cs="Times New Roman"/>
                <w:sz w:val="24"/>
                <w:szCs w:val="24"/>
              </w:rPr>
            </w:pPr>
            <w:r>
              <w:rPr>
                <w:rFonts w:ascii="Times New Roman" w:hAnsi="Times New Roman" w:eastAsia="Times New Roman" w:cs="Times New Roman"/>
                <w:color w:val="000000"/>
                <w:sz w:val="20"/>
                <w:szCs w:val="20"/>
                <w:rtl w:val="0"/>
              </w:rPr>
              <w:t xml:space="preserve">Las simulaciones por elementos finitos muestran que al aumentar la altura e inclinación del talud crece la profundidad de la grieta de tracción y disminuyen su distancia a la cara y el factor de seguridad.</w:t>
            </w:r>
            <w:r>
              <w:rPr>
                <w:rFonts w:ascii="Times New Roman" w:hAnsi="Times New Roman"/>
                <w:color w:val="000000"/>
                <w:sz w:val="20"/>
                <w:rtl w:val="0"/>
              </w:rPr>
            </w:r>
            <w:r>
              <w:rPr>
                <w:rFonts w:ascii="Times New Roman" w:hAnsi="Times New Roman" w:eastAsia="Times New Roman" w:cs="Times New Roman"/>
                <w:color w:val="000000"/>
                <w:sz w:val="20"/>
                <w:szCs w:val="24"/>
              </w:rPr>
            </w:r>
          </w:p>
        </w:tc>
        <w:tc>
          <w:tcPr>
            <w:tcMar>
              <w:left w:w="80" w:type="dxa"/>
              <w:top w:w="70" w:type="dxa"/>
              <w:right w:w="80" w:type="dxa"/>
              <w:bottom w:w="70" w:type="dxa"/>
            </w:tcMar>
            <w:vAlign w:val="center"/>
            <w:tcBorders>
              <w:top w:val="single" w:sz="4" w:color="D9D9D9"/>
              <w:left w:val="single" w:sz="4" w:color="D9D9D9"/>
              <w:bottom w:val="single" w:sz="4" w:color="D9D9D9"/>
              <w:right w:val="single" w:sz="4" w:color="D9D9D9"/>
            </w:tcBorders>
          </w:tcPr>
          <w:p>
            <w:pPr>
              <w:pBdr/>
              <w:spacing w:after="80" w:line="276" w:lineRule="auto" w:before="80"/>
              <w:ind w:firstLine="283"/>
              <w:rPr/>
            </w:pPr>
            <w:r>
              <w:rPr>
                <w:rFonts w:ascii="Times New Roman" w:hAnsi="Times New Roman"/>
                <w:color w:val="000000"/>
                <w:sz w:val="20"/>
              </w:rPr>
              <w:t xml:space="preserve">https://doi.org/10.22209/rt.v45n2a04</w:t>
            </w:r>
            <w:r>
              <w:rPr>
                <w:rFonts w:ascii="Times New Roman" w:hAnsi="Times New Roman"/>
                <w:color w:val="000000"/>
                <w:sz w:val="20"/>
              </w:rPr>
            </w:r>
          </w:p>
        </w:tc>
      </w:tr>
    </w:tbl>
    <w:sectPr>
      <w:footnotePr/>
      <w:endnotePr/>
      <w:type w:val="nextPage"/>
      <w:pgSz w:h="11909" w:orient="landscape" w:w="16834"/>
      <w:pgMar w:top="936" w:right="936" w:bottom="936" w:left="936"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rdo">
    <w:panose1 w:val="05040102010807070707"/>
  </w:font>
  <w:font w:name="Gungsuh">
    <w:panose1 w:val="02000603000000000000"/>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s" w:eastAsia="zh-C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70"/>
    <w:next w:val="670"/>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70"/>
    <w:next w:val="670"/>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70"/>
    <w:next w:val="670"/>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671"/>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672"/>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673"/>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674"/>
    <w:uiPriority w:val="9"/>
    <w:pPr>
      <w:pBdr/>
      <w:spacing/>
      <w:ind/>
    </w:pPr>
    <w:rPr>
      <w:rFonts w:ascii="Arial" w:hAnsi="Arial" w:eastAsia="Arial" w:cs="Arial"/>
      <w:i/>
      <w:iCs/>
      <w:color w:val="0f4761" w:themeColor="accent1" w:themeShade="BF"/>
    </w:rPr>
  </w:style>
  <w:style w:type="character" w:styleId="154">
    <w:name w:val="Heading 5 Char"/>
    <w:basedOn w:val="148"/>
    <w:link w:val="675"/>
    <w:uiPriority w:val="9"/>
    <w:pPr>
      <w:pBdr/>
      <w:spacing/>
      <w:ind/>
    </w:pPr>
    <w:rPr>
      <w:rFonts w:ascii="Arial" w:hAnsi="Arial" w:eastAsia="Arial" w:cs="Arial"/>
      <w:color w:val="0f4761" w:themeColor="accent1" w:themeShade="BF"/>
    </w:rPr>
  </w:style>
  <w:style w:type="character" w:styleId="155">
    <w:name w:val="Heading 6 Char"/>
    <w:basedOn w:val="148"/>
    <w:link w:val="676"/>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677"/>
    <w:uiPriority w:val="10"/>
    <w:pPr>
      <w:pBdr/>
      <w:spacing/>
      <w:ind/>
    </w:pPr>
    <w:rPr>
      <w:rFonts w:ascii="Arial" w:hAnsi="Arial" w:eastAsia="Arial" w:cs="Arial"/>
      <w:spacing w:val="-10"/>
      <w:sz w:val="56"/>
      <w:szCs w:val="56"/>
    </w:rPr>
  </w:style>
  <w:style w:type="character" w:styleId="162">
    <w:name w:val="Subtitle Char"/>
    <w:basedOn w:val="148"/>
    <w:link w:val="678"/>
    <w:uiPriority w:val="11"/>
    <w:pPr>
      <w:pBdr/>
      <w:spacing/>
      <w:ind/>
    </w:pPr>
    <w:rPr>
      <w:color w:val="595959" w:themeColor="text1" w:themeTint="A6"/>
      <w:spacing w:val="15"/>
      <w:sz w:val="28"/>
      <w:szCs w:val="28"/>
    </w:rPr>
  </w:style>
  <w:style w:type="paragraph" w:styleId="163">
    <w:name w:val="Quote"/>
    <w:basedOn w:val="670"/>
    <w:next w:val="670"/>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paragraph" w:styleId="165">
    <w:name w:val="List Paragraph"/>
    <w:basedOn w:val="670"/>
    <w:uiPriority w:val="34"/>
    <w:qFormat/>
    <w:pPr>
      <w:pBdr/>
      <w:spacing/>
      <w:ind w:left="720"/>
      <w:contextualSpacing w:val="true"/>
    </w:p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70"/>
    <w:next w:val="670"/>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670"/>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70"/>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70"/>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70"/>
    <w:next w:val="670"/>
    <w:uiPriority w:val="35"/>
    <w:unhideWhenUsed/>
    <w:qFormat/>
    <w:pPr>
      <w:pBdr/>
      <w:spacing w:after="200" w:line="480" w:lineRule="auto"/>
      <w:ind/>
    </w:pPr>
    <w:rPr>
      <w:rFonts w:ascii="Times New Roman" w:hAnsi="Times New Roman"/>
      <w:i/>
      <w:iCs/>
      <w:color w:val="000000"/>
      <w:sz w:val="24"/>
      <w:szCs w:val="18"/>
    </w:rPr>
  </w:style>
  <w:style w:type="paragraph" w:styleId="181">
    <w:name w:val="footnote text"/>
    <w:basedOn w:val="670"/>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70"/>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70"/>
    <w:next w:val="670"/>
    <w:uiPriority w:val="39"/>
    <w:unhideWhenUsed/>
    <w:pPr>
      <w:pBdr/>
      <w:spacing w:after="100"/>
      <w:ind/>
    </w:pPr>
  </w:style>
  <w:style w:type="paragraph" w:styleId="190">
    <w:name w:val="toc 2"/>
    <w:basedOn w:val="670"/>
    <w:next w:val="670"/>
    <w:uiPriority w:val="39"/>
    <w:unhideWhenUsed/>
    <w:pPr>
      <w:pBdr/>
      <w:spacing w:after="100"/>
      <w:ind w:left="220"/>
    </w:pPr>
  </w:style>
  <w:style w:type="paragraph" w:styleId="191">
    <w:name w:val="toc 3"/>
    <w:basedOn w:val="670"/>
    <w:next w:val="670"/>
    <w:uiPriority w:val="39"/>
    <w:unhideWhenUsed/>
    <w:pPr>
      <w:pBdr/>
      <w:spacing w:after="100"/>
      <w:ind w:left="440"/>
    </w:pPr>
  </w:style>
  <w:style w:type="paragraph" w:styleId="192">
    <w:name w:val="toc 4"/>
    <w:basedOn w:val="670"/>
    <w:next w:val="670"/>
    <w:uiPriority w:val="39"/>
    <w:unhideWhenUsed/>
    <w:pPr>
      <w:pBdr/>
      <w:spacing w:after="100"/>
      <w:ind w:left="660"/>
    </w:pPr>
  </w:style>
  <w:style w:type="paragraph" w:styleId="193">
    <w:name w:val="toc 5"/>
    <w:basedOn w:val="670"/>
    <w:next w:val="670"/>
    <w:uiPriority w:val="39"/>
    <w:unhideWhenUsed/>
    <w:pPr>
      <w:pBdr/>
      <w:spacing w:after="100"/>
      <w:ind w:left="880"/>
    </w:pPr>
  </w:style>
  <w:style w:type="paragraph" w:styleId="194">
    <w:name w:val="toc 6"/>
    <w:basedOn w:val="670"/>
    <w:next w:val="670"/>
    <w:uiPriority w:val="39"/>
    <w:unhideWhenUsed/>
    <w:pPr>
      <w:pBdr/>
      <w:spacing w:after="100"/>
      <w:ind w:left="1100"/>
    </w:pPr>
  </w:style>
  <w:style w:type="paragraph" w:styleId="195">
    <w:name w:val="toc 7"/>
    <w:basedOn w:val="670"/>
    <w:next w:val="670"/>
    <w:uiPriority w:val="39"/>
    <w:unhideWhenUsed/>
    <w:pPr>
      <w:pBdr/>
      <w:spacing w:after="100"/>
      <w:ind w:left="1320"/>
    </w:pPr>
  </w:style>
  <w:style w:type="paragraph" w:styleId="196">
    <w:name w:val="toc 8"/>
    <w:basedOn w:val="670"/>
    <w:next w:val="670"/>
    <w:uiPriority w:val="39"/>
    <w:unhideWhenUsed/>
    <w:pPr>
      <w:pBdr/>
      <w:spacing w:after="100"/>
      <w:ind w:left="1540"/>
    </w:pPr>
  </w:style>
  <w:style w:type="paragraph" w:styleId="197">
    <w:name w:val="toc 9"/>
    <w:basedOn w:val="670"/>
    <w:next w:val="670"/>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70"/>
    <w:next w:val="670"/>
    <w:uiPriority w:val="99"/>
    <w:unhideWhenUsed/>
    <w:pPr>
      <w:pBdr/>
      <w:spacing w:after="0" w:afterAutospacing="0"/>
      <w:ind/>
    </w:pPr>
  </w:style>
  <w:style w:type="table" w:styleId="669">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670" w:default="1">
    <w:name w:val="Normal"/>
    <w:pPr>
      <w:pBdr/>
      <w:spacing w:line="480" w:lineRule="auto"/>
      <w:ind/>
    </w:pPr>
    <w:rPr>
      <w:rFonts w:ascii="Times New Roman" w:hAnsi="Times New Roman"/>
      <w:color w:val="000000"/>
      <w:sz w:val="24"/>
    </w:rPr>
  </w:style>
  <w:style w:type="paragraph" w:styleId="671">
    <w:name w:val="Heading 1"/>
    <w:basedOn w:val="670"/>
    <w:next w:val="670"/>
    <w:pPr>
      <w:keepNext w:val="true"/>
      <w:keepLines w:val="true"/>
      <w:pageBreakBefore w:val="false"/>
      <w:pBdr/>
      <w:spacing w:after="120" w:before="400" w:line="480" w:lineRule="auto"/>
      <w:ind/>
    </w:pPr>
    <w:rPr>
      <w:rFonts w:ascii="Times New Roman" w:hAnsi="Times New Roman"/>
      <w:b/>
      <w:color w:val="000000"/>
      <w:sz w:val="24"/>
      <w:szCs w:val="40"/>
    </w:rPr>
  </w:style>
  <w:style w:type="paragraph" w:styleId="672">
    <w:name w:val="Heading 2"/>
    <w:basedOn w:val="670"/>
    <w:next w:val="670"/>
    <w:pPr>
      <w:keepNext w:val="true"/>
      <w:keepLines w:val="true"/>
      <w:pageBreakBefore w:val="false"/>
      <w:pBdr/>
      <w:spacing w:after="120" w:before="360" w:line="480" w:lineRule="auto"/>
      <w:ind/>
    </w:pPr>
    <w:rPr>
      <w:rFonts w:ascii="Times New Roman" w:hAnsi="Times New Roman"/>
      <w:b/>
      <w:bCs w:val="0"/>
      <w:color w:val="000000"/>
      <w:sz w:val="24"/>
      <w:szCs w:val="32"/>
    </w:rPr>
  </w:style>
  <w:style w:type="paragraph" w:styleId="673">
    <w:name w:val="Heading 3"/>
    <w:basedOn w:val="670"/>
    <w:next w:val="670"/>
    <w:pPr>
      <w:keepNext w:val="true"/>
      <w:keepLines w:val="true"/>
      <w:pageBreakBefore w:val="false"/>
      <w:pBdr/>
      <w:spacing w:after="80" w:before="320"/>
      <w:ind/>
    </w:pPr>
    <w:rPr>
      <w:b w:val="0"/>
      <w:bCs w:val="0"/>
      <w:color w:val="434343"/>
      <w:sz w:val="28"/>
      <w:szCs w:val="28"/>
    </w:rPr>
  </w:style>
  <w:style w:type="paragraph" w:styleId="674">
    <w:name w:val="Heading 4"/>
    <w:basedOn w:val="670"/>
    <w:next w:val="670"/>
    <w:pPr>
      <w:keepNext w:val="true"/>
      <w:keepLines w:val="true"/>
      <w:pageBreakBefore w:val="false"/>
      <w:pBdr/>
      <w:spacing w:after="80" w:before="280"/>
      <w:ind/>
    </w:pPr>
    <w:rPr>
      <w:color w:val="666666"/>
      <w:sz w:val="24"/>
      <w:szCs w:val="24"/>
    </w:rPr>
  </w:style>
  <w:style w:type="paragraph" w:styleId="675">
    <w:name w:val="Heading 5"/>
    <w:basedOn w:val="670"/>
    <w:next w:val="670"/>
    <w:pPr>
      <w:keepNext w:val="true"/>
      <w:keepLines w:val="true"/>
      <w:pageBreakBefore w:val="false"/>
      <w:pBdr/>
      <w:spacing w:after="80" w:before="240"/>
      <w:ind/>
    </w:pPr>
    <w:rPr>
      <w:color w:val="666666"/>
      <w:sz w:val="22"/>
      <w:szCs w:val="22"/>
    </w:rPr>
  </w:style>
  <w:style w:type="paragraph" w:styleId="676">
    <w:name w:val="Heading 6"/>
    <w:basedOn w:val="670"/>
    <w:next w:val="670"/>
    <w:pPr>
      <w:keepNext w:val="true"/>
      <w:keepLines w:val="true"/>
      <w:pageBreakBefore w:val="false"/>
      <w:pBdr/>
      <w:spacing w:after="80" w:before="240"/>
      <w:ind/>
    </w:pPr>
    <w:rPr>
      <w:i/>
      <w:iCs/>
      <w:color w:val="666666"/>
      <w:sz w:val="22"/>
      <w:szCs w:val="22"/>
    </w:rPr>
  </w:style>
  <w:style w:type="paragraph" w:styleId="677">
    <w:name w:val="Title"/>
    <w:basedOn w:val="670"/>
    <w:next w:val="670"/>
    <w:pPr>
      <w:keepNext w:val="true"/>
      <w:keepLines w:val="true"/>
      <w:pageBreakBefore w:val="false"/>
      <w:pBdr/>
      <w:spacing w:after="60" w:before="0" w:line="480" w:lineRule="auto"/>
      <w:ind/>
    </w:pPr>
    <w:rPr>
      <w:rFonts w:ascii="Times New Roman" w:hAnsi="Times New Roman"/>
      <w:b/>
      <w:color w:val="000000"/>
      <w:sz w:val="32"/>
      <w:szCs w:val="52"/>
    </w:rPr>
  </w:style>
  <w:style w:type="paragraph" w:styleId="678">
    <w:name w:val="Subtitle"/>
    <w:basedOn w:val="670"/>
    <w:next w:val="670"/>
    <w:pPr>
      <w:keepNext w:val="true"/>
      <w:keepLines w:val="true"/>
      <w:pageBreakBefore w:val="false"/>
      <w:pBdr/>
      <w:spacing w:after="320" w:before="0" w:line="480" w:lineRule="auto"/>
      <w:ind/>
    </w:pPr>
    <w:rPr>
      <w:rFonts w:ascii="Times New Roman" w:hAnsi="Times New Roman" w:eastAsia="Arial" w:cs="Arial"/>
      <w:b/>
      <w:i w:val="0"/>
      <w:iCs w:val="0"/>
      <w:color w:val="000000"/>
      <w:sz w:val="24"/>
      <w:szCs w:val="30"/>
    </w:rPr>
  </w:style>
  <w:style w:type="table" w:styleId="679">
    <w:name w:val="StGen0"/>
    <w:basedOn w:val="66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0">
    <w:name w:val="StGen1"/>
    <w:basedOn w:val="66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1">
    <w:name w:val="StGen2"/>
    <w:basedOn w:val="66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2">
    <w:name w:val="StGen3"/>
    <w:basedOn w:val="669"/>
    <w:pPr>
      <w:pBdr/>
      <w:spacing/>
      <w:ind/>
    </w:pPr>
    <w:tblPr>
      <w:tblStyleRowBandSize w:val="1"/>
      <w:tblStyleColBandSize w:val="1"/>
      <w:tblCellMar>
        <w:left w:w="115" w:type="dxa"/>
        <w:top w:w="0" w:type="dxa"/>
        <w:right w:w="115"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mctellofu@unitru.edu.pe"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coreProperties>
</file>