
<file path=[Content_Types].xml><?xml version="1.0" encoding="utf-8"?>
<Types xmlns="http://schemas.openxmlformats.org/package/2006/content-types">
  <Default Extension="jpg" ContentType="image/jpeg"/>
  <Default Extension="gif" ContentType="image/gif"/>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C683BA" w14:textId="526175BD">
      <w:pPr>
        <w:keepNext w:val="false"/>
        <w:keepLines w:val="true"/>
        <w:widowControl w:val="true"/>
        <w:pBdr/>
        <w:spacing w:after="200" w:before="0" w:line="240" w:lineRule="auto"/>
        <w:ind w:right="3969" w:firstLine="0" w:left="0"/>
        <w:jc w:val="left"/>
        <w:rPr>
          <w:rFonts w:ascii="Times New Roman" w:hAnsi="Times New Roman" w:cs="Times New Roman"/>
          <w:b/>
          <w:bCs/>
          <w:sz w:val="28"/>
          <w:szCs w:val="28"/>
        </w:rPr>
      </w:pPr>
      <w:r>
        <w:rPr>
          <w:rFonts w:ascii="Times New Roman" w:hAnsi="Times New Roman"/>
          <w:b/>
          <w:i w:val="0"/>
          <w:color w:val="000000"/>
          <w:sz w:val="28"/>
          <w:lang w:val="en-GB"/>
        </w:rPr>
        <w:t xml:space="preserve">Semisynthetic evaluation of</w:t>
        <w:br/>
        <w:t xml:space="preserve">FEM LSTM slope displacement</w:t>
        <w:br/>
        <w:t xml:space="preserve">forecasts</w:t>
      </w:r>
      <w:r>
        <w:rPr>
          <w:rFonts w:ascii="Times New Roman" w:hAnsi="Times New Roman" w:cs="Times New Roman"/>
          <w:b/>
          <w:bCs/>
          <w:sz w:val="28"/>
          <w:szCs w:val="28"/>
        </w:rPr>
      </w:r>
    </w:p>
    <w:p w14:paraId="1D369A3E" w14:textId="12E0A417">
      <w:pPr>
        <w:pStyle w:val="864"/>
        <w:keepNext w:val="false"/>
        <w:keepLines w:val="true"/>
        <w:widowControl w:val="true"/>
        <w:pBdr/>
        <w:spacing w:after="200" w:before="0" w:line="240" w:lineRule="auto"/>
        <w:ind w:right="3969" w:firstLine="0" w:left="0"/>
        <w:jc w:val="left"/>
        <w:rPr/>
      </w:pPr>
      <w:r>
        <w:rPr>
          <w:rFonts w:ascii="Times New Roman" w:hAnsi="Times New Roman"/>
          <w:b/>
          <w:i w:val="0"/>
          <w:color w:val="000000"/>
          <w:sz w:val="20"/>
          <w:lang w:val="en-GB"/>
        </w:rPr>
        <w:t xml:space="preserve">Roberto Enrique Quezada-Rodríguez¹*</w:t>
        <w:br/>
        <w:t xml:space="preserve">Melanie Celeste Tello Fuentes¹</w:t>
      </w:r>
      <w:r/>
    </w:p>
    <w:p w14:paraId="263BEE1E" w14:textId="77777777">
      <w:pPr>
        <w:pStyle w:val="866"/>
        <w:keepNext w:val="false"/>
        <w:keepLines w:val="false"/>
        <w:widowControl w:val="true"/>
        <w:pBdr/>
        <w:spacing w:after="0" w:before="0" w:line="240" w:lineRule="auto"/>
        <w:ind w:right="0" w:firstLine="0" w:left="0"/>
        <w:jc w:val="left"/>
        <w:rPr>
          <w:sz w:val="18"/>
          <w:szCs w:val="18"/>
        </w:rPr>
      </w:pPr>
      <w:r>
        <w:rPr>
          <w:rFonts w:ascii="Times New Roman" w:hAnsi="Times New Roman"/>
          <w:b w:val="0"/>
          <w:i w:val="0"/>
          <w:color w:val="000000"/>
          <w:sz w:val="18"/>
          <w:lang w:val="en-GB"/>
        </w:rPr>
        <w:t xml:space="preserve">¹Universidad Nacional de Trujillo, Ciudad Universitaria, Av. Juan Pablo II S/N, Urb. San Andrés, Trujillo, La Libertad, Peru</w:t>
      </w:r>
      <w:r>
        <w:rPr>
          <w:sz w:val="18"/>
          <w:szCs w:val="18"/>
        </w:rPr>
      </w:r>
    </w:p>
    <w:p w14:paraId="263BEE1E" w14:textId="77777777">
      <w:pPr>
        <w:pStyle w:val="866"/>
        <w:keepNext w:val="false"/>
        <w:keepLines w:val="false"/>
        <w:widowControl w:val="true"/>
        <w:pBdr/>
        <w:spacing w:after="200" w:before="0" w:line="240" w:lineRule="auto"/>
        <w:ind w:right="0" w:firstLine="0" w:left="0"/>
        <w:jc w:val="left"/>
        <w:rPr>
          <w:sz w:val="18"/>
          <w:szCs w:val="18"/>
        </w:rPr>
      </w:pPr>
      <w:r/>
      <w:hyperlink r:id="rId17" w:tooltip="https://orcid.org/0009-0004-0869-3881" w:history="1">
        <w:r>
          <w:rPr>
            <w:rFonts w:ascii="Times New Roman" w:hAnsi="Times New Roman"/>
            <w:sz w:val="18"/>
          </w:rPr>
          <w:t xml:space="preserve">Roberto ORCID: 0009-0004-0869-3881</w:t>
        </w:r>
      </w:hyperlink>
      <w:r>
        <w:t xml:space="preserve">    </w:t>
      </w:r>
      <w:hyperlink r:id="rId18" w:tooltip="https://orcid.org/0009-0007-4728-138X" w:history="1">
        <w:r>
          <w:rPr>
            <w:rFonts w:ascii="Times New Roman" w:hAnsi="Times New Roman"/>
            <w:sz w:val="18"/>
          </w:rPr>
          <w:t xml:space="preserve">Melanie ORCID: 0009-0007-4728-138X</w:t>
        </w:r>
      </w:hyperlink>
      <w:r/>
      <w:r>
        <w:rPr>
          <w:sz w:val="18"/>
          <w:szCs w:val="18"/>
        </w:rPr>
      </w:r>
    </w:p>
    <w:p w14:paraId="7D7D0650" w14:textId="3C89D021">
      <w:pPr>
        <w:keepNext w:val="true"/>
        <w:keepLines w:val="false"/>
        <w:widowControl w:val="true"/>
        <w:pBdr/>
        <w:spacing w:after="0" w:before="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Abstract</w:t>
      </w:r>
      <w:r>
        <w:rPr>
          <w:rFonts w:ascii="Times New Roman" w:hAnsi="Times New Roman" w:cs="Times New Roman"/>
          <w:b/>
          <w:bCs/>
          <w:sz w:val="20"/>
          <w:szCs w:val="20"/>
        </w:rPr>
      </w:r>
    </w:p>
    <w:p w14:paraId="4068306F" w14:textId="77777777">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This study evaluates a semisynthetic prototype for forecasting slope displacement using a two-dimensional finite element model (FEM),</w:t>
      </w:r>
      <w:r>
        <w:rPr>
          <w:rFonts w:ascii="Times New Roman" w:hAnsi="Times New Roman"/>
          <w:b w:val="0"/>
          <w:i w:val="0"/>
          <w:color w:val="000000"/>
          <w:sz w:val="20"/>
          <w:lang w:val="en-GB"/>
        </w:rPr>
        <w:t xml:space="preserve"> a long short-term memory network (LSTM), and a residual correction constrained by monotonicity. The experimental TA-01 slope uses an assumed geometry and material properties, daily NASA POWER reanalysis rainfall for a point near Cerro de Pasco, Peru, duri</w:t>
      </w:r>
      <w:r>
        <w:rPr>
          <w:rFonts w:ascii="Times New Roman" w:hAnsi="Times New Roman"/>
          <w:b w:val="0"/>
          <w:i w:val="0"/>
          <w:color w:val="000000"/>
          <w:sz w:val="20"/>
          <w:lang w:val="en-GB"/>
        </w:rPr>
        <w:t xml:space="preserve">ng 2020 to 2025, and 500 simulated scenarios with 24 hourly states each. Pore pressures and displacements are simulated. Persistence, ridge regression, LSTM and the hybrid were compared at one-hour and six-hour horizons using disjoint rainfall dates and tw</w:t>
      </w:r>
      <w:r>
        <w:rPr>
          <w:rFonts w:ascii="Times New Roman" w:hAnsi="Times New Roman"/>
          <w:b w:val="0"/>
          <w:i w:val="0"/>
          <w:color w:val="000000"/>
          <w:sz w:val="20"/>
          <w:lang w:val="en-GB"/>
        </w:rPr>
        <w:t xml:space="preserve">o chronological tests. Uncertainty was estimated using 5000 resamples clustered by rainfall date. In the date-separated test, hybrid mean absolute error was 0.00000798 mm at one hour and 0.00006176 mm at six hours, compared with 0.00000858 mm and 0.0000633</w:t>
      </w:r>
      <w:r>
        <w:rPr>
          <w:rFonts w:ascii="Times New Roman" w:hAnsi="Times New Roman"/>
          <w:b w:val="0"/>
          <w:i w:val="0"/>
          <w:color w:val="000000"/>
          <w:sz w:val="20"/>
          <w:lang w:val="en-GB"/>
        </w:rPr>
        <w:t xml:space="preserve">2 mm for LSTM. LSTM performed better in 2024 and the hybrid in 2025; all four paired 95 percent confidence intervals included zero. The hybrid was more sensitive to noisy and missing inputs. The workflow supports controlled evaluation of physical simulatio</w:t>
      </w:r>
      <w:r>
        <w:rPr>
          <w:rFonts w:ascii="Times New Roman" w:hAnsi="Times New Roman"/>
          <w:b w:val="0"/>
          <w:i w:val="0"/>
          <w:color w:val="000000"/>
          <w:sz w:val="20"/>
          <w:lang w:val="en-GB"/>
        </w:rPr>
        <w:t xml:space="preserve">n and temporal learning, but does not establish a consistent advantage for residual correction or validate operational mine alerts. The very small errors describe reproduction of the numerical generator and require assessment against its storage precision.</w:t>
      </w:r>
      <w:r>
        <w:rPr>
          <w:rFonts w:ascii="Times New Roman" w:hAnsi="Times New Roman" w:cs="Times New Roman"/>
          <w:sz w:val="20"/>
          <w:szCs w:val="20"/>
        </w:rPr>
      </w:r>
    </w:p>
    <w:p w14:paraId="1CF279C7" w14:textId="7816F873">
      <w:pPr>
        <w:keepNext w:val="false"/>
        <w:keepLines w:val="false"/>
        <w:widowControl w:val="true"/>
        <w:pBdr/>
        <w:spacing w:after="0" w:before="200" w:line="240" w:lineRule="auto"/>
        <w:ind w:right="0" w:firstLine="0" w:left="0"/>
        <w:jc w:val="left"/>
        <w:rPr>
          <w:rFonts w:ascii="Times New Roman" w:hAnsi="Times New Roman" w:cs="Times New Roman"/>
          <w:sz w:val="20"/>
          <w:szCs w:val="20"/>
        </w:rPr>
      </w:pPr>
      <w:r>
        <w:rPr>
          <w:rFonts w:ascii="Times New Roman" w:hAnsi="Times New Roman"/>
          <w:b w:val="0"/>
          <w:i w:val="0"/>
          <w:color w:val="000000"/>
          <w:sz w:val="20"/>
          <w:lang w:val="en-GB"/>
        </w:rPr>
        <w:t xml:space="preserve">Keywords: Slope stability, Finite element modelling, LSTM, Physics-guided learning, Semisynthetic data</w:t>
      </w:r>
      <w:r>
        <w:rPr>
          <w:rFonts w:ascii="Times New Roman" w:hAnsi="Times New Roman" w:cs="Times New Roman"/>
          <w:sz w:val="20"/>
          <w:szCs w:val="20"/>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1. Introduction</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Slope stability is critical to the continuity and safety of open-pit mining. Excavation progressively chan</w:t>
      </w:r>
      <w:r>
        <w:rPr>
          <w:rFonts w:ascii="Times New Roman" w:hAnsi="Times New Roman"/>
          <w:b w:val="0"/>
          <w:i w:val="0"/>
          <w:color w:val="000000"/>
          <w:sz w:val="20"/>
          <w:lang w:val="en-GB"/>
        </w:rPr>
        <w:t xml:space="preserve">ges rock-mass geometry, stress conditions, infiltration and pore pressure. An isolated estimate of the factor of safety (FoS) may therefore be insufficient when geotechnical and operational conditions vary over time. Wang et al. (2023) reported that deep l</w:t>
      </w:r>
      <w:r>
        <w:rPr>
          <w:rFonts w:ascii="Times New Roman" w:hAnsi="Times New Roman"/>
          <w:b w:val="0"/>
          <w:i w:val="0"/>
          <w:color w:val="000000"/>
          <w:sz w:val="20"/>
          <w:lang w:val="en-GB"/>
        </w:rPr>
        <w:t xml:space="preserve">earning facilitated prediction of a stability coefficient in their study. Forecasts of displacement trends, pore pressure and stability could support inspection, evacuation and bench redesign if their performance and thresholds were validated for the site.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Conventional stability analyses, including limit equilibrium and finite element methods, explicitly represent geometry, strength and boundary condition</w:t>
      </w:r>
      <w:r>
        <w:rPr>
          <w:rFonts w:ascii="Times New Roman" w:hAnsi="Times New Roman"/>
          <w:b w:val="0"/>
          <w:i w:val="0"/>
          <w:color w:val="000000"/>
          <w:sz w:val="20"/>
          <w:lang w:val="en-GB"/>
        </w:rPr>
        <w:t xml:space="preserve">s. This physical basis helps interpret failure mechanisms and investigate rainfall, excavation and material-property scenarios. However, results depend on uncertain parameters and updates that may not keep pace with field monitoring. Liu et al. (2022) comp</w:t>
      </w:r>
      <w:r>
        <w:rPr>
          <w:rFonts w:ascii="Times New Roman" w:hAnsi="Times New Roman"/>
          <w:b w:val="0"/>
          <w:i w:val="0"/>
          <w:color w:val="000000"/>
          <w:sz w:val="20"/>
          <w:lang w:val="en-GB"/>
        </w:rPr>
        <w:t xml:space="preserve">ared the evolution of a slope digital twin with an observed failure associated with extreme rainfall. Their study illustrates the importance of updating and checking the model against performance records and observations; TA-01 lacks that field comparison.</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Geotechnical sensors, weather stations, Internet of Things systems a</w:t>
      </w:r>
      <w:r>
        <w:rPr>
          <w:rFonts w:ascii="Times New Roman" w:hAnsi="Times New Roman"/>
          <w:b w:val="0"/>
          <w:i w:val="0"/>
          <w:color w:val="000000"/>
          <w:sz w:val="20"/>
          <w:lang w:val="en-GB"/>
        </w:rPr>
        <w:t xml:space="preserve">nd photogrammetry have increased the availability of time series for this purpose. Nevertheless, purely data-driven models may yield difficult-to-interpret or physically inconsistent predictions, particularly in poorly represented conditions. Pei et al. (2</w:t>
      </w:r>
      <w:r>
        <w:rPr>
          <w:rFonts w:ascii="Times New Roman" w:hAnsi="Times New Roman"/>
          <w:b w:val="0"/>
          <w:i w:val="0"/>
          <w:color w:val="000000"/>
          <w:sz w:val="20"/>
          <w:lang w:val="en-GB"/>
        </w:rPr>
        <w:t xml:space="preserve">023) incorporated domain knowledge into machine learning and reported predictive advantages in the datasets they examined. This motivates investigation of geotechnical constraints, but does not imply that any physical correction will improve any predictor.</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Digital twins connect a computational representation of a slope with observations and updating mechanisms. Piciullo et al. (2025) integrated hydrological monitoring, meteorology, numerical modelling and machine learning to produce rolling stabi</w:t>
      </w:r>
      <w:r>
        <w:rPr>
          <w:rFonts w:ascii="Times New Roman" w:hAnsi="Times New Roman"/>
          <w:b w:val="0"/>
          <w:i w:val="0"/>
          <w:color w:val="000000"/>
          <w:sz w:val="20"/>
          <w:lang w:val="en-GB"/>
        </w:rPr>
        <w:t xml:space="preserve">lity forecasts. Their operational application differs from TA-01. The present study examines a semisynthetic configuration that retains a mechanical FEM response and temporal dependence; its update frequency and usefulness for mine alerts are not measured.</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closest studies address different parts of the problem. Liu et al. (2022) and Piciullo et al. (2025) updated forecast</w:t>
      </w:r>
      <w:r>
        <w:rPr>
          <w:rFonts w:ascii="Times New Roman" w:hAnsi="Times New Roman"/>
          <w:b w:val="0"/>
          <w:i w:val="0"/>
          <w:color w:val="000000"/>
          <w:sz w:val="20"/>
          <w:lang w:val="en-GB"/>
        </w:rPr>
        <w:t xml:space="preserve">s using observed data; Pei et al. (2023) incorporated domain knowledge into learning; and Zhang, Z., et al. (2024) imposed equations and boundary conditions in a three-dimensional framework. Table 1 defines the specific scope of TA-01 without claiming abso</w:t>
      </w:r>
      <w:r>
        <w:rPr>
          <w:rFonts w:ascii="Times New Roman" w:hAnsi="Times New Roman"/>
          <w:b w:val="0"/>
          <w:i w:val="0"/>
          <w:color w:val="000000"/>
          <w:sz w:val="20"/>
          <w:lang w:val="en-GB"/>
        </w:rPr>
        <w:t xml:space="preserve">lute priority: a traceable semisynthetic testbed comparing LSTM with a monotonic residual correction across rainfall dates. The methodological question is what this correction contributes within a controlled FEM generator before field validity is asserted.</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TA-01 integrates a two-dimensional elastic FEM, a temporal LSTM model, a residual correction guided by monotonic relationships, and evaluation us</w:t>
      </w:r>
      <w:r>
        <w:rPr>
          <w:rFonts w:ascii="Times New Roman" w:hAnsi="Times New Roman"/>
          <w:b w:val="0"/>
          <w:i w:val="0"/>
          <w:color w:val="000000"/>
          <w:sz w:val="20"/>
          <w:lang w:val="en-GB"/>
        </w:rPr>
        <w:t xml:space="preserve">ing separated rainfall dates and test years. The experiment does not validate end-to-end latency, operational alerts, excavation changes, a strength-reduction FoS, or a continuous physics-informed neural network (PINN) satisfying governing field equations.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contribution is a software evaluation under a controlled generator. Scenario identifiers and rainfall dates allow each window to be traced, events to be separated between datasets, and comparisons to be repeated. The main fi</w:t>
      </w:r>
      <w:r>
        <w:rPr>
          <w:rFonts w:ascii="Times New Roman" w:hAnsi="Times New Roman"/>
          <w:b w:val="0"/>
          <w:i w:val="0"/>
          <w:color w:val="000000"/>
          <w:sz w:val="20"/>
          <w:lang w:val="en-GB"/>
        </w:rPr>
        <w:t xml:space="preserve">nding is that a plausible monotonic constraint does not guarantee lower error when the test period changes and may increase sensitivity to degraded inputs. Displacements and geotechnical variables are simulated; only rainfall comes from an external source.</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1.1. Positioning against related studies</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Table 1 compares the most directly related studies from 2022 to 2025, selected because they combine at least two of the following: slope updating, physical knowledge, temporal learning, monitoring data or numerical verification.</w:t>
      </w:r>
      <w:r>
        <w:rPr>
          <w:rFonts w:ascii="Times New Roman" w:hAnsi="Times New Roman"/>
          <w:b w:val="0"/>
          <w:i w:val="0"/>
          <w:color w:val="000000"/>
          <w:sz w:val="20"/>
          <w:lang w:val="en-GB"/>
        </w:rPr>
        <w:t xml:space="preserve"> The comparison distinguishes monotonic constraints from a field-equation PINN. A broader contextual map of forty works is provided in Appendix A, Table A1; it is a literature inventory rather than a systematic review or an independent validation of TA-01.</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1. </w:t>
      </w:r>
      <w:r>
        <w:rPr>
          <w:rFonts w:ascii="Times New Roman" w:hAnsi="Times New Roman"/>
          <w:b w:val="0"/>
          <w:sz w:val="20"/>
        </w:rPr>
        <w:t xml:space="preserve">Scope comparison with directly related studies. This synthesis is not a systematic review.</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1587"/>
        <w:gridCol w:w="2098"/>
        <w:gridCol w:w="2098"/>
        <w:gridCol w:w="1644"/>
        <w:gridCol w:w="2211"/>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sz w:val="18"/>
              </w:rPr>
              <w:t xml:space="preserve">Study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sz w:val="18"/>
              </w:rPr>
              <w:t xml:space="preserve">Data</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sz w:val="18"/>
              </w:rPr>
              <w:t xml:space="preserve">Physical component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sz w:val="18"/>
              </w:rPr>
              <w:t xml:space="preserve">Temporal model</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sz w:val="18"/>
              </w:rPr>
              <w:t xml:space="preserve">Reported validation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val="0"/>
                <w:sz w:val="18"/>
              </w:rPr>
              <w:t xml:space="preserve">Liu et al. (2022)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Monitoring and observed performance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Updated stability model</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val="0"/>
                <w:sz w:val="18"/>
              </w:rPr>
              <w:t xml:space="preserve">Temporal evolution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val="0"/>
                <w:sz w:val="18"/>
              </w:rPr>
              <w:t xml:space="preserve">Observed failure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val="0"/>
                <w:sz w:val="18"/>
              </w:rPr>
              <w:t xml:space="preserve">Pei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Stability datasets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Knowledge-guided loss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val="0"/>
                <w:sz w:val="18"/>
              </w:rPr>
              <w:t xml:space="preserve">Not the focus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val="0"/>
                <w:sz w:val="18"/>
              </w:rPr>
              <w:t xml:space="preserve">Physical and data-driven model comparisons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val="0"/>
                <w:sz w:val="18"/>
              </w:rPr>
              <w:t xml:space="preserve">Zhang, Z.,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Numerical cases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Equations and boundary conditions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val="0"/>
                <w:sz w:val="18"/>
              </w:rPr>
              <w:t xml:space="preserve">External excitation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val="0"/>
                <w:sz w:val="18"/>
              </w:rPr>
              <w:t xml:space="preserve">Numerical reference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val="0"/>
                <w:sz w:val="18"/>
              </w:rPr>
              <w:t xml:space="preserve">Piciullo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IoT monitoring and weather data</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Numerical models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val="0"/>
                <w:sz w:val="18"/>
              </w:rPr>
              <w:t xml:space="preserve">Rolling forecasts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val="0"/>
                <w:sz w:val="18"/>
              </w:rPr>
              <w:t xml:space="preserve">Documented operational use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87" w:type="dxa"/>
            <w:vAlign w:val="center"/>
          </w:tcPr>
          <w:p>
            <w:pPr>
              <w:pStyle w:val="864"/>
              <w:pBdr/>
              <w:spacing w:after="0" w:before="0" w:line="240" w:lineRule="auto"/>
              <w:ind w:right="0" w:firstLine="0" w:left="0"/>
              <w:jc w:val="left"/>
              <w:rPr/>
            </w:pPr>
            <w:r>
              <w:rPr>
                <w:rFonts w:ascii="Times New Roman" w:hAnsi="Times New Roman"/>
                <w:b w:val="0"/>
                <w:sz w:val="18"/>
              </w:rPr>
              <w:t xml:space="preserve">This study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External rainfall and simulated response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FEM 2D and aggregate monotonicity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644" w:type="dxa"/>
            <w:vAlign w:val="center"/>
          </w:tcPr>
          <w:p>
            <w:pPr>
              <w:pStyle w:val="864"/>
              <w:pBdr/>
              <w:spacing w:after="0" w:before="0" w:line="240" w:lineRule="auto"/>
              <w:ind w:right="0" w:firstLine="0" w:left="0"/>
              <w:jc w:val="left"/>
              <w:rPr/>
            </w:pPr>
            <w:r>
              <w:rPr>
                <w:rFonts w:ascii="Times New Roman" w:hAnsi="Times New Roman"/>
                <w:b w:val="0"/>
                <w:sz w:val="18"/>
              </w:rPr>
              <w:t xml:space="preserve">LSTM at 1 h and 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11" w:type="dxa"/>
            <w:vAlign w:val="center"/>
          </w:tcPr>
          <w:p>
            <w:pPr>
              <w:pStyle w:val="864"/>
              <w:pBdr/>
              <w:spacing w:after="0" w:before="0" w:line="240" w:lineRule="auto"/>
              <w:ind w:right="0" w:firstLine="0" w:left="0"/>
              <w:jc w:val="left"/>
              <w:rPr/>
            </w:pPr>
            <w:r>
              <w:rPr>
                <w:rFonts w:ascii="Times New Roman" w:hAnsi="Times New Roman"/>
                <w:b w:val="0"/>
                <w:sz w:val="18"/>
              </w:rPr>
              <w:t xml:space="preserve">Disjoint dates; 2024 and 2025</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1.2. Research questions</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Four questions are evaluated within the TA-01 experiment:</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RQ1. How does the mean absolute error (MAE) of persistence, ridge, LSTM and the hybrid change at 1 h and 6 h with disjoint rainfall dates and chronological splits?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RQ2. Does monotonic residual correction provide a consistent predictive improvement over LSTM across the test years?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RQ3. How much does hybrid performance degrade with 5% input noise and 30% randomly missing held-out inputs?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RQ4. What internal agreement do the FEM implementation and the spatial physics-informed extreme learning machine/radial basis function (PIELM/RBF) approximation achieve within the same discrete operator?</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RQ1 is addressed by Tables 3 and 4; RQ2 by the rainfall-date-clustered paired intervals in Figure 3; RQ3 by Table 6 and Figure 5; and RQ4 by the FEM and spatial checks in Table 5 and Figure 2. The conclusions retain the scope of these evaluations.</w:t>
      </w:r>
      <w:r>
        <w:rPr>
          <w:rFonts w:ascii="Times New Roman" w:hAnsi="Times New Roman" w:cs="Times New Roman"/>
          <w:sz w:val="20"/>
          <w:szCs w:val="20"/>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2. Methods</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methods connect the mechanical generator to temporal forecasts and their evaluation. The following subsections describe data provenance, model coupling, partitioning and reproducibility.</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2.1. Prototype architecture and traceability</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workflow separates scenario generation, mechanical simula</w:t>
      </w:r>
      <w:r>
        <w:rPr>
          <w:rFonts w:ascii="Times New Roman" w:hAnsi="Times New Roman"/>
          <w:b w:val="0"/>
          <w:i w:val="0"/>
          <w:color w:val="000000"/>
          <w:sz w:val="20"/>
          <w:lang w:val="en-GB"/>
        </w:rPr>
        <w:t xml:space="preserve">tion, window construction, training and validation. Each prediction retains its rainfall date and scenario identifier, allowing partitions without shared dates or scenarios and tracing reported metrics to validation files. Figure 1 summarises the workflow.</w:t>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908184"/>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jpg"/>
                        <pic:cNvPicPr>
                          <a:picLocks noChangeAspect="1"/>
                        </pic:cNvPicPr>
                        <pic:nvPr/>
                      </pic:nvPicPr>
                      <pic:blipFill rotWithShape="1">
                        <a:blip r:embed="rId19"/>
                        <a:stretch/>
                      </pic:blipFill>
                      <pic:spPr bwMode="auto">
                        <a:xfrm>
                          <a:off x="0" y="0"/>
                          <a:ext cx="6120000" cy="2908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89pt;height:228.99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1. </w:t>
      </w:r>
      <w:r>
        <w:rPr>
          <w:rFonts w:ascii="Times New Roman" w:hAnsi="Times New Roman"/>
          <w:b w:val="0"/>
          <w:sz w:val="20"/>
        </w:rPr>
        <w:t xml:space="preserve">Data flow and evaluation of the semisynthetic TA-01 prototype. LHS: Latin hypercube sampling. This schematic describes the experiment rather than a field monitoring system.</w:t>
      </w:r>
      <w:r>
        <w:rPr>
          <w:rFonts w:ascii="Times New Roman" w:hAnsi="Times New Roman" w:eastAsia="Calibri" w:cs="Times New Roman"/>
          <w:sz w:val="20"/>
          <w:szCs w:val="20"/>
          <w14:ligatures w14:val="none"/>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2.2. Case design and data provenance</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TA-01 is an experimental slope defined in the project rather than an instrumented mine. Its section is 100 m high and 160 m wide, with five benches and three material zones: soil, weathered material and rock. Mechanical and hydraulic p</w:t>
      </w:r>
      <w:r>
        <w:rPr>
          <w:rFonts w:ascii="Times New Roman" w:hAnsi="Times New Roman"/>
          <w:b w:val="0"/>
          <w:i w:val="0"/>
          <w:color w:val="000000"/>
          <w:sz w:val="20"/>
          <w:lang w:val="en-GB"/>
        </w:rPr>
        <w:t xml:space="preserve">roperties were sampled within assumed ranges using Latin hypercube sampling (LHS). The dataset contains 500 scenarios with 24 hourly states each, giving 12000 records, with seed 20260915. All scenarios share the geometry and have an assigned rainfall date.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Daily reanalysis rainfall was obtained from NASA POWER/MERRA-2 for the point 10.68° S, 76.26° W during 2020–2025 (National Aeronautics and Space Administration [NASA], n.d.). The source file contains no hourly observations; the g</w:t>
      </w:r>
      <w:r>
        <w:rPr>
          <w:rFonts w:ascii="Times New Roman" w:hAnsi="Times New Roman"/>
          <w:b w:val="0"/>
          <w:i w:val="0"/>
          <w:color w:val="000000"/>
          <w:sz w:val="20"/>
          <w:lang w:val="en-GB"/>
        </w:rPr>
        <w:t xml:space="preserve">enerator distributed each daily total into assumed rectangular profiles lasting 6, 12 or 24 h. Pore pressures, displacements and safety indices were simulated rather than measured by sensors. This distinction is retained in data storage and interpretation.</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2.3. Mechanical model and prediction target</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in-house FEM uses constant-strain triangular elements in plane strain, isotropic linear elasticity, self-weight and pore-pressure loading formulated using a Biot coefficient. The base is fixed and horizontal displacement is restrained at the left boun</w:t>
      </w:r>
      <w:r>
        <w:rPr>
          <w:rFonts w:ascii="Times New Roman" w:hAnsi="Times New Roman"/>
          <w:b w:val="0"/>
          <w:i w:val="0"/>
          <w:color w:val="000000"/>
          <w:sz w:val="20"/>
          <w:lang w:val="en-GB"/>
        </w:rPr>
        <w:t xml:space="preserve">dary. A quasi-static state is solved each hour. Hydrology is approximated by infiltration and drainage; the FEM does not solve a transient spatial flow field. The evaluated quantity is the maximum rainfall-induced displacement relative to the initial dry s</w:t>
      </w:r>
      <w:r>
        <w:rPr>
          <w:rFonts w:ascii="Times New Roman" w:hAnsi="Times New Roman"/>
          <w:b w:val="0"/>
          <w:i w:val="0"/>
          <w:color w:val="000000"/>
          <w:sz w:val="20"/>
          <w:lang w:val="en-GB"/>
        </w:rPr>
        <w:t xml:space="preserve">tate, in millimetres, stored as rainfall_induced_max_displacement_mm. The network learns the change between the origin and target hours and reconstructs the target-hour value. This quantity must not be interpreted as the total displacement of a real slope.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visualiser also calculates a local index from </w:t>
      </w:r>
      <w:r>
        <w:rPr>
          <w:rFonts w:ascii="Times New Roman" w:hAnsi="Times New Roman"/>
          <w:b w:val="0"/>
          <w:i w:val="0"/>
          <w:color w:val="000000"/>
          <w:sz w:val="20"/>
          <w:lang w:val="en-GB"/>
        </w:rPr>
        <w:t xml:space="preserve">effective stresses and the Mohr–Coulomb criterion. This is not a FoS obtained through nonlinear strength reduction. An external strength-reduction exercise is retained as a separate reference; it neither labels training data nor validates the in-house FEM.</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2.4. Mathematical coupling</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At each hour t, the quasi-static mechanica</w:t>
      </w:r>
      <w:r>
        <w:rPr>
          <w:rFonts w:ascii="Times New Roman" w:hAnsi="Times New Roman"/>
          <w:b w:val="0"/>
          <w:i w:val="0"/>
          <w:color w:val="000000"/>
          <w:sz w:val="20"/>
          <w:lang w:val="en-GB"/>
        </w:rPr>
        <w:t xml:space="preserve">l state is represented by Equation 1. The parameter vector θ groups geometry and properties, uₜ is the displacement vector, f_g is gravitational loading, f_p incorporates pore-pressure loading, K is the global stiffness matrix and pₜ denotes pore pressure.</w:t>
      </w:r>
      <w:r>
        <w:rPr>
          <w:rFonts w:ascii="Times New Roman" w:hAnsi="Times New Roman" w:cs="Times New Roman"/>
          <w:sz w:val="20"/>
          <w:szCs w:val="20"/>
        </w:rPr>
      </w:r>
    </w:p>
    <w:p w14:paraId="34EC1D43" w14:textId="592D63C8">
      <w:pPr>
        <w:keepNext w:val="false"/>
        <w:keepLines w:val="false"/>
        <w:widowControl w:val="true"/>
        <w:pBdr/>
        <w:tabs>
          <w:tab w:val="center" w:leader="none" w:pos="4592"/>
          <w:tab w:val="right" w:leader="none" w:pos="9638"/>
        </w:tabs>
        <w:spacing w:after="200" w:before="200" w:line="240" w:lineRule="auto"/>
        <w:ind w:right="0" w:firstLine="0" w:left="0"/>
        <w:jc w:val="center"/>
        <w:rPr>
          <w:rFonts w:ascii="Times New Roman" w:hAnsi="Times New Roman" w:cs="Times New Roman"/>
          <w:sz w:val="20"/>
          <w:szCs w:val="20"/>
        </w:rPr>
      </w:pPr>
      <w:r>
        <w:tab/>
      </w:r>
      <m:oMath>
        <m:r>
          <m:rPr/>
          <m:t>K(θ)</m:t>
        </m:r>
        <m:sSub>
          <m:sSubPr>
            <m:ctrlPr/>
          </m:sSubPr>
          <m:e>
            <m:r>
              <m:rPr/>
              <m:t>u</m:t>
            </m:r>
          </m:e>
          <m:sub>
            <m:r>
              <m:rPr/>
              <m:t>t</m:t>
            </m:r>
          </m:sub>
        </m:sSub>
        <m:r>
          <m:rPr/>
          <m:t> = </m:t>
        </m:r>
        <m:sSub>
          <m:sSubPr>
            <m:ctrlPr/>
          </m:sSubPr>
          <m:e>
            <m:r>
              <m:rPr/>
              <m:t>f</m:t>
            </m:r>
          </m:e>
          <m:sub>
            <m:r>
              <m:rPr/>
              <m:t>g</m:t>
            </m:r>
          </m:sub>
        </m:sSub>
        <m:r>
          <m:rPr/>
          <m:t>(θ) + </m:t>
        </m:r>
        <m:sSub>
          <m:sSubPr>
            <m:ctrlPr/>
          </m:sSubPr>
          <m:e>
            <m:r>
              <m:rPr/>
              <m:t>f</m:t>
            </m:r>
          </m:e>
          <m:sub>
            <m:r>
              <m:rPr/>
              <m:t>p</m:t>
            </m:r>
          </m:sub>
        </m:sSub>
        <m:r>
          <m:rPr/>
          <m:t>(</m:t>
        </m:r>
        <m:sSub>
          <m:sSubPr>
            <m:ctrlPr/>
          </m:sSubPr>
          <m:e>
            <m:r>
              <m:rPr/>
              <m:t>p</m:t>
            </m:r>
          </m:e>
          <m:sub>
            <m:r>
              <m:rPr/>
              <m:t>t</m:t>
            </m:r>
          </m:sub>
        </m:sSub>
        <m:r>
          <m:rPr/>
          <m:t>, θ)</m:t>
        </m:r>
      </m:oMath>
      <w:r>
        <w:rPr>
          <w:rFonts w:ascii="Times New Roman" w:hAnsi="Times New Roman"/>
          <w:sz w:val="20"/>
        </w:rPr>
        <w:tab/>
        <w:t xml:space="preserve">(1)</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LSTM receives six hourly states and the future rainfall known in the experiment. The hybrid adds a residual correction to the standardised LSTM output. In Equations 2 and 3, yₜ is the current cumulative target displacement, </w:t>
      </w:r>
      <w:r>
        <w:rPr>
          <w:rFonts w:ascii="Times New Roman" w:hAnsi="Times New Roman"/>
          <w:b w:val="0"/>
          <w:i w:val="0"/>
          <w:color w:val="000000"/>
          <w:sz w:val="20"/>
          <w:lang w:val="en-GB"/>
        </w:rPr>
        <w:t xml:space="preserve">h the forecast horizon, qψ the standardised target change predicted by LSTM, and cφ the standardised correction. The mean μΔ and standard deviation σΔ of the target change are estimated from training data only. X and Z collect the temporal and correction i</w:t>
      </w:r>
      <w:r>
        <w:rPr>
          <w:rFonts w:ascii="Times New Roman" w:hAnsi="Times New Roman"/>
          <w:b w:val="0"/>
          <w:i w:val="0"/>
          <w:color w:val="000000"/>
          <w:sz w:val="20"/>
          <w:lang w:val="en-GB"/>
        </w:rPr>
        <w:t xml:space="preserve">nputs, including future rainfall. The maximum operator prevents the final forecast from falling below yₜ. In Equation 4, r is cumulative future rainfall and s the simulated safety index; the derivatives apply only to cφ with all other inputs held constant.</w:t>
      </w:r>
      <w:r>
        <w:rPr>
          <w:rFonts w:ascii="Times New Roman" w:hAnsi="Times New Roman" w:cs="Times New Roman"/>
          <w:sz w:val="20"/>
          <w:szCs w:val="20"/>
        </w:rPr>
      </w:r>
    </w:p>
    <w:p w14:paraId="34EC1D43" w14:textId="592D63C8">
      <w:pPr>
        <w:keepNext w:val="false"/>
        <w:keepLines w:val="false"/>
        <w:widowControl w:val="true"/>
        <w:pBdr/>
        <w:tabs>
          <w:tab w:val="center" w:leader="none" w:pos="4592"/>
          <w:tab w:val="right" w:leader="none" w:pos="9638"/>
        </w:tabs>
        <w:spacing w:after="200" w:before="200" w:line="240" w:lineRule="auto"/>
        <w:ind w:right="0" w:firstLine="0" w:left="0"/>
        <w:jc w:val="center"/>
        <w:rPr>
          <w:rFonts w:ascii="Times New Roman" w:hAnsi="Times New Roman" w:cs="Times New Roman"/>
          <w:sz w:val="20"/>
          <w:szCs w:val="20"/>
        </w:rPr>
      </w:pPr>
      <w:r>
        <w:tab/>
      </w:r>
      <m:oMath>
        <m:sSub>
          <m:sSubPr>
            <m:ctrlPr/>
          </m:sSubPr>
          <m:e>
            <m:acc>
              <m:accPr>
                <m:chr m:val="̂"/>
                <m:ctrlPr/>
              </m:accPr>
              <m:e>
                <m:r>
                  <m:rPr/>
                  <m:t>y</m:t>
                </m:r>
              </m:e>
            </m:acc>
          </m:e>
          <m:sub>
            <m:r>
              <m:rPr/>
              <m:t>LSTM</m:t>
            </m:r>
          </m:sub>
        </m:sSub>
        <m:r>
          <m:rPr/>
          <m:t>(t+h) = max{</m:t>
        </m:r>
        <m:sSub>
          <m:sSubPr>
            <m:ctrlPr/>
          </m:sSubPr>
          <m:e>
            <m:r>
              <m:rPr/>
              <m:t>y</m:t>
            </m:r>
          </m:e>
          <m:sub>
            <m:r>
              <m:rPr/>
              <m:t>t</m:t>
            </m:r>
          </m:sub>
        </m:sSub>
        <m:r>
          <m:rPr/>
          <m:t>, </m:t>
        </m:r>
        <m:sSub>
          <m:sSubPr>
            <m:ctrlPr/>
          </m:sSubPr>
          <m:e>
            <m:r>
              <m:rPr/>
              <m:t>y</m:t>
            </m:r>
          </m:e>
          <m:sub>
            <m:r>
              <m:rPr/>
              <m:t>t</m:t>
            </m:r>
          </m:sub>
        </m:sSub>
        <m:r>
          <m:rPr/>
          <m:t> + </m:t>
        </m:r>
        <m:sSub>
          <m:sSubPr>
            <m:ctrlPr/>
          </m:sSubPr>
          <m:e>
            <m:r>
              <m:rPr/>
              <m:t>μ</m:t>
            </m:r>
          </m:e>
          <m:sub>
            <m:r>
              <m:rPr/>
              <m:t>Δ</m:t>
            </m:r>
          </m:sub>
        </m:sSub>
        <m:r>
          <m:rPr/>
          <m:t> + </m:t>
        </m:r>
        <m:sSub>
          <m:sSubPr>
            <m:ctrlPr/>
          </m:sSubPr>
          <m:e>
            <m:r>
              <m:rPr/>
              <m:t>σ</m:t>
            </m:r>
          </m:e>
          <m:sub>
            <m:r>
              <m:rPr/>
              <m:t>Δ</m:t>
            </m:r>
          </m:sub>
        </m:sSub>
        <m:sSub>
          <m:sSubPr>
            <m:ctrlPr/>
          </m:sSubPr>
          <m:e>
            <m:r>
              <m:rPr/>
              <m:t>q</m:t>
            </m:r>
          </m:e>
          <m:sub>
            <m:r>
              <m:rPr/>
              <m:t>ψ</m:t>
            </m:r>
          </m:sub>
        </m:sSub>
        <m:r>
          <m:rPr/>
          <m:t>(</m:t>
        </m:r>
        <m:sSub>
          <m:sSubPr>
            <m:ctrlPr/>
          </m:sSubPr>
          <m:e>
            <m:r>
              <m:rPr/>
              <m:t>X</m:t>
            </m:r>
          </m:e>
          <m:sub>
            <m:r>
              <m:rPr/>
              <m:t>t,h</m:t>
            </m:r>
          </m:sub>
        </m:sSub>
        <m:r>
          <m:rPr/>
          <m:t>)</m:t>
        </m:r>
        <m:r>
          <m:rPr/>
          <m:t>}</m:t>
        </m:r>
      </m:oMath>
      <w:r>
        <w:rPr>
          <w:rFonts w:ascii="Times New Roman" w:hAnsi="Times New Roman"/>
          <w:sz w:val="20"/>
        </w:rPr>
        <w:tab/>
        <w:t xml:space="preserve">(2)</w:t>
      </w:r>
      <w:r>
        <w:rPr>
          <w:rFonts w:ascii="Times New Roman" w:hAnsi="Times New Roman" w:cs="Times New Roman"/>
          <w:sz w:val="20"/>
          <w:szCs w:val="20"/>
        </w:rPr>
      </w:r>
    </w:p>
    <w:p w14:paraId="34EC1D43" w14:textId="592D63C8">
      <w:pPr>
        <w:keepNext w:val="false"/>
        <w:keepLines w:val="false"/>
        <w:widowControl w:val="true"/>
        <w:pBdr/>
        <w:tabs>
          <w:tab w:val="center" w:leader="none" w:pos="4592"/>
          <w:tab w:val="right" w:leader="none" w:pos="9638"/>
        </w:tabs>
        <w:spacing w:after="200" w:before="200" w:line="240" w:lineRule="auto"/>
        <w:ind w:right="0" w:firstLine="0" w:left="0"/>
        <w:jc w:val="center"/>
        <w:rPr>
          <w:rFonts w:ascii="Times New Roman" w:hAnsi="Times New Roman" w:cs="Times New Roman"/>
          <w:sz w:val="20"/>
          <w:szCs w:val="20"/>
        </w:rPr>
      </w:pPr>
      <w:r>
        <w:tab/>
      </w:r>
      <m:oMath>
        <m:sSub>
          <m:sSubPr>
            <m:ctrlPr/>
          </m:sSubPr>
          <m:e>
            <m:acc>
              <m:accPr>
                <m:chr m:val="̂"/>
                <m:ctrlPr/>
              </m:accPr>
              <m:e>
                <m:r>
                  <m:rPr/>
                  <m:t>y</m:t>
                </m:r>
              </m:e>
            </m:acc>
          </m:e>
          <m:sub>
            <m:r>
              <m:rPr/>
              <m:t>H</m:t>
            </m:r>
          </m:sub>
        </m:sSub>
        <m:r>
          <m:rPr/>
          <m:t>(t+h) = max{</m:t>
        </m:r>
        <m:sSub>
          <m:sSubPr>
            <m:ctrlPr/>
          </m:sSubPr>
          <m:e>
            <m:r>
              <m:rPr/>
              <m:t>y</m:t>
            </m:r>
          </m:e>
          <m:sub>
            <m:r>
              <m:rPr/>
              <m:t>t</m:t>
            </m:r>
          </m:sub>
        </m:sSub>
        <m:r>
          <m:rPr/>
          <m:t>, </m:t>
        </m:r>
        <m:sSub>
          <m:sSubPr>
            <m:ctrlPr/>
          </m:sSubPr>
          <m:e>
            <m:r>
              <m:rPr/>
              <m:t>y</m:t>
            </m:r>
          </m:e>
          <m:sub>
            <m:r>
              <m:rPr/>
              <m:t>t</m:t>
            </m:r>
          </m:sub>
        </m:sSub>
        <m:r>
          <m:rPr/>
          <m:t> + </m:t>
        </m:r>
        <m:sSub>
          <m:sSubPr>
            <m:ctrlPr/>
          </m:sSubPr>
          <m:e>
            <m:r>
              <m:rPr/>
              <m:t>μ</m:t>
            </m:r>
          </m:e>
          <m:sub>
            <m:r>
              <m:rPr/>
              <m:t>Δ</m:t>
            </m:r>
          </m:sub>
        </m:sSub>
        <m:r>
          <m:rPr/>
          <m:t> + </m:t>
        </m:r>
        <m:sSub>
          <m:sSubPr>
            <m:ctrlPr/>
          </m:sSubPr>
          <m:e>
            <m:r>
              <m:rPr/>
              <m:t>σ</m:t>
            </m:r>
          </m:e>
          <m:sub>
            <m:r>
              <m:rPr/>
              <m:t>Δ</m:t>
            </m:r>
          </m:sub>
        </m:sSub>
        <m:r>
          <m:rPr/>
          <m:t>[</m:t>
        </m:r>
        <m:sSub>
          <m:sSubPr>
            <m:ctrlPr/>
          </m:sSubPr>
          <m:e>
            <m:r>
              <m:rPr/>
              <m:t>q</m:t>
            </m:r>
          </m:e>
          <m:sub>
            <m:r>
              <m:rPr/>
              <m:t>ψ</m:t>
            </m:r>
          </m:sub>
        </m:sSub>
        <m:r>
          <m:rPr/>
          <m:t>(</m:t>
        </m:r>
        <m:sSub>
          <m:sSubPr>
            <m:ctrlPr/>
          </m:sSubPr>
          <m:e>
            <m:r>
              <m:rPr/>
              <m:t>X</m:t>
            </m:r>
          </m:e>
          <m:sub>
            <m:r>
              <m:rPr/>
              <m:t>t,h</m:t>
            </m:r>
          </m:sub>
        </m:sSub>
        <m:r>
          <m:rPr/>
          <m:t>)</m:t>
        </m:r>
        <m:r>
          <m:rPr/>
          <m:t> + </m:t>
        </m:r>
        <m:sSub>
          <m:sSubPr>
            <m:ctrlPr/>
          </m:sSubPr>
          <m:e>
            <m:r>
              <m:rPr/>
              <m:t>c</m:t>
            </m:r>
          </m:e>
          <m:sub>
            <m:r>
              <m:rPr/>
              <m:t>φ</m:t>
            </m:r>
          </m:sub>
        </m:sSub>
        <m:r>
          <m:rPr/>
          <m:t>(</m:t>
        </m:r>
        <m:sSub>
          <m:sSubPr>
            <m:ctrlPr/>
          </m:sSubPr>
          <m:e>
            <m:r>
              <m:rPr/>
              <m:t>Z</m:t>
            </m:r>
          </m:e>
          <m:sub>
            <m:r>
              <m:rPr/>
              <m:t>t,h</m:t>
            </m:r>
          </m:sub>
        </m:sSub>
        <m:r>
          <m:rPr/>
          <m:t>)]</m:t>
        </m:r>
        <m:r>
          <m:rPr/>
          <m:t>}</m:t>
        </m:r>
      </m:oMath>
      <w:r>
        <w:rPr>
          <w:rFonts w:ascii="Times New Roman" w:hAnsi="Times New Roman"/>
          <w:sz w:val="20"/>
        </w:rPr>
        <w:tab/>
        <w:t xml:space="preserve">(3)</w:t>
      </w:r>
      <w:r>
        <w:rPr>
          <w:rFonts w:ascii="Times New Roman" w:hAnsi="Times New Roman" w:cs="Times New Roman"/>
          <w:sz w:val="20"/>
          <w:szCs w:val="20"/>
        </w:rPr>
      </w:r>
    </w:p>
    <w:p w14:paraId="34EC1D43" w14:textId="592D63C8">
      <w:pPr>
        <w:keepNext w:val="false"/>
        <w:keepLines w:val="false"/>
        <w:widowControl w:val="true"/>
        <w:pBdr/>
        <w:tabs>
          <w:tab w:val="center" w:leader="none" w:pos="4592"/>
          <w:tab w:val="right" w:leader="none" w:pos="9638"/>
        </w:tabs>
        <w:spacing w:after="200" w:before="200" w:line="240" w:lineRule="auto"/>
        <w:ind w:right="0" w:firstLine="0" w:left="0"/>
        <w:jc w:val="center"/>
        <w:rPr>
          <w:rFonts w:ascii="Times New Roman" w:hAnsi="Times New Roman" w:cs="Times New Roman"/>
          <w:sz w:val="20"/>
          <w:szCs w:val="20"/>
        </w:rPr>
      </w:pPr>
      <w:r>
        <w:tab/>
      </w:r>
      <m:oMath>
        <m:f>
          <m:fPr>
            <m:ctrlPr/>
          </m:fPr>
          <m:num>
            <m:r>
              <m:rPr/>
              <m:t>∂</m:t>
            </m:r>
            <m:sSub>
              <m:sSubPr>
                <m:ctrlPr/>
              </m:sSubPr>
              <m:e>
                <m:r>
                  <m:rPr/>
                  <m:t>c</m:t>
                </m:r>
              </m:e>
              <m:sub>
                <m:r>
                  <m:rPr/>
                  <m:t>φ</m:t>
                </m:r>
              </m:sub>
            </m:sSub>
          </m:num>
          <m:den>
            <m:r>
              <m:rPr/>
              <m:t>∂r</m:t>
            </m:r>
          </m:den>
        </m:f>
        <m:r>
          <m:rPr/>
          <m:t> ≥ 0,    </m:t>
        </m:r>
        <m:f>
          <m:fPr>
            <m:ctrlPr/>
          </m:fPr>
          <m:num>
            <m:r>
              <m:rPr/>
              <m:t>∂</m:t>
            </m:r>
            <m:sSub>
              <m:sSubPr>
                <m:ctrlPr/>
              </m:sSubPr>
              <m:e>
                <m:r>
                  <m:rPr/>
                  <m:t>c</m:t>
                </m:r>
              </m:e>
              <m:sub>
                <m:r>
                  <m:rPr/>
                  <m:t>φ</m:t>
                </m:r>
              </m:sub>
            </m:sSub>
          </m:num>
          <m:den>
            <m:r>
              <m:rPr/>
              <m:t>∂s</m:t>
            </m:r>
          </m:den>
        </m:f>
        <m:r>
          <m:rPr/>
          <m:t> ≤ 0</m:t>
        </m:r>
      </m:oMath>
      <w:r>
        <w:rPr>
          <w:rFonts w:ascii="Times New Roman" w:hAnsi="Times New Roman"/>
          <w:sz w:val="20"/>
        </w:rPr>
        <w:tab/>
        <w:t xml:space="preserve">(4)</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Thes</w:t>
      </w:r>
      <w:r>
        <w:rPr>
          <w:rFonts w:ascii="Times New Roman" w:hAnsi="Times New Roman"/>
          <w:b w:val="0"/>
          <w:i w:val="0"/>
          <w:color w:val="000000"/>
          <w:sz w:val="20"/>
          <w:lang w:val="en-GB"/>
        </w:rPr>
        <w:t xml:space="preserve">e expressions specify the evaluated coupling. The correction is guided by aggregate physical relationships, but does not solve governing field equations or enforce boundary conditions by construction. It is therefore not described as a field-equation PINN.</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2.5. Temporal models and correction</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Four alternatives are evaluated on the same windows: persistence of the current value, autoregressive ridge regression, LSTM, and a hybrid adding a residual correction to LSTM. Eac</w:t>
      </w:r>
      <w:r>
        <w:rPr>
          <w:rFonts w:ascii="Times New Roman" w:hAnsi="Times New Roman"/>
          <w:b w:val="0"/>
          <w:i w:val="0"/>
          <w:color w:val="000000"/>
          <w:sz w:val="20"/>
          <w:lang w:val="en-GB"/>
        </w:rPr>
        <w:t xml:space="preserve">h LSTM input contains six hours of history and predicts at 1 h or 6 h. Training uses backpropagation through time and Adam optimisation (Kingma &amp; Ba, 2015), following the recurrent-memory principle of Hochreiter and Schmidhuber (1997). Future rainfall is a</w:t>
      </w:r>
      <w:r>
        <w:rPr>
          <w:rFonts w:ascii="Times New Roman" w:hAnsi="Times New Roman"/>
          <w:b w:val="0"/>
          <w:i w:val="0"/>
          <w:color w:val="000000"/>
          <w:sz w:val="20"/>
          <w:lang w:val="en-GB"/>
        </w:rPr>
        <w:t xml:space="preserve"> known exogenous input in this experiment, unlike imperfect operational weather forecasts. Ridge, LSTM and the hybrid all constrain the final prediction to be no lower than the current value; this shared constraint matters when interpreting the correction.</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residual correction is a multilayer perceptron (MLP) fitted to the trained LSTM output. Its constraints ensure that, with other inputs fixed, higher future rainfall cannot reduce the correction and a higher</w:t>
      </w:r>
      <w:r>
        <w:rPr>
          <w:rFonts w:ascii="Times New Roman" w:hAnsi="Times New Roman"/>
          <w:b w:val="0"/>
          <w:i w:val="0"/>
          <w:color w:val="000000"/>
          <w:sz w:val="20"/>
          <w:lang w:val="en-GB"/>
        </w:rPr>
        <w:t xml:space="preserve"> safety index cannot increase it. These aggregate monotonicity conditions do not constitute a spatial equilibrium loss or a field-equation PINN (Raissi et al., 2019; Karniadakis et al., 2021). Monotonicity concerns direct correction inputs with the base LS</w:t>
      </w:r>
      <w:r>
        <w:rPr>
          <w:rFonts w:ascii="Times New Roman" w:hAnsi="Times New Roman"/>
          <w:b w:val="0"/>
          <w:i w:val="0"/>
          <w:color w:val="000000"/>
          <w:sz w:val="20"/>
          <w:lang w:val="en-GB"/>
        </w:rPr>
        <w:t xml:space="preserve">TM output fixed; it does not establish global monotonicity of the hybrid when all variables change together. A separate spatial PIELM/RBF approximation was evaluated for one semisynthetic event, and its results are not attributed to the temporal predictor.</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Input scalers and target-change normalisation are estimated from training data only. Ridge selects regularisation on validation data; the networks use early stopping with criteria recor</w:t>
      </w:r>
      <w:r>
        <w:rPr>
          <w:rFonts w:ascii="Times New Roman" w:hAnsi="Times New Roman"/>
          <w:b w:val="0"/>
          <w:i w:val="0"/>
          <w:color w:val="000000"/>
          <w:sz w:val="20"/>
          <w:lang w:val="en-GB"/>
        </w:rPr>
        <w:t xml:space="preserve">ded in their artefacts. No comparable systematic architecture search or independent repeated training seeds are documented. The correction is fitted using the trained LSTM and its training predictions, without out-of-fold predictions for this second stage.</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2.6. Experimental configuration</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Table 2 reports the configuration recovered from the scripts and saved model artefacts. Epoch counts are requested maxima; early stopping may terminate training sooner.</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2. </w:t>
      </w:r>
      <w:r>
        <w:rPr>
          <w:rFonts w:ascii="Times New Roman" w:hAnsi="Times New Roman"/>
          <w:b w:val="0"/>
          <w:sz w:val="20"/>
        </w:rPr>
        <w:t xml:space="preserve">Documented experimental configuration. Architecture and training settings follow the saved 1 h artefacts; chronological and 6 h runs record completed epochs. MSE: mean squared error.</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1701"/>
        <w:gridCol w:w="4989"/>
        <w:gridCol w:w="2948"/>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sz w:val="18"/>
              </w:rPr>
              <w:t xml:space="preserve">Component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sz w:val="18"/>
              </w:rPr>
              <w:t xml:space="preserve">Documented value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sz w:val="18"/>
              </w:rPr>
              <w:t xml:space="preserve">Traceability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Scenarios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500 scenarios of 24 hourly states; seed 20260915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2.2</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FEM mesh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30 × 20; internal reference 48 × 32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3.1</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Windows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6 h history; 1 h and 6 h horizons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2.5</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Optimisation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Adam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2.5</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Main split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350 training, 75 validation, 75 testing, by date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2.7</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Chronological splits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2024 and 2025 tests with retraining</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2.7</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Uncertainty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5000 date-clustered resamples; 95% confidence intervals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2.7</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Robustness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5% noise; 30% missingness with imputation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Section 3.5</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Architecture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LSTM: 15 inputs, 12 hidden units; residual MLP: 19 inputs, 16 hidden units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data/​models/​ta01-​lstm-​1h.json; ta01-physics-guided-1h.json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Training</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LSTM: Adam, MSE, maximum 320 epochs, batch 128, learning rate 0.003, seed 20260916; correction: Adam, maximum 360 epochs, batch 128, learning rate 0.0015, seed 20260917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Saved model artefacts; scripts/​train-​lstm.py; scripts/​train-​physics-​guided.py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Environment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4989" w:type="dxa"/>
            <w:vAlign w:val="center"/>
          </w:tcPr>
          <w:p>
            <w:pPr>
              <w:pStyle w:val="864"/>
              <w:pBdr/>
              <w:spacing w:after="0" w:before="0" w:line="240" w:lineRule="auto"/>
              <w:ind w:right="0" w:firstLine="0" w:left="0"/>
              <w:jc w:val="left"/>
              <w:rPr/>
            </w:pPr>
            <w:r>
              <w:rPr>
                <w:rFonts w:ascii="Times New Roman" w:hAnsi="Times New Roman"/>
                <w:b w:val="0"/>
                <w:sz w:val="18"/>
              </w:rPr>
              <w:t xml:space="preserve">Node.js ≥24; NumPy ≥2, &lt;3; Python version and hardware not fixed</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948" w:type="dxa"/>
            <w:vAlign w:val="center"/>
          </w:tcPr>
          <w:p>
            <w:pPr>
              <w:pStyle w:val="864"/>
              <w:pBdr/>
              <w:spacing w:after="0" w:before="0" w:line="240" w:lineRule="auto"/>
              <w:ind w:right="0" w:firstLine="0" w:left="0"/>
              <w:jc w:val="left"/>
              <w:rPr/>
            </w:pPr>
            <w:r>
              <w:rPr>
                <w:rFonts w:ascii="Times New Roman" w:hAnsi="Times New Roman"/>
                <w:b w:val="0"/>
                <w:sz w:val="18"/>
              </w:rPr>
              <w:t xml:space="preserve">package.json; requirements-ml.txt</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2.7. Validation and statistical analysis</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first comparison assigns the 500 scenarios to training (350), validation (75) and testing (75) by rainfall d</w:t>
      </w:r>
      <w:r>
        <w:rPr>
          <w:rFonts w:ascii="Times New Roman" w:hAnsi="Times New Roman"/>
          <w:b w:val="0"/>
          <w:i w:val="0"/>
          <w:color w:val="000000"/>
          <w:sz w:val="20"/>
          <w:lang w:val="en-GB"/>
        </w:rPr>
        <w:t xml:space="preserve">ate; scenarios sharing a date never cross partitions. This split is not chronological. Two further tests use retrained weights: training on 2020–2022, validation on 2023 and testing on 2024; and training on 2020–2023, validation on 2024 and testing on 2025</w:t>
      </w:r>
      <w:r>
        <w:rPr>
          <w:rFonts w:ascii="Times New Roman" w:hAnsi="Times New Roman"/>
          <w:b w:val="0"/>
          <w:i w:val="0"/>
          <w:color w:val="000000"/>
          <w:sz w:val="20"/>
          <w:lang w:val="en-GB"/>
        </w:rPr>
        <w:t xml:space="preserve">. MAE is evaluated on comparable 1 h and 6 h windows. The non-chronological split reserves the highest-rainfall dates for validation and testing and balances assignment by simulated safety-index categories; it is not a simple random sample of future dates.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paired difference Δ = MAE(LSTM) − MAE(hybrid) is evaluated with 5000 resamples clustered by rainfall date and 95% percentile confidence intervals. Date clustering retains dependence between windows from an event (Field &amp; Welsh, 2007), but as</w:t>
      </w:r>
      <w:r>
        <w:rPr>
          <w:rFonts w:ascii="Times New Roman" w:hAnsi="Times New Roman"/>
          <w:b w:val="0"/>
          <w:i w:val="0"/>
          <w:color w:val="000000"/>
          <w:sz w:val="20"/>
          <w:lang w:val="en-GB"/>
        </w:rPr>
        <w:t xml:space="preserve">sumes sufficient independence between date clusters. It is not a moving-block bootstrap of consecutive days. Hypothesis tests and p values are not reported because the experimental archive does not retain a reproducible calculation of the previously descri</w:t>
      </w:r>
      <w:r>
        <w:rPr>
          <w:rFonts w:ascii="Times New Roman" w:hAnsi="Times New Roman"/>
          <w:b w:val="0"/>
          <w:i w:val="0"/>
          <w:color w:val="000000"/>
          <w:sz w:val="20"/>
          <w:lang w:val="en-GB"/>
        </w:rPr>
        <w:t xml:space="preserve">bed sign-flip test. Robustness testing perturbs held-out inputs only: Gaussian noise at 5% of the training standard deviation and 30% random missingness imputed with training means. Metrics describe saved project predictions rather than field observations.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Hybrid prediction intervals use a quantile of absolute validation error. The same validation set also informed model selection and early stopping. T</w:t>
      </w:r>
      <w:r>
        <w:rPr>
          <w:rFonts w:ascii="Times New Roman" w:hAnsi="Times New Roman"/>
          <w:b w:val="0"/>
          <w:i w:val="0"/>
          <w:color w:val="000000"/>
          <w:sz w:val="20"/>
          <w:lang w:val="en-GB"/>
        </w:rPr>
        <w:t xml:space="preserve">he intervals are therefore empirical intervals with retrospective coverage diagnostics rather than an independent conformal guarantee. Figure 4 contrasts overall coverage with coverage for rainfall of at least 5 mm/day; the latter group contains few dates.</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2.8. Reproduction procedure</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Reproduction starts from the archived daily NASA POWER CSV in data/rainfall/. The 500 archived scenarios use seed 20260915 and a 30 × 20 mesh, whereas the current generator defaults to </w:t>
      </w:r>
      <w:r>
        <w:rPr>
          <w:rFonts w:ascii="Times New Roman" w:hAnsi="Times New Roman"/>
          <w:b w:val="0"/>
          <w:i w:val="0"/>
          <w:color w:val="000000"/>
          <w:sz w:val="20"/>
          <w:lang w:val="en-GB"/>
        </w:rPr>
        <w:t xml:space="preserve">14 × 9. Reproduction therefore requires explicit arguments --scenarios=500, --seed=20260915, --mesh-x=30 and --mesh-y=20 with npm run generate:fem -- and a new output directory to preserve the archived artefacts. Date-separated and chronological partitions</w:t>
      </w:r>
      <w:r>
        <w:rPr>
          <w:rFonts w:ascii="Times New Roman" w:hAnsi="Times New Roman"/>
          <w:b w:val="0"/>
          <w:i w:val="0"/>
          <w:color w:val="000000"/>
          <w:sz w:val="20"/>
          <w:lang w:val="en-GB"/>
        </w:rPr>
        <w:t xml:space="preserve"> are then constructed as documented in docs/CASO_TA01_FEM.md. Ridge, LSTM and the correction are trained per horizon, FEM and robustness checks are executed, and reports are consolidated. Manifests record the provenance and parameters of the archived runs.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Full recreation also requires the output prefixes, horizons and saved weights associated with each split. The npm scripts and replication manifest document these arguments; generation alone does not reproduce every table.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Reported outputs include data/validation/ta01-model-comparison.csv, ta01-rolling-origin-model-comparison.csv, ta01-rolling-origin-bootstrap.json and ta01-rep</w:t>
      </w:r>
      <w:r>
        <w:rPr>
          <w:rFonts w:ascii="Times New Roman" w:hAnsi="Times New Roman"/>
          <w:b w:val="0"/>
          <w:i w:val="0"/>
          <w:color w:val="000000"/>
          <w:sz w:val="20"/>
          <w:lang w:val="en-GB"/>
        </w:rPr>
        <w:t xml:space="preserve">lication-manifest.json, with SHA-256 hashes of inputs and results. The public sslope repository provides a README, npm scripts and Docker Compose for the web service; this container does not itself define a closed training and analysis pipeline. Code and d</w:t>
      </w:r>
      <w:r>
        <w:rPr>
          <w:rFonts w:ascii="Times New Roman" w:hAnsi="Times New Roman"/>
          <w:b w:val="0"/>
          <w:i w:val="0"/>
          <w:color w:val="000000"/>
          <w:sz w:val="20"/>
          <w:lang w:val="en-GB"/>
        </w:rPr>
        <w:t xml:space="preserve">ocumentation use the MIT licence, and original semisynthetic data and results use CC BY 4.0. Python is not pinned for every experiment. Matching hashes verify archived artefact integrity, but do not establish that retraining will produce identical weights.</w:t>
      </w:r>
      <w:r>
        <w:rPr>
          <w:rFonts w:ascii="Times New Roman" w:hAnsi="Times New Roman" w:cs="Times New Roman"/>
          <w:sz w:val="20"/>
          <w:szCs w:val="20"/>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3. Results</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Results are organised by research question. Numerical implementation checks are reported separately from temporal prediction and input robustness.</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3.1. RQ4 Internal FEM verification</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constant-strain patch test reproduced the affine field with a maximum strain error of 1.14 × 10⁻¹⁸. Two global analytical check</w:t>
      </w:r>
      <w:r>
        <w:rPr>
          <w:rFonts w:ascii="Times New Roman" w:hAnsi="Times New Roman"/>
          <w:b w:val="0"/>
          <w:i w:val="0"/>
          <w:color w:val="000000"/>
          <w:sz w:val="20"/>
          <w:lang w:val="en-GB"/>
        </w:rPr>
        <w:t xml:space="preserve">s gave maximum displacement errors of 1.62 × 10⁻¹¹ m for linear elasticity and 1.60 × 10⁻¹¹ m with uniform Biot pressure. Compared with the internal 48 × 32 mesh, the standard 30 × 20 mesh differed by 2.13% in displacement. Refinement was not monotonic: th</w:t>
      </w:r>
      <w:r>
        <w:rPr>
          <w:rFonts w:ascii="Times New Roman" w:hAnsi="Times New Roman"/>
          <w:b w:val="0"/>
          <w:i w:val="0"/>
          <w:color w:val="000000"/>
          <w:sz w:val="20"/>
          <w:lang w:val="en-GB"/>
        </w:rPr>
        <w:t xml:space="preserve">e 36 × 24 and 42 × 28 meshes differed from the reference by 8.49% and 7.41%, respectively. These tests verify parts of the implementation, but establish neither mesh convergence nor valid TA-01 geotechnical parameters. Figure 2 shows this mesh sensitivity.</w:t>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756876"/>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jpg"/>
                        <pic:cNvPicPr>
                          <a:picLocks noChangeAspect="1"/>
                        </pic:cNvPicPr>
                        <pic:nvPr/>
                      </pic:nvPicPr>
                      <pic:blipFill rotWithShape="1">
                        <a:blip r:embed="rId20"/>
                        <a:stretch/>
                      </pic:blipFill>
                      <pic:spPr bwMode="auto">
                        <a:xfrm>
                          <a:off x="0" y="0"/>
                          <a:ext cx="6120000" cy="2756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89pt;height:217.0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2. </w:t>
      </w:r>
      <w:r>
        <w:rPr>
          <w:rFonts w:ascii="Times New Roman" w:hAnsi="Times New Roman"/>
          <w:b w:val="0"/>
          <w:sz w:val="20"/>
        </w:rPr>
        <w:t xml:space="preserve">Sensitivity of maximum rainfall-induced displacement to FEM discretisation. Differences are relative to the internal 48 × 32 mesh and do not establish convergence. Source: ta01-fem-mesh-summary.csv.</w:t>
      </w:r>
      <w:r>
        <w:rPr>
          <w:rFonts w:ascii="Times New Roman" w:hAnsi="Times New Roman" w:eastAsia="Calibri" w:cs="Times New Roman"/>
          <w:sz w:val="20"/>
          <w:szCs w:val="20"/>
          <w14:ligatures w14:val="none"/>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3.2. RQ1 Prediction with separated rainfall dates</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In the disjoint-date split,</w:t>
      </w:r>
      <w:r>
        <w:rPr>
          <w:rFonts w:ascii="Times New Roman" w:hAnsi="Times New Roman"/>
          <w:b w:val="0"/>
          <w:i w:val="0"/>
          <w:color w:val="000000"/>
          <w:sz w:val="20"/>
          <w:lang w:val="en-GB"/>
        </w:rPr>
        <w:t xml:space="preserve"> the hybrid had the lowest MAE among the four alternatives at both horizons (Table 3). Relative to LSTM, MAE decreased by 6.99% at 1 h and 2.46% at 6 h. These magnitudes concern simulated maximum rainfall-induced displacement relative to the initial state.</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3. </w:t>
      </w:r>
      <w:r>
        <w:rPr>
          <w:rFonts w:ascii="Times New Roman" w:hAnsi="Times New Roman"/>
          <w:b w:val="0"/>
          <w:sz w:val="20"/>
        </w:rPr>
        <w:t xml:space="preserve">MAE in the rainfall-date-separated test, in mm. All four methods use the same windows at each horizon. Source: data/validation/ta01-model-comparison.csv.</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1134"/>
        <w:gridCol w:w="1247"/>
        <w:gridCol w:w="1814"/>
        <w:gridCol w:w="1814"/>
        <w:gridCol w:w="1814"/>
        <w:gridCol w:w="1814"/>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34" w:type="dxa"/>
            <w:vAlign w:val="center"/>
          </w:tcPr>
          <w:p>
            <w:pPr>
              <w:pStyle w:val="864"/>
              <w:pBdr/>
              <w:spacing w:after="0" w:before="0" w:line="240" w:lineRule="auto"/>
              <w:ind w:right="0" w:firstLine="0" w:left="0"/>
              <w:jc w:val="left"/>
              <w:rPr/>
            </w:pPr>
            <w:r>
              <w:rPr>
                <w:rFonts w:ascii="Times New Roman" w:hAnsi="Times New Roman"/>
                <w:b/>
                <w:sz w:val="18"/>
              </w:rPr>
              <w:t xml:space="preserve">Horizon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247" w:type="dxa"/>
            <w:vAlign w:val="center"/>
          </w:tcPr>
          <w:p>
            <w:pPr>
              <w:pStyle w:val="864"/>
              <w:pBdr/>
              <w:spacing w:after="0" w:before="0" w:line="240" w:lineRule="auto"/>
              <w:ind w:right="0" w:firstLine="0" w:left="0"/>
              <w:jc w:val="left"/>
              <w:rPr/>
            </w:pPr>
            <w:r>
              <w:rPr>
                <w:rFonts w:ascii="Times New Roman" w:hAnsi="Times New Roman"/>
                <w:b/>
                <w:sz w:val="18"/>
              </w:rPr>
              <w:t xml:space="preserve">Windows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sz w:val="18"/>
              </w:rPr>
              <w:t xml:space="preserve">Persistence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sz w:val="18"/>
              </w:rPr>
              <w:t xml:space="preserve">Ridge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sz w:val="18"/>
              </w:rPr>
              <w:t xml:space="preserve">LSTM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sz w:val="18"/>
              </w:rPr>
              <w:t xml:space="preserve">Hybrid</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34" w:type="dxa"/>
            <w:vAlign w:val="center"/>
          </w:tcPr>
          <w:p>
            <w:pPr>
              <w:pStyle w:val="864"/>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247" w:type="dxa"/>
            <w:vAlign w:val="center"/>
          </w:tcPr>
          <w:p>
            <w:pPr>
              <w:pStyle w:val="864"/>
              <w:pBdr/>
              <w:spacing w:after="0" w:before="0" w:line="240" w:lineRule="auto"/>
              <w:ind w:right="0" w:firstLine="0" w:left="0"/>
              <w:jc w:val="center"/>
              <w:rPr/>
            </w:pPr>
            <w:r>
              <w:rPr>
                <w:rFonts w:ascii="Times New Roman" w:hAnsi="Times New Roman"/>
                <w:b w:val="0"/>
                <w:sz w:val="18"/>
              </w:rPr>
              <w:t xml:space="preserve">1350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0.00002081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0.00001181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0.00000858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0.00000798</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34" w:type="dxa"/>
            <w:vAlign w:val="center"/>
          </w:tcPr>
          <w:p>
            <w:pPr>
              <w:pStyle w:val="864"/>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247" w:type="dxa"/>
            <w:vAlign w:val="center"/>
          </w:tcPr>
          <w:p>
            <w:pPr>
              <w:pStyle w:val="864"/>
              <w:pBdr/>
              <w:spacing w:after="0" w:before="0" w:line="240" w:lineRule="auto"/>
              <w:ind w:right="0" w:firstLine="0" w:left="0"/>
              <w:jc w:val="center"/>
              <w:rPr/>
            </w:pPr>
            <w:r>
              <w:rPr>
                <w:rFonts w:ascii="Times New Roman" w:hAnsi="Times New Roman"/>
                <w:b w:val="0"/>
                <w:sz w:val="18"/>
              </w:rPr>
              <w:t xml:space="preserve">975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0.00013169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0.00008855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0.00006332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0.00006176</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3.3. RQ1 and RQ2 Chronological testing and uncertainty</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order of LSTM and the hybrid changed with the test year (Table 4). In 2024, hybr</w:t>
      </w:r>
      <w:r>
        <w:rPr>
          <w:rFonts w:ascii="Times New Roman" w:hAnsi="Times New Roman"/>
          <w:b w:val="0"/>
          <w:i w:val="0"/>
          <w:color w:val="000000"/>
          <w:sz w:val="20"/>
          <w:lang w:val="en-GB"/>
        </w:rPr>
        <w:t xml:space="preserve">id MAE was 1.15% higher at 1 h and 1.89% higher at 6 h; in 2025 it was 3.89% lower at 1 h and 4.63% lower at 6 h. All four 95% intervals included zero. These estimates do not support a consistent correction advantage and do not establish model equivalence.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95% intervals for Δ were [−1.44 × 10⁻⁷, 4.25 × 10⁻⁸] mm at 1 h and [−1.15 × 10⁻⁶, 6.64 × 10⁻⁸] mm at 6 h in 2024; in 2025 they were [−2.59 × 10⁻⁷, 6.88 × 10⁻⁷] mm and [−3.83 × 10⁻⁷,</w:t>
      </w:r>
      <w:r>
        <w:rPr>
          <w:rFonts w:ascii="Times New Roman" w:hAnsi="Times New Roman"/>
          <w:b w:val="0"/>
          <w:i w:val="0"/>
          <w:color w:val="000000"/>
          <w:sz w:val="20"/>
          <w:lang w:val="en-GB"/>
        </w:rPr>
        <w:t xml:space="preserve"> 6.25 × 10⁻⁶] mm. Resampling used 82 test dates in 2024 and 76 in 2025. The intervals describe variation between semisynthetic dates rather than real geotechnical uncertainty. Figure 3 shows the differences and intervals; positive values favour the hybrid.</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4. </w:t>
      </w:r>
      <w:r>
        <w:rPr>
          <w:rFonts w:ascii="Times New Roman" w:hAnsi="Times New Roman"/>
          <w:b w:val="0"/>
          <w:sz w:val="20"/>
        </w:rPr>
        <w:t xml:space="preserve">LSTM and hybrid MAE in chronological tests, in mm. Sources: ta01-rolling-origin-model-comparison.csv and ta01-rolling-origin-bootstrap.json.</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1701"/>
        <w:gridCol w:w="1417"/>
        <w:gridCol w:w="1531"/>
        <w:gridCol w:w="2494"/>
        <w:gridCol w:w="2494"/>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keepNext w:val="true"/>
              <w:pBdr/>
              <w:spacing w:after="0" w:before="0" w:line="240" w:lineRule="auto"/>
              <w:ind w:right="0" w:firstLine="0" w:left="0"/>
              <w:jc w:val="left"/>
              <w:rPr/>
            </w:pPr>
            <w:r>
              <w:rPr>
                <w:rFonts w:ascii="Times New Roman" w:hAnsi="Times New Roman"/>
                <w:b/>
                <w:sz w:val="18"/>
              </w:rPr>
              <w:t xml:space="preserve">Test year</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keepNext w:val="true"/>
              <w:pBdr/>
              <w:spacing w:after="0" w:before="0" w:line="240" w:lineRule="auto"/>
              <w:ind w:right="0" w:firstLine="0" w:left="0"/>
              <w:jc w:val="left"/>
              <w:rPr/>
            </w:pPr>
            <w:r>
              <w:rPr>
                <w:rFonts w:ascii="Times New Roman" w:hAnsi="Times New Roman"/>
                <w:b/>
                <w:sz w:val="18"/>
              </w:rPr>
              <w:t xml:space="preserve">Horizon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31" w:type="dxa"/>
            <w:vAlign w:val="center"/>
          </w:tcPr>
          <w:p>
            <w:pPr>
              <w:pStyle w:val="864"/>
              <w:keepNext w:val="true"/>
              <w:pBdr/>
              <w:spacing w:after="0" w:before="0" w:line="240" w:lineRule="auto"/>
              <w:ind w:right="0" w:firstLine="0" w:left="0"/>
              <w:jc w:val="left"/>
              <w:rPr/>
            </w:pPr>
            <w:r>
              <w:rPr>
                <w:rFonts w:ascii="Times New Roman" w:hAnsi="Times New Roman"/>
                <w:b/>
                <w:sz w:val="18"/>
              </w:rPr>
              <w:t xml:space="preserve">Windows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left"/>
              <w:rPr/>
            </w:pPr>
            <w:r>
              <w:rPr>
                <w:rFonts w:ascii="Times New Roman" w:hAnsi="Times New Roman"/>
                <w:b/>
                <w:sz w:val="18"/>
              </w:rPr>
              <w:t xml:space="preserve">LSTM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left"/>
              <w:rPr/>
            </w:pPr>
            <w:r>
              <w:rPr>
                <w:rFonts w:ascii="Times New Roman" w:hAnsi="Times New Roman"/>
                <w:b/>
                <w:sz w:val="18"/>
              </w:rPr>
              <w:t xml:space="preserve">Hybrid</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keepNext w:val="true"/>
              <w:pBdr/>
              <w:spacing w:after="0" w:before="0" w:line="240" w:lineRule="auto"/>
              <w:ind w:right="0" w:firstLine="0" w:left="0"/>
              <w:jc w:val="left"/>
              <w:rPr/>
            </w:pPr>
            <w:r>
              <w:rPr>
                <w:rFonts w:ascii="Times New Roman" w:hAnsi="Times New Roman"/>
                <w:b w:val="0"/>
                <w:sz w:val="18"/>
              </w:rPr>
              <w:t xml:space="preserve">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31"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1476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0.00000435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0.00000440</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keepNext w:val="true"/>
              <w:pBdr/>
              <w:spacing w:after="0" w:before="0" w:line="240" w:lineRule="auto"/>
              <w:ind w:right="0" w:firstLine="0" w:left="0"/>
              <w:jc w:val="left"/>
              <w:rPr/>
            </w:pPr>
            <w:r>
              <w:rPr>
                <w:rFonts w:ascii="Times New Roman" w:hAnsi="Times New Roman"/>
                <w:b w:val="0"/>
                <w:sz w:val="18"/>
              </w:rPr>
              <w:t xml:space="preserve">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31"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1066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0.00002909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0.00002964</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keepNext w:val="true"/>
              <w:pBdr/>
              <w:spacing w:after="0" w:before="0" w:line="240" w:lineRule="auto"/>
              <w:ind w:right="0" w:firstLine="0" w:left="0"/>
              <w:jc w:val="left"/>
              <w:rPr/>
            </w:pPr>
            <w:r>
              <w:rPr>
                <w:rFonts w:ascii="Times New Roman" w:hAnsi="Times New Roman"/>
                <w:b w:val="0"/>
                <w:sz w:val="18"/>
              </w:rPr>
              <w:t xml:space="preserve">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31"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1404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0.00000540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keepNext w:val="true"/>
              <w:pBdr/>
              <w:spacing w:after="0" w:before="0" w:line="240" w:lineRule="auto"/>
              <w:ind w:right="0" w:firstLine="0" w:left="0"/>
              <w:jc w:val="center"/>
              <w:rPr/>
            </w:pPr>
            <w:r>
              <w:rPr>
                <w:rFonts w:ascii="Times New Roman" w:hAnsi="Times New Roman"/>
                <w:b w:val="0"/>
                <w:sz w:val="18"/>
              </w:rPr>
              <w:t xml:space="preserve">0.00000519</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531" w:type="dxa"/>
            <w:vAlign w:val="center"/>
          </w:tcPr>
          <w:p>
            <w:pPr>
              <w:pStyle w:val="864"/>
              <w:pBdr/>
              <w:spacing w:after="0" w:before="0" w:line="240" w:lineRule="auto"/>
              <w:ind w:right="0" w:firstLine="0" w:left="0"/>
              <w:jc w:val="center"/>
              <w:rPr/>
            </w:pPr>
            <w:r>
              <w:rPr>
                <w:rFonts w:ascii="Times New Roman" w:hAnsi="Times New Roman"/>
                <w:b w:val="0"/>
                <w:sz w:val="18"/>
              </w:rPr>
              <w:t xml:space="preserve">1014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0.00005769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0.00005502</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756876"/>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jpg"/>
                        <pic:cNvPicPr>
                          <a:picLocks noChangeAspect="1"/>
                        </pic:cNvPicPr>
                        <pic:nvPr/>
                      </pic:nvPicPr>
                      <pic:blipFill rotWithShape="1">
                        <a:blip r:embed="rId21"/>
                        <a:stretch/>
                      </pic:blipFill>
                      <pic:spPr bwMode="auto">
                        <a:xfrm>
                          <a:off x="0" y="0"/>
                          <a:ext cx="6120000" cy="2756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9pt;height:217.0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3. </w:t>
      </w:r>
      <w:r>
        <w:rPr>
          <w:rFonts w:ascii="Times New Roman" w:hAnsi="Times New Roman"/>
          <w:b w:val="0"/>
          <w:sz w:val="20"/>
        </w:rPr>
        <w:t xml:space="preserve">Paired MAE differences, Δ = MAE(LSTM) − MAE(hybrid), and 95% percentile intervals clustered by rainfall date. Positive values favour the hybrid. Horizontal scales differ; no p values are plotted. Source: ta01-rolling-origin-bootstrap.json.</w:t>
      </w:r>
      <w:r>
        <w:rPr>
          <w:rFonts w:ascii="Times New Roman" w:hAnsi="Times New Roman" w:eastAsia="Calibri" w:cs="Times New Roman"/>
          <w:sz w:val="20"/>
          <w:szCs w:val="20"/>
          <w14:ligatures w14:val="none"/>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baselines remain informative in chronological testing. In 2024, persistence and ridge MAE were 0.00001049 mm and 0.00000662 mm at 1 h, and 0.00006888 mm and 0.00005232 mm at 6 h. In 2025, they were 0.00002167 mm and </w:t>
      </w:r>
      <w:r>
        <w:rPr>
          <w:rFonts w:ascii="Times New Roman" w:hAnsi="Times New Roman"/>
          <w:b w:val="0"/>
          <w:i w:val="0"/>
          <w:color w:val="000000"/>
          <w:sz w:val="20"/>
          <w:lang w:val="en-GB"/>
        </w:rPr>
        <w:t xml:space="preserve">0.00002055 mm at 1 h, and 0.00014399 mm and 0.00015151 mm at 6 h. LSTM and the hybrid outperformed these baselines in all four year–horizon combinations, although their mutual order changed. Source: data/validation/ta01-rolling-origin-model-comparison.csv.</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Selection by lowest validation MAE did not identify the lo</w:t>
      </w:r>
      <w:r>
        <w:rPr>
          <w:rFonts w:ascii="Times New Roman" w:hAnsi="Times New Roman"/>
          <w:b w:val="0"/>
          <w:i w:val="0"/>
          <w:color w:val="000000"/>
          <w:sz w:val="20"/>
          <w:lang w:val="en-GB"/>
        </w:rPr>
        <w:t xml:space="preserve">west-test-MAE model in three of four year–horizon combinations. For rainfall of at least 5 mm/day, nominal 95% interval coverage was 33.3% and 76.9% at 1 h and 6 h in 2024, and 59.3% and 43.6% in 2025. There were only two and three qualifying dates, respec</w:t>
      </w:r>
      <w:r>
        <w:rPr>
          <w:rFonts w:ascii="Times New Roman" w:hAnsi="Times New Roman"/>
          <w:b w:val="0"/>
          <w:i w:val="0"/>
          <w:color w:val="000000"/>
          <w:sz w:val="20"/>
          <w:lang w:val="en-GB"/>
        </w:rPr>
        <w:t xml:space="preserve">tively. These diagnostics indicate model-selection and conditional-calibration instability within the testbed, without providing a reliable coverage estimate for real storms. Figure 4 shows that overall coverage does not ensure coverage at higher rainfall.</w:t>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756876"/>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jpg"/>
                        <pic:cNvPicPr>
                          <a:picLocks noChangeAspect="1"/>
                        </pic:cNvPicPr>
                        <pic:nvPr/>
                      </pic:nvPicPr>
                      <pic:blipFill rotWithShape="1">
                        <a:blip r:embed="rId22"/>
                        <a:stretch/>
                      </pic:blipFill>
                      <pic:spPr bwMode="auto">
                        <a:xfrm>
                          <a:off x="0" y="0"/>
                          <a:ext cx="6120000" cy="2756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89pt;height:217.08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4. </w:t>
      </w:r>
      <w:r>
        <w:rPr>
          <w:rFonts w:ascii="Times New Roman" w:hAnsi="Times New Roman"/>
          <w:b w:val="0"/>
          <w:sz w:val="20"/>
        </w:rPr>
        <w:t xml:space="preserve">Retrospective coverage of hyb</w:t>
      </w:r>
      <w:r>
        <w:rPr>
          <w:rFonts w:ascii="Times New Roman" w:hAnsi="Times New Roman"/>
          <w:b w:val="0"/>
          <w:sz w:val="20"/>
        </w:rPr>
        <w:t xml:space="preserve">rid prediction intervals. Overall coverage is compared with rainfall ≥5 mm/day. The dashed line marks nominal 95% coverage. High rainfall includes only two dates in 2024 and three in 2025; windows are correlated. Source: ta01-rolling-interval-coverage.csv.</w:t>
      </w:r>
      <w:r>
        <w:rPr>
          <w:rFonts w:ascii="Times New Roman" w:hAnsi="Times New Roman" w:eastAsia="Calibri" w:cs="Times New Roman"/>
          <w:sz w:val="20"/>
          <w:szCs w:val="20"/>
          <w14:ligatures w14:val="none"/>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3.4. RQ4 Spatial approximation of discrete equilibrium</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For one semisynthetic event, the spatial PIELM/RBF approximation of the incremental FEM system </w:t>
      </w:r>
      <w:r>
        <w:rPr>
          <w:rFonts w:ascii="Times New Roman" w:hAnsi="Times New Roman"/>
          <w:b w:val="0"/>
          <w:i w:val="0"/>
          <w:color w:val="000000"/>
          <w:sz w:val="20"/>
          <w:lang w:val="en-GB"/>
        </w:rPr>
        <w:t xml:space="preserve">gave a relative L2 displacement error of 12.57% at 354 nodes without displacement supervision and a relative discrete-equilibrium residual of 14.39%. Training and the reference shared the stiffness matrix and loading. These percentages therefore measure in</w:t>
      </w:r>
      <w:r>
        <w:rPr>
          <w:rFonts w:ascii="Times New Roman" w:hAnsi="Times New Roman"/>
          <w:b w:val="0"/>
          <w:i w:val="0"/>
          <w:color w:val="000000"/>
          <w:sz w:val="20"/>
          <w:lang w:val="en-GB"/>
        </w:rPr>
        <w:t xml:space="preserve">ternal agreement rather than independent validation or transfer to another geometry. Sensors used in the approximation were synthetic and are not TA-01 field instrumentation. Table 5 distinguishes analytical checks from agreement under the shared operator.</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5. </w:t>
      </w:r>
      <w:r>
        <w:rPr>
          <w:rFonts w:ascii="Times New Roman" w:hAnsi="Times New Roman"/>
          <w:b w:val="0"/>
          <w:sz w:val="20"/>
        </w:rPr>
        <w:t xml:space="preserve">Numerical and spatial verification scope. These quantities are not temporal forecast errors. CST: constant-strain triangle. Sources: ta01-fem-mesh-sensitivity.json and ta01-spatial-pinn-validation.json.</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2268"/>
        <w:gridCol w:w="1814"/>
        <w:gridCol w:w="1701"/>
        <w:gridCol w:w="3855"/>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sz w:val="18"/>
              </w:rPr>
              <w:t xml:space="preserve">Check</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sz w:val="18"/>
              </w:rPr>
              <w:t xml:space="preserve">Quantity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sz w:val="18"/>
              </w:rPr>
              <w:t xml:space="preserve">Result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sz w:val="18"/>
              </w:rPr>
              <w:t xml:space="preserve">Scope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CST patch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Strain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center"/>
              <w:rPr/>
            </w:pPr>
            <w:r>
              <w:rPr>
                <w:rFonts w:ascii="Times New Roman" w:hAnsi="Times New Roman"/>
                <w:b w:val="0"/>
                <w:sz w:val="18"/>
              </w:rPr>
              <w:t xml:space="preserve">1.14 × 10⁻¹⁸</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Affine field; dimensionless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Global elasticity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Displacement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1.62 × 10⁻¹¹ 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Manufactured analytical solution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Uniform Biot pressure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Displacement</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left"/>
              <w:rPr/>
            </w:pPr>
            <w:r>
              <w:rPr>
                <w:rFonts w:ascii="Times New Roman" w:hAnsi="Times New Roman"/>
                <w:b w:val="0"/>
                <w:sz w:val="18"/>
              </w:rPr>
              <w:t xml:space="preserve">1.60 × 10⁻¹¹ 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Manufactured analytical solution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30 × 20 mesh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Difference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center"/>
              <w:rPr/>
            </w:pPr>
            <w:r>
              <w:rPr>
                <w:rFonts w:ascii="Times New Roman" w:hAnsi="Times New Roman"/>
                <w:b w:val="0"/>
                <w:sz w:val="18"/>
              </w:rPr>
              <w:t xml:space="preserve">2.13 %</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Relative to internal 48 × 32 reference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PIELM/RBF TA-01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Relative L2 error</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center"/>
              <w:rPr/>
            </w:pPr>
            <w:r>
              <w:rPr>
                <w:rFonts w:ascii="Times New Roman" w:hAnsi="Times New Roman"/>
                <w:b w:val="0"/>
                <w:sz w:val="18"/>
              </w:rPr>
              <w:t xml:space="preserve">12.57 %</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354 nodes without displacement supervision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268" w:type="dxa"/>
            <w:vAlign w:val="center"/>
          </w:tcPr>
          <w:p>
            <w:pPr>
              <w:pStyle w:val="864"/>
              <w:pBdr/>
              <w:spacing w:after="0" w:before="0" w:line="240" w:lineRule="auto"/>
              <w:ind w:right="0" w:firstLine="0" w:left="0"/>
              <w:jc w:val="left"/>
              <w:rPr/>
            </w:pPr>
            <w:r>
              <w:rPr>
                <w:rFonts w:ascii="Times New Roman" w:hAnsi="Times New Roman"/>
                <w:b w:val="0"/>
                <w:sz w:val="18"/>
              </w:rPr>
              <w:t xml:space="preserve">PIELM/RBF TA-01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814" w:type="dxa"/>
            <w:vAlign w:val="center"/>
          </w:tcPr>
          <w:p>
            <w:pPr>
              <w:pStyle w:val="864"/>
              <w:pBdr/>
              <w:spacing w:after="0" w:before="0" w:line="240" w:lineRule="auto"/>
              <w:ind w:right="0" w:firstLine="0" w:left="0"/>
              <w:jc w:val="left"/>
              <w:rPr/>
            </w:pPr>
            <w:r>
              <w:rPr>
                <w:rFonts w:ascii="Times New Roman" w:hAnsi="Times New Roman"/>
                <w:b w:val="0"/>
                <w:sz w:val="18"/>
              </w:rPr>
              <w:t xml:space="preserve">Relative residual</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701" w:type="dxa"/>
            <w:vAlign w:val="center"/>
          </w:tcPr>
          <w:p>
            <w:pPr>
              <w:pStyle w:val="864"/>
              <w:pBdr/>
              <w:spacing w:after="0" w:before="0" w:line="240" w:lineRule="auto"/>
              <w:ind w:right="0" w:firstLine="0" w:left="0"/>
              <w:jc w:val="center"/>
              <w:rPr/>
            </w:pPr>
            <w:r>
              <w:rPr>
                <w:rFonts w:ascii="Times New Roman" w:hAnsi="Times New Roman"/>
                <w:b w:val="0"/>
                <w:sz w:val="18"/>
              </w:rPr>
              <w:t xml:space="preserve">14.39 %</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855" w:type="dxa"/>
            <w:vAlign w:val="center"/>
          </w:tcPr>
          <w:p>
            <w:pPr>
              <w:pStyle w:val="864"/>
              <w:pBdr/>
              <w:spacing w:after="0" w:before="0" w:line="240" w:lineRule="auto"/>
              <w:ind w:right="0" w:firstLine="0" w:left="0"/>
              <w:jc w:val="left"/>
              <w:rPr/>
            </w:pPr>
            <w:r>
              <w:rPr>
                <w:rFonts w:ascii="Times New Roman" w:hAnsi="Times New Roman"/>
                <w:b w:val="0"/>
                <w:sz w:val="18"/>
              </w:rPr>
              <w:t xml:space="preserve">Same reference FEM operator</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3.5. RQ3 Robustness to input perturbations</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With 5% input noise, LSTM MAE increased by 5.13% at 1 h and 5.97% at 6 h; hybrid MAE inc</w:t>
      </w:r>
      <w:r>
        <w:rPr>
          <w:rFonts w:ascii="Times New Roman" w:hAnsi="Times New Roman"/>
          <w:b w:val="0"/>
          <w:i w:val="0"/>
          <w:color w:val="000000"/>
          <w:sz w:val="20"/>
          <w:lang w:val="en-GB"/>
        </w:rPr>
        <w:t xml:space="preserve">reased by 53.88% and 46.10%. With 30% missing values, increases were 102.80% and 60.88% for LSTM, compared with 133.96% and 70.77% for the hybrid. The correction lost its small clean-input advantage under both perturbations. The test uses random missingnes</w:t>
      </w:r>
      <w:r>
        <w:rPr>
          <w:rFonts w:ascii="Times New Roman" w:hAnsi="Times New Roman"/>
          <w:b w:val="0"/>
          <w:i w:val="0"/>
          <w:color w:val="000000"/>
          <w:sz w:val="20"/>
          <w:lang w:val="en-GB"/>
        </w:rPr>
        <w:t xml:space="preserve">s and mean imputation without retraining; it neither reproduces every sensor fault nor tests field behaviour. Source: data/validation/ta01-model-robustness.json. Table 6 retains absolute errors, and Figure 5 summarises sensitivity to noise and missingness.</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6. </w:t>
      </w:r>
      <w:r>
        <w:rPr>
          <w:rFonts w:ascii="Times New Roman" w:hAnsi="Times New Roman"/>
          <w:b w:val="0"/>
          <w:sz w:val="20"/>
        </w:rPr>
        <w:t xml:space="preserve">MAE with clean and perturbed inputs. Responses are semisynthetic and no retraining under perturbation was performed. Source: ta01-robustness-summary.csv.</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1191"/>
        <w:gridCol w:w="2098"/>
        <w:gridCol w:w="1417"/>
        <w:gridCol w:w="2438"/>
        <w:gridCol w:w="2494"/>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left"/>
              <w:rPr/>
            </w:pPr>
            <w:r>
              <w:rPr>
                <w:rFonts w:ascii="Times New Roman" w:hAnsi="Times New Roman"/>
                <w:b/>
                <w:sz w:val="18"/>
              </w:rPr>
              <w:t xml:space="preserve">Horizon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sz w:val="18"/>
              </w:rPr>
              <w:t xml:space="preserve">Condition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left"/>
              <w:rPr/>
            </w:pPr>
            <w:r>
              <w:rPr>
                <w:rFonts w:ascii="Times New Roman" w:hAnsi="Times New Roman"/>
                <w:b/>
                <w:sz w:val="18"/>
              </w:rPr>
              <w:t xml:space="preserve">Windows</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left"/>
              <w:rPr/>
            </w:pPr>
            <w:r>
              <w:rPr>
                <w:rFonts w:ascii="Times New Roman" w:hAnsi="Times New Roman"/>
                <w:b/>
                <w:sz w:val="18"/>
              </w:rPr>
              <w:t xml:space="preserve">LSTM (mm)</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left"/>
              <w:rPr/>
            </w:pPr>
            <w:r>
              <w:rPr>
                <w:rFonts w:ascii="Times New Roman" w:hAnsi="Times New Roman"/>
                <w:b/>
                <w:sz w:val="18"/>
              </w:rPr>
              <w:t xml:space="preserve">Hybrid (mm)</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Clean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1350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0.00000858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0.00000798</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5% noise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1350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0.00000902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0.00001228</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1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30% missing</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1350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0.0000174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0.00001867</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Clean</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975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0.00006332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0.00006176</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5% noise</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975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0.0000671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0.00009023</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191" w:type="dxa"/>
            <w:vAlign w:val="center"/>
          </w:tcPr>
          <w:p>
            <w:pPr>
              <w:pStyle w:val="864"/>
              <w:pBdr/>
              <w:spacing w:after="0" w:before="0" w:line="240" w:lineRule="auto"/>
              <w:ind w:right="0" w:firstLine="0" w:left="0"/>
              <w:jc w:val="center"/>
              <w:rPr/>
            </w:pPr>
            <w:r>
              <w:rPr>
                <w:rFonts w:ascii="Times New Roman" w:hAnsi="Times New Roman"/>
                <w:b w:val="0"/>
                <w:sz w:val="18"/>
              </w:rPr>
              <w:t xml:space="preserve">6 h</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098" w:type="dxa"/>
            <w:vAlign w:val="center"/>
          </w:tcPr>
          <w:p>
            <w:pPr>
              <w:pStyle w:val="864"/>
              <w:pBdr/>
              <w:spacing w:after="0" w:before="0" w:line="240" w:lineRule="auto"/>
              <w:ind w:right="0" w:firstLine="0" w:left="0"/>
              <w:jc w:val="left"/>
              <w:rPr/>
            </w:pPr>
            <w:r>
              <w:rPr>
                <w:rFonts w:ascii="Times New Roman" w:hAnsi="Times New Roman"/>
                <w:b w:val="0"/>
                <w:sz w:val="18"/>
              </w:rPr>
              <w:t xml:space="preserve">30% missing</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1417" w:type="dxa"/>
            <w:vAlign w:val="center"/>
          </w:tcPr>
          <w:p>
            <w:pPr>
              <w:pStyle w:val="864"/>
              <w:pBdr/>
              <w:spacing w:after="0" w:before="0" w:line="240" w:lineRule="auto"/>
              <w:ind w:right="0" w:firstLine="0" w:left="0"/>
              <w:jc w:val="center"/>
              <w:rPr/>
            </w:pPr>
            <w:r>
              <w:rPr>
                <w:rFonts w:ascii="Times New Roman" w:hAnsi="Times New Roman"/>
                <w:b w:val="0"/>
                <w:sz w:val="18"/>
              </w:rPr>
              <w:t xml:space="preserve">975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38" w:type="dxa"/>
            <w:vAlign w:val="center"/>
          </w:tcPr>
          <w:p>
            <w:pPr>
              <w:pStyle w:val="864"/>
              <w:pBdr/>
              <w:spacing w:after="0" w:before="0" w:line="240" w:lineRule="auto"/>
              <w:ind w:right="0" w:firstLine="0" w:left="0"/>
              <w:jc w:val="center"/>
              <w:rPr/>
            </w:pPr>
            <w:r>
              <w:rPr>
                <w:rFonts w:ascii="Times New Roman" w:hAnsi="Times New Roman"/>
                <w:b w:val="0"/>
                <w:sz w:val="18"/>
              </w:rPr>
              <w:t xml:space="preserve">0.00010187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2494" w:type="dxa"/>
            <w:vAlign w:val="center"/>
          </w:tcPr>
          <w:p>
            <w:pPr>
              <w:pStyle w:val="864"/>
              <w:pBdr/>
              <w:spacing w:after="0" w:before="0" w:line="240" w:lineRule="auto"/>
              <w:ind w:right="0" w:firstLine="0" w:left="0"/>
              <w:jc w:val="center"/>
              <w:rPr/>
            </w:pPr>
            <w:r>
              <w:rPr>
                <w:rFonts w:ascii="Times New Roman" w:hAnsi="Times New Roman"/>
                <w:b w:val="0"/>
                <w:sz w:val="18"/>
              </w:rPr>
              <w:t xml:space="preserve">0.00010547</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933883"/>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jpg"/>
                        <pic:cNvPicPr>
                          <a:picLocks noChangeAspect="1"/>
                        </pic:cNvPicPr>
                        <pic:nvPr/>
                      </pic:nvPicPr>
                      <pic:blipFill rotWithShape="1">
                        <a:blip r:embed="rId23"/>
                        <a:stretch/>
                      </pic:blipFill>
                      <pic:spPr bwMode="auto">
                        <a:xfrm>
                          <a:off x="0" y="0"/>
                          <a:ext cx="6120000" cy="2933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9pt;height:231.01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5. </w:t>
      </w:r>
      <w:r>
        <w:rPr>
          <w:rFonts w:ascii="Times New Roman" w:hAnsi="Times New Roman"/>
          <w:b w:val="0"/>
          <w:sz w:val="20"/>
        </w:rPr>
        <w:t xml:space="preserve">Predictive sensitivity to noise </w:t>
      </w:r>
      <w:r>
        <w:rPr>
          <w:rFonts w:ascii="Times New Roman" w:hAnsi="Times New Roman"/>
          <w:b w:val="0"/>
          <w:sz w:val="20"/>
        </w:rPr>
        <w:t xml:space="preserve">and randomly missing inputs. Noise is relative to training standard deviation; missing inputs use training-mean imputation. Each point compares a perturbed condition with the same model’s clean case, without retraining. Source: ta01-robustness-summary.csv.</w:t>
      </w:r>
      <w:r>
        <w:rPr>
          <w:rFonts w:ascii="Times New Roman" w:hAnsi="Times New Roman" w:eastAsia="Calibri" w:cs="Times New Roman"/>
          <w:sz w:val="20"/>
          <w:szCs w:val="20"/>
          <w14:ligatures w14:val="none"/>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Figure 6 compares variants in which hydrological or mechanical inputs</w:t>
      </w:r>
      <w:r>
        <w:rPr>
          <w:rFonts w:ascii="Times New Roman" w:hAnsi="Times New Roman"/>
          <w:b w:val="0"/>
          <w:i w:val="0"/>
          <w:color w:val="000000"/>
          <w:sz w:val="20"/>
          <w:lang w:val="en-GB"/>
        </w:rPr>
        <w:t xml:space="preserve"> were replaced by their training means during inference. These are masking tests without retraining, not models trained without those variables. They do not isolate the causal contribution of individual correction-loss terms; that ablation remains pending.</w:t>
      </w:r>
      <w:r>
        <w:rPr>
          <w:rFonts w:ascii="Times New Roman" w:hAnsi="Times New Roman" w:cs="Times New Roman"/>
          <w:sz w:val="20"/>
          <w:szCs w:val="20"/>
        </w:rPr>
      </w:r>
    </w:p>
    <w:p w14:paraId="34EC1D43" w14:textId="592D63C8">
      <w:pPr>
        <w:keepNext w:val="true"/>
        <w:keepLines w:val="false"/>
        <w:widowControl w:val="true"/>
        <w:pBdr/>
        <w:spacing w:after="0" w:before="200" w:line="240" w:lineRule="auto"/>
        <w:ind w:right="0" w:firstLine="0" w:left="0"/>
        <w:jc w:val="center"/>
        <w:rPr>
          <w:rFonts w:ascii="Times New Roman" w:hAnsi="Times New Roman" w:cs="Times New Roman"/>
          <w:sz w:val="20"/>
          <w:szCs w:val="20"/>
        </w:rPr>
      </w:pPr>
      <w:r>
        <mc:AlternateContent>
          <mc:Choice Requires="wpg">
            <w:drawing>
              <wp:inline xmlns:wp="http://schemas.openxmlformats.org/drawingml/2006/wordprocessingDrawing" distT="0" distB="0" distL="0" distR="0">
                <wp:extent cx="6120000" cy="2756876"/>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jpg"/>
                        <pic:cNvPicPr>
                          <a:picLocks noChangeAspect="1"/>
                        </pic:cNvPicPr>
                        <pic:nvPr/>
                      </pic:nvPicPr>
                      <pic:blipFill rotWithShape="1">
                        <a:blip r:embed="rId24"/>
                        <a:stretch/>
                      </pic:blipFill>
                      <pic:spPr bwMode="auto">
                        <a:xfrm>
                          <a:off x="0" y="0"/>
                          <a:ext cx="6120000" cy="2756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89pt;height:217.08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sz w:val="20"/>
          <w:szCs w:val="20"/>
        </w:rPr>
      </w:r>
    </w:p>
    <w:p w14:paraId="106F7470" w14:textId="77417F69">
      <w:pPr>
        <w:keepNext w:val="fals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Figure 6. </w:t>
      </w:r>
      <w:r>
        <w:rPr>
          <w:rFonts w:ascii="Times New Roman" w:hAnsi="Times New Roman"/>
          <w:b w:val="0"/>
          <w:sz w:val="20"/>
        </w:rPr>
        <w:t xml:space="preserve">Hydrological and mechanical input masking at inference, using training means. MAE uses the same non-chronological test windows. Variants are not retrained models or isolated correction-loss ablations. Source: ta01-ablation-summary.csv.</w:t>
      </w:r>
      <w:r>
        <w:rPr>
          <w:rFonts w:ascii="Times New Roman" w:hAnsi="Times New Roman" w:eastAsia="Calibri" w:cs="Times New Roman"/>
          <w:sz w:val="20"/>
          <w:szCs w:val="20"/>
          <w14:ligatures w14:val="none"/>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4. Discussion</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w:t>
      </w:r>
      <w:r>
        <w:rPr>
          <w:rFonts w:ascii="Times New Roman" w:hAnsi="Times New Roman"/>
          <w:b w:val="0"/>
          <w:i w:val="0"/>
          <w:color w:val="000000"/>
          <w:sz w:val="20"/>
          <w:lang w:val="en-GB"/>
        </w:rPr>
        <w:t xml:space="preserve">e prototype combines a reproducible mechanical section, a trained temporal model and prediction-level provenance. In studies with field monitoring, parameter updating and comparison with observed events are central to interpreting a digital twin (Liu et al</w:t>
      </w:r>
      <w:r>
        <w:rPr>
          <w:rFonts w:ascii="Times New Roman" w:hAnsi="Times New Roman"/>
          <w:b w:val="0"/>
          <w:i w:val="0"/>
          <w:color w:val="000000"/>
          <w:sz w:val="20"/>
          <w:lang w:val="en-GB"/>
        </w:rPr>
        <w:t xml:space="preserve">., 2022; Piciullo et al., 2025). TA-01 lacks that comparison: only daily rainfall has an external origin, and the geotechnical response follows model assumptions. Low forecast error thus measures reproduction of the generator, not accuracy of a mine alert.</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Physical knowledge has been investigated in slope predictors (Dahal &amp; Lombardo, 2025; Pei et al., 2023). Here, monotonicity gives the correction a verifiable property, but its effect on MAE changes sign between the two years. This variation and intervals</w:t>
      </w:r>
      <w:r>
        <w:rPr>
          <w:rFonts w:ascii="Times New Roman" w:hAnsi="Times New Roman"/>
          <w:b w:val="0"/>
          <w:i w:val="0"/>
          <w:color w:val="000000"/>
          <w:sz w:val="20"/>
          <w:lang w:val="en-GB"/>
        </w:rPr>
        <w:t xml:space="preserve"> including zero support treating both predictors as experimental alternatives. The spatial evaluation incorporates discrete equilibrium but depends on the same FEM operator used for its reference; it does not establish a complete TA-01 field-equation PINN.</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No comparable benchmark of training time, inference time, energy use or end-to-end latency was recorded. Some artefacts contain partial inference measurements, insuff</w:t>
      </w:r>
      <w:r>
        <w:rPr>
          <w:rFonts w:ascii="Times New Roman" w:hAnsi="Times New Roman"/>
          <w:b w:val="0"/>
          <w:i w:val="0"/>
          <w:color w:val="000000"/>
          <w:sz w:val="20"/>
          <w:lang w:val="en-GB"/>
        </w:rPr>
        <w:t xml:space="preserve">icient to establish operational efficiency. The experiment therefore evaluates prediction error and internal robustness. The small absolute MAE improvement in the date-separated split does not by itself offset correction degradation under perturbed inputs.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numerical scale requires further caution. FEM post-processing stores nodal magnitudes with a rounding step of 10⁻⁵ mm (10⁻⁸ m), before constructing prediction windows. An average M</w:t>
      </w:r>
      <w:r>
        <w:rPr>
          <w:rFonts w:ascii="Times New Roman" w:hAnsi="Times New Roman"/>
          <w:b w:val="0"/>
          <w:i w:val="0"/>
          <w:color w:val="000000"/>
          <w:sz w:val="20"/>
          <w:lang w:val="en-GB"/>
        </w:rPr>
        <w:t xml:space="preserve">AE below that step is mathematically possible, but does not demonstrate physical resolution or instrument accuracy. Small error differences require sensitivity checks against storage precision and solver tolerance before geotechnical relevance is assigned.</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FEM assumes plane strain and linear elasticity, whereas real instability may involve plasticity, discontinuities, heterogeneity and transient flow. Comparison with a finer internal m</w:t>
      </w:r>
      <w:r>
        <w:rPr>
          <w:rFonts w:ascii="Times New Roman" w:hAnsi="Times New Roman"/>
          <w:b w:val="0"/>
          <w:i w:val="0"/>
          <w:color w:val="000000"/>
          <w:sz w:val="20"/>
          <w:lang w:val="en-GB"/>
        </w:rPr>
        <w:t xml:space="preserve">esh does not demonstrate monotonic convergence, and an external strength-reduction benchmark does not validate the in-house linear FEM. The visualiser index is not a substitute for a strength-reduction FoS. Field validation would require observed propertie</w:t>
      </w:r>
      <w:r>
        <w:rPr>
          <w:rFonts w:ascii="Times New Roman" w:hAnsi="Times New Roman"/>
          <w:b w:val="0"/>
          <w:i w:val="0"/>
          <w:color w:val="000000"/>
          <w:sz w:val="20"/>
          <w:lang w:val="en-GB"/>
        </w:rPr>
        <w:t xml:space="preserve">s and sensor series, independent geotechnical checks, events excluded from fitting, uncertainty analysis and validated alert criteria. Studying excavation sensitivity would also require representing geometric changes and evaluating them with relevant data.</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4.1. Threats to validity</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Internal validity. The generator and learning models share FEM-derived variables, potentially favouring agreement. Date separation, chronological tests and perturbation of held-out inputs red</w:t>
      </w:r>
      <w:r>
        <w:rPr>
          <w:rFonts w:ascii="Times New Roman" w:hAnsi="Times New Roman"/>
          <w:b w:val="0"/>
          <w:i w:val="0"/>
          <w:color w:val="000000"/>
          <w:sz w:val="20"/>
          <w:lang w:val="en-GB"/>
        </w:rPr>
        <w:t xml:space="preserve">uce temporal leakage but do not remove dependence on the generator. Known future rainfall is an idealised input rather than error-free operational information. Mean replacement can also produce combinations outside the generator’s joint input distribution.</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Construct validity. The target is maximum </w:t>
      </w:r>
      <w:r>
        <w:rPr>
          <w:rFonts w:ascii="Times New Roman" w:hAnsi="Times New Roman"/>
          <w:b w:val="0"/>
          <w:i w:val="0"/>
          <w:color w:val="000000"/>
          <w:sz w:val="20"/>
          <w:lang w:val="en-GB"/>
        </w:rPr>
        <w:t xml:space="preserve">rainfall-induced displacement relative to the initial state, rather than total displacement or a strength-reduction FoS. Monotonic correction encodes aggregate physical knowledge and is not a complete field-equation PINN. Conclusions use these definitions.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External validity. TA-01 uses one geometry, assumed property ranges and simplified rainfall profiles. Other lithologies, excavations, sensors and observed failures were not evaluated, preventing generalisation to a real mine.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Conclusion validity. Dates, rather than hourly windows, are the resampling units. Neither power calculations nor an equivalence threshold were specified before analysis; intervals</w:t>
      </w:r>
      <w:r>
        <w:rPr>
          <w:rFonts w:ascii="Times New Roman" w:hAnsi="Times New Roman"/>
          <w:b w:val="0"/>
          <w:i w:val="0"/>
          <w:color w:val="000000"/>
          <w:sz w:val="20"/>
          <w:lang w:val="en-GB"/>
        </w:rPr>
        <w:t xml:space="preserve"> including zero do not establish equivalence. The high-rainfall subsets include only two dates in 2024 and three in 2025, making coverage estimates unstable. FEM storage precision and variation between training seeds were not tested as sensitivity factors.</w:t>
      </w:r>
      <w:r>
        <w:rPr>
          <w:rFonts w:ascii="Times New Roman" w:hAnsi="Times New Roman" w:cs="Times New Roman"/>
          <w:sz w:val="20"/>
          <w:szCs w:val="20"/>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4.2. Responsible use</w:t>
      </w:r>
      <w:r>
        <w:rPr>
          <w:rFonts w:ascii="Times New Roman" w:hAnsi="Times New Roman" w:cs="Times New Roman"/>
          <w:b/>
          <w:bCs/>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prototype must not issue autonomous operational alerts. A false negative could delay inspection or evacuation; a false positive could unnecessarily interrupt oper</w:t>
      </w:r>
      <w:r>
        <w:rPr>
          <w:rFonts w:ascii="Times New Roman" w:hAnsi="Times New Roman"/>
          <w:b w:val="0"/>
          <w:i w:val="0"/>
          <w:color w:val="000000"/>
          <w:sz w:val="20"/>
          <w:lang w:val="en-GB"/>
        </w:rPr>
        <w:t xml:space="preserve">ations. Future use requires field-validated thresholds, sensor redundancy, version records, geotechnical professional review and an escalation procedure. Predictions beyond the training rainfall, geometry or material domain should be flagged as unreliable.</w:t>
      </w:r>
      <w:r>
        <w:rPr>
          <w:rFonts w:ascii="Times New Roman" w:hAnsi="Times New Roman" w:cs="Times New Roman"/>
          <w:sz w:val="20"/>
          <w:szCs w:val="20"/>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5. Conclusions</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For RQ1, the hybrid had the lowest MAE in the date-separated split, with relative reductions of 6.99% at 1 h and 2.46% at 6 h compared with LSTM. However, the ranking changed between chronological tests.</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RQ2 found no consistent advantage for residual correction: LSTM performed better in 2024 and the hybrid in 2025, with al</w:t>
      </w:r>
      <w:r>
        <w:rPr>
          <w:rFonts w:ascii="Times New Roman" w:hAnsi="Times New Roman"/>
          <w:b w:val="0"/>
          <w:i w:val="0"/>
          <w:color w:val="000000"/>
          <w:sz w:val="20"/>
          <w:lang w:val="en-GB"/>
        </w:rPr>
        <w:t xml:space="preserve">l four paired intervals including zero. For RQ3, both models degraded with noise and missing inputs, but the hybrid suffered larger relative and absolute error increases under the evaluated conditions. Input quality is therefore critical to this prototype.</w:t>
      </w:r>
      <w:r>
        <w:rPr>
          <w:rFonts w:ascii="Times New Roman" w:hAnsi="Times New Roman" w:cs="Times New Roman"/>
          <w:sz w:val="20"/>
          <w:szCs w:val="20"/>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RQ4 verified parts of the FEM implementation through internal tests and found partial spatial-approximation agreement under the same operator. These</w:t>
      </w:r>
      <w:r>
        <w:rPr>
          <w:rFonts w:ascii="Times New Roman" w:hAnsi="Times New Roman"/>
          <w:b w:val="0"/>
          <w:i w:val="0"/>
          <w:color w:val="000000"/>
          <w:sz w:val="20"/>
          <w:lang w:val="en-GB"/>
        </w:rPr>
        <w:t xml:space="preserve"> checks do not constitute independent geotechnical validation. TA-01 is a semisynthetic proof of concept for investigating the FEM–LSTM workflow; it validates neither operational alerts, real-time performance, operational FoS nor a governing-equation PINN.</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Data and code availability</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Code, scripts, semisynthetic scenarios, tr</w:t>
      </w:r>
      <w:r>
        <w:rPr>
          <w:rFonts w:ascii="Times New Roman" w:hAnsi="Times New Roman"/>
          <w:b w:val="0"/>
          <w:i w:val="0"/>
          <w:color w:val="000000"/>
          <w:sz w:val="20"/>
          <w:lang w:val="en-GB"/>
        </w:rPr>
        <w:t xml:space="preserve">ained weights and validation files are available in the public sslope repository (https://github.com/RobertoA1/sslope). The manifest data/validation/ta01-replication-manifest.json records SHA-256 hashes of inputs and outputs. Code and documentation use the</w:t>
      </w:r>
      <w:r>
        <w:rPr>
          <w:rFonts w:ascii="Times New Roman" w:hAnsi="Times New Roman"/>
          <w:b w:val="0"/>
          <w:i w:val="0"/>
          <w:color w:val="000000"/>
          <w:sz w:val="20"/>
          <w:lang w:val="en-GB"/>
        </w:rPr>
        <w:t xml:space="preserve"> MIT licence; original contributions in data/generated/, data/models/ and data/validation/ use CC BY 4.0 (data/LICENSE.md). NASA POWER rainfall and other external sources retain their separately documented provenance and terms. The README explains executio</w:t>
      </w:r>
      <w:r>
        <w:rPr>
          <w:rFonts w:ascii="Times New Roman" w:hAnsi="Times New Roman"/>
          <w:b w:val="0"/>
          <w:i w:val="0"/>
          <w:color w:val="000000"/>
          <w:sz w:val="20"/>
          <w:lang w:val="en-GB"/>
        </w:rPr>
        <w:t xml:space="preserve">n and Docker Compose reproduces the local web service. Python versions are not fixed for every experiment and an immutable publication release has not yet been deposited, limiting exact replication. No personal or confidential data were processed in TA-01.</w:t>
      </w:r>
      <w:r>
        <w:rPr>
          <w:rFonts w:ascii="Times New Roman" w:hAnsi="Times New Roman" w:cs="Times New Roman"/>
          <w:sz w:val="20"/>
          <w:szCs w:val="20"/>
        </w:rP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6. References</w:t>
      </w:r>
      <w:r>
        <w:rPr>
          <w:rFonts w:ascii="Times New Roman" w:hAnsi="Times New Roman" w:cs="Times New Roman"/>
          <w:b/>
          <w:bCs/>
        </w:rP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Anchiraico Alderete, J. K., Orellana Mendoza, E. E., Ayre Balbin, V., &amp; Toykin Mucha, C. R. (2026). </w:t>
      </w:r>
      <w:r>
        <w:rPr>
          <w:rFonts w:ascii="Times New Roman" w:hAnsi="Times New Roman"/>
          <w:i/>
          <w:sz w:val="20"/>
        </w:rPr>
        <w:t xml:space="preserve">Tecnologías de la información aplicadas a la simulación probabilística de estabilidad geotécnica mediante Python</w:t>
      </w:r>
      <w:r>
        <w:rPr>
          <w:rFonts w:ascii="Times New Roman" w:hAnsi="Times New Roman"/>
          <w:sz w:val="20"/>
        </w:rPr>
        <w:t xml:space="preserve">. Zenodo. https://doi.org/10.5281/zenodo.21273130</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Arias-Valencia, D. C., &amp; Aristizábal-Arias, J. A. (2024). Análisis probabilístico de estabilidad de taludes con falla planar en la Comuna Universitaria de la ciudad de Manizales (Colombia). </w:t>
      </w:r>
      <w:r>
        <w:rPr>
          <w:rFonts w:ascii="Times New Roman" w:hAnsi="Times New Roman"/>
          <w:i/>
          <w:sz w:val="20"/>
        </w:rPr>
        <w:t xml:space="preserve">Información Tecnológica</w:t>
      </w:r>
      <w:r>
        <w:rPr>
          <w:rFonts w:ascii="Times New Roman" w:hAnsi="Times New Roman"/>
          <w:sz w:val="20"/>
        </w:rPr>
        <w:t xml:space="preserve">, </w:t>
      </w:r>
      <w:r>
        <w:rPr>
          <w:rFonts w:ascii="Times New Roman" w:hAnsi="Times New Roman"/>
          <w:i/>
          <w:sz w:val="20"/>
        </w:rPr>
        <w:t xml:space="preserve">35</w:t>
      </w:r>
      <w:r>
        <w:rPr>
          <w:rFonts w:ascii="Times New Roman" w:hAnsi="Times New Roman"/>
          <w:sz w:val="20"/>
        </w:rPr>
        <w:t xml:space="preserve">(3), 1–10. https://doi.org/10.4067/S0718-07642024000300001</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Avellán, E., Carrera, J., &amp; Sánchez, D. (2023). Análisis tenso-deformacional del talud ubicado en la Avenida Mariscal Sucre, sector La Comuna. </w:t>
      </w:r>
      <w:r>
        <w:rPr>
          <w:rFonts w:ascii="Times New Roman" w:hAnsi="Times New Roman"/>
          <w:i/>
          <w:sz w:val="20"/>
        </w:rPr>
        <w:t xml:space="preserve">Green World Journal</w:t>
      </w:r>
      <w:r>
        <w:rPr>
          <w:rFonts w:ascii="Times New Roman" w:hAnsi="Times New Roman"/>
          <w:sz w:val="20"/>
        </w:rPr>
        <w:t xml:space="preserve">, </w:t>
      </w:r>
      <w:r>
        <w:rPr>
          <w:rFonts w:ascii="Times New Roman" w:hAnsi="Times New Roman"/>
          <w:i/>
          <w:sz w:val="20"/>
        </w:rPr>
        <w:t xml:space="preserve">6</w:t>
      </w:r>
      <w:r>
        <w:rPr>
          <w:rFonts w:ascii="Times New Roman" w:hAnsi="Times New Roman"/>
          <w:sz w:val="20"/>
        </w:rPr>
        <w:t xml:space="preserve">(3). https://doi.org/10.53313/gwj62090</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Blas Cano, J. W., &amp; Milla Vergara, E. A. (2023). Caracterización geotécnica para determinar el modelo de estabilización del talud a escala reducida. </w:t>
      </w:r>
      <w:r>
        <w:rPr>
          <w:rFonts w:ascii="Times New Roman" w:hAnsi="Times New Roman"/>
          <w:i/>
          <w:sz w:val="20"/>
        </w:rPr>
        <w:t xml:space="preserve">Revista del Instituto de Investigación de la Facultad de Minas, Metalurgia y Ciencias Geográficas</w:t>
      </w:r>
      <w:r>
        <w:rPr>
          <w:rFonts w:ascii="Times New Roman" w:hAnsi="Times New Roman"/>
          <w:sz w:val="20"/>
        </w:rPr>
        <w:t xml:space="preserve">, </w:t>
      </w:r>
      <w:r>
        <w:rPr>
          <w:rFonts w:ascii="Times New Roman" w:hAnsi="Times New Roman"/>
          <w:i/>
          <w:sz w:val="20"/>
        </w:rPr>
        <w:t xml:space="preserve">26</w:t>
      </w:r>
      <w:r>
        <w:rPr>
          <w:rFonts w:ascii="Times New Roman" w:hAnsi="Times New Roman"/>
          <w:sz w:val="20"/>
        </w:rPr>
        <w:t xml:space="preserve">(51), e24403. https://doi.org/10.15381/iigeo.v26i51.24403</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Briceño, J., Guillén, M., Belandria, N., &amp; León, F. (2023). Análisis de estabilidad de taludes de secciones típicas en la construcción de carreteras a través de modelos numéricos. Tekhné, 26(3), 62–72. https://doi.org/10.62876/tekhn.v26i3.6137</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Briceño Balza, J. E., Belandria Rodriguez, N. T., &amp; León Oviedo, F. M. (2022). Ubicación y profundidad de la grieta de tracción en taludes con el empleo de modelos numéricos. </w:t>
      </w:r>
      <w:r>
        <w:rPr>
          <w:rFonts w:ascii="Times New Roman" w:hAnsi="Times New Roman"/>
          <w:i/>
          <w:sz w:val="20"/>
        </w:rPr>
        <w:t xml:space="preserve">Revista Técnica de la Facultad de Ingeniería Universidad del Zulia</w:t>
      </w:r>
      <w:r>
        <w:rPr>
          <w:rFonts w:ascii="Times New Roman" w:hAnsi="Times New Roman"/>
          <w:sz w:val="20"/>
        </w:rPr>
        <w:t xml:space="preserve">, </w:t>
      </w:r>
      <w:r>
        <w:rPr>
          <w:rFonts w:ascii="Times New Roman" w:hAnsi="Times New Roman"/>
          <w:i/>
          <w:sz w:val="20"/>
        </w:rPr>
        <w:t xml:space="preserve">45</w:t>
      </w:r>
      <w:r>
        <w:rPr>
          <w:rFonts w:ascii="Times New Roman" w:hAnsi="Times New Roman"/>
          <w:sz w:val="20"/>
        </w:rPr>
        <w:t xml:space="preserve">(2), 111–121. https://doi.org/10.22209/rt.v45n2a04</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Bustillos Cotrado, J. A. (2024). Análisis bidimensional de estabilidad del talud en una zona de falla geológica en Chinchao, Huánuco, Perú. </w:t>
      </w:r>
      <w:r>
        <w:rPr>
          <w:rFonts w:ascii="Times New Roman" w:hAnsi="Times New Roman"/>
          <w:i/>
          <w:sz w:val="20"/>
        </w:rPr>
        <w:t xml:space="preserve">Revista Peruana de Ingeniería, Arquitectura y Medio Ambiente</w:t>
      </w:r>
      <w:r>
        <w:rPr>
          <w:rFonts w:ascii="Times New Roman" w:hAnsi="Times New Roman"/>
          <w:sz w:val="20"/>
        </w:rPr>
        <w:t xml:space="preserve">, </w:t>
      </w:r>
      <w:r>
        <w:rPr>
          <w:rFonts w:ascii="Times New Roman" w:hAnsi="Times New Roman"/>
          <w:i/>
          <w:sz w:val="20"/>
        </w:rPr>
        <w:t xml:space="preserve">1</w:t>
      </w:r>
      <w:r>
        <w:rPr>
          <w:rFonts w:ascii="Times New Roman" w:hAnsi="Times New Roman"/>
          <w:sz w:val="20"/>
        </w:rPr>
        <w:t xml:space="preserve">(1), 9–17. https://doi.org/10.37711/repiama.2024.1.1.2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Caballero, C., Castillo, P., Castrellón, J., &amp; Rodríguez, S. (2023). Análisis geomecánico mediante modelo de estabilidad de laderas en la zona de Bambito (Chiriquí). </w:t>
      </w:r>
      <w:r>
        <w:rPr>
          <w:rFonts w:ascii="Times New Roman" w:hAnsi="Times New Roman"/>
          <w:i/>
          <w:sz w:val="20"/>
        </w:rPr>
        <w:t xml:space="preserve">Revista de Iniciación Científica</w:t>
      </w:r>
      <w:r>
        <w:rPr>
          <w:rFonts w:ascii="Times New Roman" w:hAnsi="Times New Roman"/>
          <w:sz w:val="20"/>
        </w:rPr>
        <w:t xml:space="preserve">, </w:t>
      </w:r>
      <w:r>
        <w:rPr>
          <w:rFonts w:ascii="Times New Roman" w:hAnsi="Times New Roman"/>
          <w:i/>
          <w:sz w:val="20"/>
        </w:rPr>
        <w:t xml:space="preserve">9</w:t>
      </w:r>
      <w:r>
        <w:rPr>
          <w:rFonts w:ascii="Times New Roman" w:hAnsi="Times New Roman"/>
          <w:sz w:val="20"/>
        </w:rPr>
        <w:t xml:space="preserve">(2), 91–97. https://doi.org/10.33412/rev-ric.v9.2.3846</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Campos, F., Mora, R., Sequeira, J., &amp; Garnier, M. (2022). Aplicación de análisis de admisibilidad cinemática y equilibrio límite para optimizar la geometría de explotación de una cantera en el cantón de León Cortes, San José, Costa Rica. </w:t>
      </w:r>
      <w:r>
        <w:rPr>
          <w:rFonts w:ascii="Times New Roman" w:hAnsi="Times New Roman"/>
          <w:i/>
          <w:sz w:val="20"/>
        </w:rPr>
        <w:t xml:space="preserve">Revista Geológica de América Central</w:t>
      </w:r>
      <w:r>
        <w:rPr>
          <w:rFonts w:ascii="Times New Roman" w:hAnsi="Times New Roman"/>
          <w:sz w:val="20"/>
        </w:rPr>
        <w:t xml:space="preserve">, (66), 1–25. https://doi.org/10.15517/rgac.v66i0.49786</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Catari Colque, P. P</w:t>
      </w:r>
      <w:r>
        <w:rPr>
          <w:rFonts w:ascii="Times New Roman" w:hAnsi="Times New Roman"/>
          <w:sz w:val="20"/>
        </w:rPr>
        <w:t xml:space="preserve">., Barriga Paria, C. J., Villanueva Ari, C. R., Gomez Velasquez, J. M., Alvarado Ramirez, H. L., Melgar Raymundo, D. R., &amp; Chirinos Quintanilla, E. A. (2025). Optimización del diseño de talud en minería superficial mediante el método de elementos finitos. </w:t>
      </w:r>
      <w:r>
        <w:rPr>
          <w:rFonts w:ascii="Times New Roman" w:hAnsi="Times New Roman"/>
          <w:i/>
          <w:sz w:val="20"/>
        </w:rPr>
        <w:t xml:space="preserve">Novasinergia Revista Digital de Ciencia, Ingeniería y Tecnología</w:t>
      </w:r>
      <w:r>
        <w:rPr>
          <w:rFonts w:ascii="Times New Roman" w:hAnsi="Times New Roman"/>
          <w:sz w:val="20"/>
        </w:rPr>
        <w:t xml:space="preserve">, </w:t>
      </w:r>
      <w:r>
        <w:rPr>
          <w:rFonts w:ascii="Times New Roman" w:hAnsi="Times New Roman"/>
          <w:i/>
          <w:sz w:val="20"/>
        </w:rPr>
        <w:t xml:space="preserve">8</w:t>
      </w:r>
      <w:r>
        <w:rPr>
          <w:rFonts w:ascii="Times New Roman" w:hAnsi="Times New Roman"/>
          <w:sz w:val="20"/>
        </w:rPr>
        <w:t xml:space="preserve">(1), 33–51. https://doi.org/10.37135/ns.01.15.09</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Chilon Chilon, R. (2025). Análisis de relaves filtrados para la estabilización física en la conformación de una presa. </w:t>
      </w:r>
      <w:r>
        <w:rPr>
          <w:rFonts w:ascii="Times New Roman" w:hAnsi="Times New Roman"/>
          <w:i/>
          <w:sz w:val="20"/>
        </w:rPr>
        <w:t xml:space="preserve">Aporte Santiaguino</w:t>
      </w:r>
      <w:r>
        <w:rPr>
          <w:rFonts w:ascii="Times New Roman" w:hAnsi="Times New Roman"/>
          <w:sz w:val="20"/>
        </w:rPr>
        <w:t xml:space="preserve">, </w:t>
      </w:r>
      <w:r>
        <w:rPr>
          <w:rFonts w:ascii="Times New Roman" w:hAnsi="Times New Roman"/>
          <w:i/>
          <w:sz w:val="20"/>
        </w:rPr>
        <w:t xml:space="preserve">18</w:t>
      </w:r>
      <w:r>
        <w:rPr>
          <w:rFonts w:ascii="Times New Roman" w:hAnsi="Times New Roman"/>
          <w:sz w:val="20"/>
        </w:rPr>
        <w:t xml:space="preserve">(2), 157–168. https://doi.org/10.32911/as.2025.v18.n2.1232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Cusme Intriago, R. R., Herrera Martínez, Y. A., Lagla Guishcasho, A. E., &amp; Cruz Aguinda, E. A. (2026). Análisis de estabilidad de taludes para el reservorio de la comunidad de Maca Atapulo. </w:t>
      </w:r>
      <w:r>
        <w:rPr>
          <w:rFonts w:ascii="Times New Roman" w:hAnsi="Times New Roman"/>
          <w:i/>
          <w:sz w:val="20"/>
        </w:rPr>
        <w:t xml:space="preserve">RECIAMUC</w:t>
      </w:r>
      <w:r>
        <w:rPr>
          <w:rFonts w:ascii="Times New Roman" w:hAnsi="Times New Roman"/>
          <w:sz w:val="20"/>
        </w:rPr>
        <w:t xml:space="preserve">, </w:t>
      </w:r>
      <w:r>
        <w:rPr>
          <w:rFonts w:ascii="Times New Roman" w:hAnsi="Times New Roman"/>
          <w:i/>
          <w:sz w:val="20"/>
        </w:rPr>
        <w:t xml:space="preserve">10</w:t>
      </w:r>
      <w:r>
        <w:rPr>
          <w:rFonts w:ascii="Times New Roman" w:hAnsi="Times New Roman"/>
          <w:sz w:val="20"/>
        </w:rPr>
        <w:t xml:space="preserve">(1 especial), 189–197. https://doi.org/10.26820/reciamuc/10.(1).especial.2026.189-197</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Dahal, A., &amp; Lombardo, L. (2025). Towards physics-informed neural networks for landslide prediction. </w:t>
      </w:r>
      <w:r>
        <w:rPr>
          <w:rFonts w:ascii="Times New Roman" w:hAnsi="Times New Roman"/>
          <w:i/>
          <w:sz w:val="20"/>
        </w:rPr>
        <w:t xml:space="preserve">Engineering Geology</w:t>
      </w:r>
      <w:r>
        <w:rPr>
          <w:rFonts w:ascii="Times New Roman" w:hAnsi="Times New Roman"/>
          <w:sz w:val="20"/>
        </w:rPr>
        <w:t xml:space="preserve">, </w:t>
      </w:r>
      <w:r>
        <w:rPr>
          <w:rFonts w:ascii="Times New Roman" w:hAnsi="Times New Roman"/>
          <w:i/>
          <w:sz w:val="20"/>
        </w:rPr>
        <w:t xml:space="preserve">344</w:t>
      </w:r>
      <w:r>
        <w:rPr>
          <w:rFonts w:ascii="Times New Roman" w:hAnsi="Times New Roman"/>
          <w:sz w:val="20"/>
        </w:rPr>
        <w:t xml:space="preserve">, 107852. https://doi.org/10.1016/j.enggeo.2024.107852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Dong, X., Li, S., Ma, R., Tian, W., Zhao, K., Xiang, H., … Qiu, Y. (2025). Cloud-based slope risk monitoring and early warning system for open-pit coal mines: A case study of Zhonglian Runshi.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15</w:t>
      </w:r>
      <w:r>
        <w:rPr>
          <w:rFonts w:ascii="Times New Roman" w:hAnsi="Times New Roman"/>
          <w:sz w:val="20"/>
        </w:rPr>
        <w:t xml:space="preserve">, 44396. https://doi.org/10.1038/s41598-025-28190-4</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Du, K., Li, S., &amp; Li, C. (2026). An integrated simulation–AI framework for fast stability evaluation and risk-control-oriented design of open-pit mine slopes. </w:t>
      </w:r>
      <w:r>
        <w:rPr>
          <w:rFonts w:ascii="Times New Roman" w:hAnsi="Times New Roman"/>
          <w:i/>
          <w:sz w:val="20"/>
        </w:rPr>
        <w:t xml:space="preserve">Applied Sciences</w:t>
      </w:r>
      <w:r>
        <w:rPr>
          <w:rFonts w:ascii="Times New Roman" w:hAnsi="Times New Roman"/>
          <w:sz w:val="20"/>
        </w:rPr>
        <w:t xml:space="preserve">, </w:t>
      </w:r>
      <w:r>
        <w:rPr>
          <w:rFonts w:ascii="Times New Roman" w:hAnsi="Times New Roman"/>
          <w:i/>
          <w:sz w:val="20"/>
        </w:rPr>
        <w:t xml:space="preserve">16</w:t>
      </w:r>
      <w:r>
        <w:rPr>
          <w:rFonts w:ascii="Times New Roman" w:hAnsi="Times New Roman"/>
          <w:sz w:val="20"/>
        </w:rPr>
        <w:t xml:space="preserve">(10), 4932. https://doi.org/10.3390/app16104932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i w:val="0"/>
          <w:sz w:val="20"/>
        </w:rPr>
        <w:t xml:space="preserve">Field, C. A., &amp; Welsh, A. H. (2007). Bootstrapping clustered data. </w:t>
      </w:r>
      <w:r>
        <w:rPr>
          <w:rFonts w:ascii="Times New Roman" w:hAnsi="Times New Roman"/>
          <w:i/>
          <w:sz w:val="20"/>
        </w:rPr>
        <w:t xml:space="preserve">Journal of the Royal Statistical Society: Series B (Statistical Methodology), 69</w:t>
      </w:r>
      <w:r>
        <w:rPr>
          <w:rFonts w:ascii="Times New Roman" w:hAnsi="Times New Roman"/>
          <w:i w:val="0"/>
          <w:sz w:val="20"/>
        </w:rPr>
        <w:t xml:space="preserve">(3), 369–390. https://doi.org/10.1111/j.1467-9868.2007.00593.x</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González Serrano, D. H. (2025). Metodología aplicada al análisis geotécnico y evaluación de la estabilidad de taludes mediante SIG en entornos mineros. </w:t>
      </w:r>
      <w:r>
        <w:rPr>
          <w:rFonts w:ascii="Times New Roman" w:hAnsi="Times New Roman"/>
          <w:i/>
          <w:sz w:val="20"/>
        </w:rPr>
        <w:t xml:space="preserve">Revista Científica de Salud y Desarrollo Humano</w:t>
      </w:r>
      <w:r>
        <w:rPr>
          <w:rFonts w:ascii="Times New Roman" w:hAnsi="Times New Roman"/>
          <w:sz w:val="20"/>
        </w:rPr>
        <w:t xml:space="preserve">, </w:t>
      </w:r>
      <w:r>
        <w:rPr>
          <w:rFonts w:ascii="Times New Roman" w:hAnsi="Times New Roman"/>
          <w:i/>
          <w:sz w:val="20"/>
        </w:rPr>
        <w:t xml:space="preserve">6</w:t>
      </w:r>
      <w:r>
        <w:rPr>
          <w:rFonts w:ascii="Times New Roman" w:hAnsi="Times New Roman"/>
          <w:sz w:val="20"/>
        </w:rPr>
        <w:t xml:space="preserve">(4), 797–829. https://doi.org/10.61368/r.s.d.h.v6i4.907</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Guan, Z., &amp; Wang, Y. (2024). Fusion of three-dimensional geotechnical and geophysical data for developing digital twin of underground space. </w:t>
      </w:r>
      <w:r>
        <w:rPr>
          <w:rFonts w:ascii="Times New Roman" w:hAnsi="Times New Roman"/>
          <w:i/>
          <w:sz w:val="20"/>
        </w:rPr>
        <w:t xml:space="preserve">Soils and Foundations</w:t>
      </w:r>
      <w:r>
        <w:rPr>
          <w:rFonts w:ascii="Times New Roman" w:hAnsi="Times New Roman"/>
          <w:sz w:val="20"/>
        </w:rPr>
        <w:t xml:space="preserve">, </w:t>
      </w:r>
      <w:r>
        <w:rPr>
          <w:rFonts w:ascii="Times New Roman" w:hAnsi="Times New Roman"/>
          <w:i/>
          <w:sz w:val="20"/>
        </w:rPr>
        <w:t xml:space="preserve">64</w:t>
      </w:r>
      <w:r>
        <w:rPr>
          <w:rFonts w:ascii="Times New Roman" w:hAnsi="Times New Roman"/>
          <w:sz w:val="20"/>
        </w:rPr>
        <w:t xml:space="preserve">(6), 101528. https://doi.org/10.1016/j.sandf.2024.101528</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Góme</w:t>
      </w:r>
      <w:r>
        <w:rPr>
          <w:rFonts w:ascii="Times New Roman" w:hAnsi="Times New Roman"/>
          <w:sz w:val="20"/>
        </w:rPr>
        <w:t xml:space="preserve">z Intriago, E. C., Guevara Sánchez, D. F., &amp; Ortiz Hernández, E. (2024). Diseño de estabilidad de talud del sector de la Simbocal, vía Margarita-San Vicente, provincia de Manabí. Polo del Conocimiento, 9(3), 1905–1917. https://doi.org/10.23857/pc.v9i3.6761</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Hamzaban, M.-T., Kanoundoust, S., &amp; Geraili Mikola, R. (2026). Evaluating 2D and 3D slope stability in a complex open-pit mine: A CAD-based numerical study.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16</w:t>
      </w:r>
      <w:r>
        <w:rPr>
          <w:rFonts w:ascii="Times New Roman" w:hAnsi="Times New Roman"/>
          <w:sz w:val="20"/>
        </w:rPr>
        <w:t xml:space="preserve">, 28126. https://doi.org/10.1038/s41598-026-58822-2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i w:val="0"/>
          <w:sz w:val="20"/>
        </w:rPr>
        <w:t xml:space="preserve">Hochreiter, S., &amp; Schmidhuber, J. (1997). Long short-term memory. </w:t>
      </w:r>
      <w:r>
        <w:rPr>
          <w:rFonts w:ascii="Times New Roman" w:hAnsi="Times New Roman"/>
          <w:i/>
          <w:sz w:val="20"/>
        </w:rPr>
        <w:t xml:space="preserve">Neural Computation, 9</w:t>
      </w:r>
      <w:r>
        <w:rPr>
          <w:rFonts w:ascii="Times New Roman" w:hAnsi="Times New Roman"/>
          <w:i w:val="0"/>
          <w:sz w:val="20"/>
        </w:rPr>
        <w:t xml:space="preserve">(8), 1735–1780. https://doi.org/10.1162/neco.1997.9.8.1735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i w:val="0"/>
          <w:sz w:val="20"/>
        </w:rPr>
        <w:t xml:space="preserve">Karniadakis, G. E., Kevrekidis, I. G., Lu, L., Perdikaris, P., Wang, S., &amp; Yang, L. (2021). Physics-informed machine learning. </w:t>
      </w:r>
      <w:r>
        <w:rPr>
          <w:rFonts w:ascii="Times New Roman" w:hAnsi="Times New Roman"/>
          <w:i/>
          <w:sz w:val="20"/>
        </w:rPr>
        <w:t xml:space="preserve">Nature Reviews Physics, 3</w:t>
      </w:r>
      <w:r>
        <w:rPr>
          <w:rFonts w:ascii="Times New Roman" w:hAnsi="Times New Roman"/>
          <w:i w:val="0"/>
          <w:sz w:val="20"/>
        </w:rPr>
        <w:t xml:space="preserve">, 422–440. https://doi.org/10.1038/s42254-021-00314-5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i w:val="0"/>
          <w:sz w:val="20"/>
        </w:rPr>
        <w:t xml:space="preserve">Kingma, D. P., &amp; Ba, J. (2015). </w:t>
      </w:r>
      <w:r>
        <w:rPr>
          <w:rFonts w:ascii="Times New Roman" w:hAnsi="Times New Roman"/>
          <w:i/>
          <w:sz w:val="20"/>
        </w:rPr>
        <w:t xml:space="preserve">Adam: A method for stochastic optimization.</w:t>
      </w:r>
      <w:r>
        <w:rPr>
          <w:rFonts w:ascii="Times New Roman" w:hAnsi="Times New Roman"/>
          <w:i w:val="0"/>
          <w:sz w:val="20"/>
        </w:rPr>
        <w:t xml:space="preserve"> International Conference on Learning Representations. https://arxiv.org/abs/1412.6980</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Liu, X., Wang, Y., Koo, R. C. H., &amp; Kwan, J. S. H. (2022). Development of a slope digital twin for predicting temporal variation of rainfall-induced slope instability using past slope performance records and monitoring data. </w:t>
      </w:r>
      <w:r>
        <w:rPr>
          <w:rFonts w:ascii="Times New Roman" w:hAnsi="Times New Roman"/>
          <w:i/>
          <w:sz w:val="20"/>
        </w:rPr>
        <w:t xml:space="preserve">Engineering Geology</w:t>
      </w:r>
      <w:r>
        <w:rPr>
          <w:rFonts w:ascii="Times New Roman" w:hAnsi="Times New Roman"/>
          <w:sz w:val="20"/>
        </w:rPr>
        <w:t xml:space="preserve">, </w:t>
      </w:r>
      <w:r>
        <w:rPr>
          <w:rFonts w:ascii="Times New Roman" w:hAnsi="Times New Roman"/>
          <w:i/>
          <w:sz w:val="20"/>
        </w:rPr>
        <w:t xml:space="preserve">308</w:t>
      </w:r>
      <w:r>
        <w:rPr>
          <w:rFonts w:ascii="Times New Roman" w:hAnsi="Times New Roman"/>
          <w:sz w:val="20"/>
        </w:rPr>
        <w:t xml:space="preserve">, 106825. https://doi.org/10.1016/j.enggeo.2022.106825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Liu, Y., &amp; Jia, C. (2026). Integrating deep neural network with elastoplastic analysis: A hybrid approach for slope stability analysis. </w:t>
      </w:r>
      <w:r>
        <w:rPr>
          <w:rFonts w:ascii="Times New Roman" w:hAnsi="Times New Roman"/>
          <w:i/>
          <w:sz w:val="20"/>
        </w:rPr>
        <w:t xml:space="preserve">Environmental Earth Sciences</w:t>
      </w:r>
      <w:r>
        <w:rPr>
          <w:rFonts w:ascii="Times New Roman" w:hAnsi="Times New Roman"/>
          <w:sz w:val="20"/>
        </w:rPr>
        <w:t xml:space="preserve">, </w:t>
      </w:r>
      <w:r>
        <w:rPr>
          <w:rFonts w:ascii="Times New Roman" w:hAnsi="Times New Roman"/>
          <w:i/>
          <w:sz w:val="20"/>
        </w:rPr>
        <w:t xml:space="preserve">85</w:t>
      </w:r>
      <w:r>
        <w:rPr>
          <w:rFonts w:ascii="Times New Roman" w:hAnsi="Times New Roman"/>
          <w:sz w:val="20"/>
        </w:rPr>
        <w:t xml:space="preserve">(14), 368. https://doi.org/10.1007/s12665-026-13107-9</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Lyu, J., Hu, T., Liu, G., Cao, B., Wang, W., &amp; Li, S. (2024). Stability evaluation of open-pit mine slope based on Bayesian optimization 1D-CNN.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14</w:t>
      </w:r>
      <w:r>
        <w:rPr>
          <w:rFonts w:ascii="Times New Roman" w:hAnsi="Times New Roman"/>
          <w:sz w:val="20"/>
        </w:rPr>
        <w:t xml:space="preserve">, 13995. https://doi.org/10.1038/s41598-024-64663-8</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Montúfar Chiriboga, G. J. (2025). Estudio de la estabilidad de taludes en Panamá bajo diferentes condiciones de carga utilizando elementos finitos. </w:t>
      </w:r>
      <w:r>
        <w:rPr>
          <w:rFonts w:ascii="Times New Roman" w:hAnsi="Times New Roman"/>
          <w:i/>
          <w:sz w:val="20"/>
        </w:rPr>
        <w:t xml:space="preserve">Revista Saberes APUDEP</w:t>
      </w:r>
      <w:r>
        <w:rPr>
          <w:rFonts w:ascii="Times New Roman" w:hAnsi="Times New Roman"/>
          <w:sz w:val="20"/>
        </w:rPr>
        <w:t xml:space="preserve">, </w:t>
      </w:r>
      <w:r>
        <w:rPr>
          <w:rFonts w:ascii="Times New Roman" w:hAnsi="Times New Roman"/>
          <w:i/>
          <w:sz w:val="20"/>
        </w:rPr>
        <w:t xml:space="preserve">8</w:t>
      </w:r>
      <w:r>
        <w:rPr>
          <w:rFonts w:ascii="Times New Roman" w:hAnsi="Times New Roman"/>
          <w:sz w:val="20"/>
        </w:rPr>
        <w:t xml:space="preserve">(1), 40–54. https://doi.org/10.48204/j.saberes.v8n1.a6780</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Nanda, S., &amp; Patel, S. (2026). Evaluating LEM, FEM, and DFN approaches for rock slope stability across GSI ranges for open-pit mine. </w:t>
      </w:r>
      <w:r>
        <w:rPr>
          <w:rFonts w:ascii="Times New Roman" w:hAnsi="Times New Roman"/>
          <w:i/>
          <w:sz w:val="20"/>
        </w:rPr>
        <w:t xml:space="preserve">Scientific Reports</w:t>
      </w:r>
      <w:r>
        <w:rPr>
          <w:rFonts w:ascii="Times New Roman" w:hAnsi="Times New Roman"/>
          <w:sz w:val="20"/>
        </w:rPr>
        <w:t xml:space="preserve">. Advance online publication. https://doi.org/10.1038/s41598-026-62662-5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National Aeronautics and Space Administration. (n.d.). </w:t>
      </w:r>
      <w:r>
        <w:rPr>
          <w:rFonts w:ascii="Times New Roman" w:hAnsi="Times New Roman"/>
          <w:i/>
          <w:sz w:val="20"/>
        </w:rPr>
        <w:t xml:space="preserve">Prediction Of Worldwide Energy Resources (POWER)</w:t>
      </w:r>
      <w:r>
        <w:rPr>
          <w:rFonts w:ascii="Times New Roman" w:hAnsi="Times New Roman"/>
          <w:sz w:val="20"/>
        </w:rPr>
        <w:t xml:space="preserve"> [Dataset]. Retrieved September 22, 2026, from https://power.larc.nasa.gov/</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Oliva González, A. O., Berumen Rodríguez, M. A., &amp; Mascareño Jiménez, D. (2023). Procedimiento práctico para evaluar la estabilidad y probabilidad de falla de taludes de corte en el área urbana de Tijuana, México. </w:t>
      </w:r>
      <w:r>
        <w:rPr>
          <w:rFonts w:ascii="Times New Roman" w:hAnsi="Times New Roman"/>
          <w:i/>
          <w:sz w:val="20"/>
        </w:rPr>
        <w:t xml:space="preserve">Revista Ingenio</w:t>
      </w:r>
      <w:r>
        <w:rPr>
          <w:rFonts w:ascii="Times New Roman" w:hAnsi="Times New Roman"/>
          <w:sz w:val="20"/>
        </w:rPr>
        <w:t xml:space="preserve">, </w:t>
      </w:r>
      <w:r>
        <w:rPr>
          <w:rFonts w:ascii="Times New Roman" w:hAnsi="Times New Roman"/>
          <w:i/>
          <w:sz w:val="20"/>
        </w:rPr>
        <w:t xml:space="preserve">20</w:t>
      </w:r>
      <w:r>
        <w:rPr>
          <w:rFonts w:ascii="Times New Roman" w:hAnsi="Times New Roman"/>
          <w:sz w:val="20"/>
        </w:rPr>
        <w:t xml:space="preserve">(1), 16–23. https://doi.org/10.22463/2011642X.3364</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Pei, T., Qiu, T., &amp; Shen, C. (2023). Applying knowledge-guided machine learning to slope stability prediction. </w:t>
      </w:r>
      <w:r>
        <w:rPr>
          <w:rFonts w:ascii="Times New Roman" w:hAnsi="Times New Roman"/>
          <w:i/>
          <w:sz w:val="20"/>
        </w:rPr>
        <w:t xml:space="preserve">Journal of Geotechnical and Geoenvironmental Engineering</w:t>
      </w:r>
      <w:r>
        <w:rPr>
          <w:rFonts w:ascii="Times New Roman" w:hAnsi="Times New Roman"/>
          <w:sz w:val="20"/>
        </w:rPr>
        <w:t xml:space="preserve">, </w:t>
      </w:r>
      <w:r>
        <w:rPr>
          <w:rFonts w:ascii="Times New Roman" w:hAnsi="Times New Roman"/>
          <w:i/>
          <w:sz w:val="20"/>
        </w:rPr>
        <w:t xml:space="preserve">149</w:t>
      </w:r>
      <w:r>
        <w:rPr>
          <w:rFonts w:ascii="Times New Roman" w:hAnsi="Times New Roman"/>
          <w:sz w:val="20"/>
        </w:rPr>
        <w:t xml:space="preserve">(10), 04023089. https://doi.org/10.1061/JGGEFK.GTENG-11053</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Peña Anampa, I. V., Vera Teves, R. M., Vasquez Ramirez, A. A., &amp; Gálvez Quintana, M. A. (2023). Evaluación del peligro por inestabilidad de taludes en la ruta PE-3S, Abancay. </w:t>
      </w:r>
      <w:r>
        <w:rPr>
          <w:rFonts w:ascii="Times New Roman" w:hAnsi="Times New Roman"/>
          <w:i/>
          <w:sz w:val="20"/>
        </w:rPr>
        <w:t xml:space="preserve">Hatun Yachay Wasi</w:t>
      </w:r>
      <w:r>
        <w:rPr>
          <w:rFonts w:ascii="Times New Roman" w:hAnsi="Times New Roman"/>
          <w:sz w:val="20"/>
        </w:rPr>
        <w:t xml:space="preserve">, </w:t>
      </w:r>
      <w:r>
        <w:rPr>
          <w:rFonts w:ascii="Times New Roman" w:hAnsi="Times New Roman"/>
          <w:i/>
          <w:sz w:val="20"/>
        </w:rPr>
        <w:t xml:space="preserve">2</w:t>
      </w:r>
      <w:r>
        <w:rPr>
          <w:rFonts w:ascii="Times New Roman" w:hAnsi="Times New Roman"/>
          <w:sz w:val="20"/>
        </w:rPr>
        <w:t xml:space="preserve">(2), 40–51. https://doi.org/10.57107/hyw.v2i2.45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Piciullo, L., Abraham, M. T., Drøsdal, I. N., &amp; Paulsen, E. S. (2025). An operational IoT-based slope stability forecast using a digital twin. </w:t>
      </w:r>
      <w:r>
        <w:rPr>
          <w:rFonts w:ascii="Times New Roman" w:hAnsi="Times New Roman"/>
          <w:i/>
          <w:sz w:val="20"/>
        </w:rPr>
        <w:t xml:space="preserve">Environmental Modelling &amp; Software</w:t>
      </w:r>
      <w:r>
        <w:rPr>
          <w:rFonts w:ascii="Times New Roman" w:hAnsi="Times New Roman"/>
          <w:sz w:val="20"/>
        </w:rPr>
        <w:t xml:space="preserve">, </w:t>
      </w:r>
      <w:r>
        <w:rPr>
          <w:rFonts w:ascii="Times New Roman" w:hAnsi="Times New Roman"/>
          <w:i/>
          <w:sz w:val="20"/>
        </w:rPr>
        <w:t xml:space="preserve">183</w:t>
      </w:r>
      <w:r>
        <w:rPr>
          <w:rFonts w:ascii="Times New Roman" w:hAnsi="Times New Roman"/>
          <w:sz w:val="20"/>
        </w:rPr>
        <w:t xml:space="preserve">, 106228. https://doi.org/10.1016/j.envsoft.2024.106228</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Ragam, P., Kushal Kumar, N., Ajith, J. E., Karthik, G., Himanshu, V. K., Sree Machupalli, D., &amp; Ramesh Murlidhar, B. (2024). Estimation of slope stability using ensemble-based hybrid machine learning approaches. </w:t>
      </w:r>
      <w:r>
        <w:rPr>
          <w:rFonts w:ascii="Times New Roman" w:hAnsi="Times New Roman"/>
          <w:i/>
          <w:sz w:val="20"/>
        </w:rPr>
        <w:t xml:space="preserve">Frontiers in Materials</w:t>
      </w:r>
      <w:r>
        <w:rPr>
          <w:rFonts w:ascii="Times New Roman" w:hAnsi="Times New Roman"/>
          <w:sz w:val="20"/>
        </w:rPr>
        <w:t xml:space="preserve">, </w:t>
      </w:r>
      <w:r>
        <w:rPr>
          <w:rFonts w:ascii="Times New Roman" w:hAnsi="Times New Roman"/>
          <w:i/>
          <w:sz w:val="20"/>
        </w:rPr>
        <w:t xml:space="preserve">11</w:t>
      </w:r>
      <w:r>
        <w:rPr>
          <w:rFonts w:ascii="Times New Roman" w:hAnsi="Times New Roman"/>
          <w:sz w:val="20"/>
        </w:rPr>
        <w:t xml:space="preserve">, 1330609. https://doi.org/10.3389/fmats.2024.1330609</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i w:val="0"/>
          <w:sz w:val="20"/>
        </w:rPr>
        <w:t xml:space="preserve">Raissi, M., Perdikaris, P., &amp; Karniadakis, G. E. (2019). Physics-informed neural networks: A deep learning framework for solving forward and inverse problems involving nonlinear partial differential equations. </w:t>
      </w:r>
      <w:r>
        <w:rPr>
          <w:rFonts w:ascii="Times New Roman" w:hAnsi="Times New Roman"/>
          <w:i/>
          <w:sz w:val="20"/>
        </w:rPr>
        <w:t xml:space="preserve">Journal of Computational Physics, 378</w:t>
      </w:r>
      <w:r>
        <w:rPr>
          <w:rFonts w:ascii="Times New Roman" w:hAnsi="Times New Roman"/>
          <w:i w:val="0"/>
          <w:sz w:val="20"/>
        </w:rPr>
        <w:t xml:space="preserve">, 686–707. https://doi.org/10.1016/j.jcp.2018.10.045</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Sequeira-Arguedas, J. M. (2023). Contexto de inestabilidad de laderas en la Ruta Nacional 613 en 2020, Coto Brus, Costa Rica. Infraestructura Vial, 25(44), 1–14. https://doi.org/10.15517/iv.v25i44.54752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Tan, W., Wu, S., Li, Y., &amp; Guo, Q. (2025). Digital twins’ application for geotechnical engineering: A review of current status and future directions in China. </w:t>
      </w:r>
      <w:r>
        <w:rPr>
          <w:rFonts w:ascii="Times New Roman" w:hAnsi="Times New Roman"/>
          <w:i/>
          <w:sz w:val="20"/>
        </w:rPr>
        <w:t xml:space="preserve">Applied Sciences</w:t>
      </w:r>
      <w:r>
        <w:rPr>
          <w:rFonts w:ascii="Times New Roman" w:hAnsi="Times New Roman"/>
          <w:sz w:val="20"/>
        </w:rPr>
        <w:t xml:space="preserve">, </w:t>
      </w:r>
      <w:r>
        <w:rPr>
          <w:rFonts w:ascii="Times New Roman" w:hAnsi="Times New Roman"/>
          <w:i/>
          <w:sz w:val="20"/>
        </w:rPr>
        <w:t xml:space="preserve">15</w:t>
      </w:r>
      <w:r>
        <w:rPr>
          <w:rFonts w:ascii="Times New Roman" w:hAnsi="Times New Roman"/>
          <w:sz w:val="20"/>
        </w:rPr>
        <w:t xml:space="preserve">(15), 8229. https://doi.org/10.3390/app15158229</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Tian, Y., Yang, Y., Ma, L., Qi, X., &amp; Lu, X. (2026). Enhancing the safety assessment of open-pit mine slopes with interpretable, data-driven stacking learning and three-dimensional stability analysis. </w:t>
      </w:r>
      <w:r>
        <w:rPr>
          <w:rFonts w:ascii="Times New Roman" w:hAnsi="Times New Roman"/>
          <w:i/>
          <w:sz w:val="20"/>
        </w:rPr>
        <w:t xml:space="preserve">Engineering Applications of Artificial Intelligence</w:t>
      </w:r>
      <w:r>
        <w:rPr>
          <w:rFonts w:ascii="Times New Roman" w:hAnsi="Times New Roman"/>
          <w:sz w:val="20"/>
        </w:rPr>
        <w:t xml:space="preserve">, </w:t>
      </w:r>
      <w:r>
        <w:rPr>
          <w:rFonts w:ascii="Times New Roman" w:hAnsi="Times New Roman"/>
          <w:i/>
          <w:sz w:val="20"/>
        </w:rPr>
        <w:t xml:space="preserve">177</w:t>
      </w:r>
      <w:r>
        <w:rPr>
          <w:rFonts w:ascii="Times New Roman" w:hAnsi="Times New Roman"/>
          <w:sz w:val="20"/>
        </w:rPr>
        <w:t xml:space="preserve">, 114862. https://doi.org/10.1016/j.engappai.2026.114862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Úcar Navarro, R., Arlegui Crespo, L., Belandria Rodríguez, N., &amp; Toro Mora, R. (2024). Criterios de rotura no lineales para la estabilidad de taludes en macizos rocosos con deslizamiento plano. </w:t>
      </w:r>
      <w:r>
        <w:rPr>
          <w:rFonts w:ascii="Times New Roman" w:hAnsi="Times New Roman"/>
          <w:i/>
          <w:sz w:val="20"/>
        </w:rPr>
        <w:t xml:space="preserve">Geogaceta</w:t>
      </w:r>
      <w:r>
        <w:rPr>
          <w:rFonts w:ascii="Times New Roman" w:hAnsi="Times New Roman"/>
          <w:sz w:val="20"/>
        </w:rPr>
        <w:t xml:space="preserve">, </w:t>
      </w:r>
      <w:r>
        <w:rPr>
          <w:rFonts w:ascii="Times New Roman" w:hAnsi="Times New Roman"/>
          <w:i/>
          <w:sz w:val="20"/>
        </w:rPr>
        <w:t xml:space="preserve">75</w:t>
      </w:r>
      <w:r>
        <w:rPr>
          <w:rFonts w:ascii="Times New Roman" w:hAnsi="Times New Roman"/>
          <w:sz w:val="20"/>
        </w:rPr>
        <w:t xml:space="preserve">, 99–102. https://doi.org/10.55407/geogaceta100833</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Wang, S., Zhang, Z., &amp; Wang, C. (2023). Prediction of stability coefficient of open-pit mine slope based on artificial intelligence deep learning algorithm.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13</w:t>
      </w:r>
      <w:r>
        <w:rPr>
          <w:rFonts w:ascii="Times New Roman" w:hAnsi="Times New Roman"/>
          <w:sz w:val="20"/>
        </w:rPr>
        <w:t xml:space="preserve">, 12017. https://doi.org/10.1038/s41598-023-38896-y</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Yiğit, A. Y., &amp; Şenol, H. İ. (2025). Surface change and stability analysis in open-pit mines using UAV photogrammetric data and geospatial analysis. </w:t>
      </w:r>
      <w:r>
        <w:rPr>
          <w:rFonts w:ascii="Times New Roman" w:hAnsi="Times New Roman"/>
          <w:i/>
          <w:sz w:val="20"/>
        </w:rPr>
        <w:t xml:space="preserve">Drones</w:t>
      </w:r>
      <w:r>
        <w:rPr>
          <w:rFonts w:ascii="Times New Roman" w:hAnsi="Times New Roman"/>
          <w:sz w:val="20"/>
        </w:rPr>
        <w:t xml:space="preserve">, </w:t>
      </w:r>
      <w:r>
        <w:rPr>
          <w:rFonts w:ascii="Times New Roman" w:hAnsi="Times New Roman"/>
          <w:i/>
          <w:sz w:val="20"/>
        </w:rPr>
        <w:t xml:space="preserve">9</w:t>
      </w:r>
      <w:r>
        <w:rPr>
          <w:rFonts w:ascii="Times New Roman" w:hAnsi="Times New Roman"/>
          <w:sz w:val="20"/>
        </w:rPr>
        <w:t xml:space="preserve">(7), 472. https://doi.org/10.3390/drones9070472</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Yin, L., Wang, D., Xing, X., Meng, X., &amp; Wu, Y. (2025). Research on 3D stability algorithm of spatial concave slope.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15</w:t>
      </w:r>
      <w:r>
        <w:rPr>
          <w:rFonts w:ascii="Times New Roman" w:hAnsi="Times New Roman"/>
          <w:sz w:val="20"/>
        </w:rPr>
        <w:t xml:space="preserve">, 22656. https://doi.org/10.1038/s41598-025-07733-9</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Yuan, J., Liu, G., &amp; Chai, S. (2024). 3D geological fine modeling and dynamic updating method of fault slope in open-pit coal mine. </w:t>
      </w:r>
      <w:r>
        <w:rPr>
          <w:rFonts w:ascii="Times New Roman" w:hAnsi="Times New Roman"/>
          <w:i/>
          <w:sz w:val="20"/>
        </w:rPr>
        <w:t xml:space="preserve">Scientific Reports</w:t>
      </w:r>
      <w:r>
        <w:rPr>
          <w:rFonts w:ascii="Times New Roman" w:hAnsi="Times New Roman"/>
          <w:sz w:val="20"/>
        </w:rPr>
        <w:t xml:space="preserve">, </w:t>
      </w:r>
      <w:r>
        <w:rPr>
          <w:rFonts w:ascii="Times New Roman" w:hAnsi="Times New Roman"/>
          <w:i/>
          <w:sz w:val="20"/>
        </w:rPr>
        <w:t xml:space="preserve">14</w:t>
      </w:r>
      <w:r>
        <w:rPr>
          <w:rFonts w:ascii="Times New Roman" w:hAnsi="Times New Roman"/>
          <w:sz w:val="20"/>
        </w:rPr>
        <w:t xml:space="preserve">, 29906. https://doi.org/10.1038/s41598-024-81872-3</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Zamora Nevado, R. M., &amp; Medina Vásquez, Y. E. (2023). Diseño de aplicativo en Python como soporte de enseñanza aprendizaje para la estabilidad de taludes. </w:t>
      </w:r>
      <w:r>
        <w:rPr>
          <w:rFonts w:ascii="Times New Roman" w:hAnsi="Times New Roman"/>
          <w:i/>
          <w:sz w:val="20"/>
        </w:rPr>
        <w:t xml:space="preserve">Revista del Instituto de Investigación de la Facultad de Minas, Metalurgia y Ciencias Geográficas</w:t>
      </w:r>
      <w:r>
        <w:rPr>
          <w:rFonts w:ascii="Times New Roman" w:hAnsi="Times New Roman"/>
          <w:sz w:val="20"/>
        </w:rPr>
        <w:t xml:space="preserve">, </w:t>
      </w:r>
      <w:r>
        <w:rPr>
          <w:rFonts w:ascii="Times New Roman" w:hAnsi="Times New Roman"/>
          <w:i/>
          <w:sz w:val="20"/>
        </w:rPr>
        <w:t xml:space="preserve">26</w:t>
      </w:r>
      <w:r>
        <w:rPr>
          <w:rFonts w:ascii="Times New Roman" w:hAnsi="Times New Roman"/>
          <w:sz w:val="20"/>
        </w:rPr>
        <w:t xml:space="preserve">(52), e25004. https://doi.org/10.15381/iigeo.v26i52.25004</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Zhang, S., Ding, L., Xie, M., He, X., Yang, R., &amp; Tong, C. (2024). Reliability analysis of slope stability by neural network, principal component analysis, and transfer learning techniques. </w:t>
      </w:r>
      <w:r>
        <w:rPr>
          <w:rFonts w:ascii="Times New Roman" w:hAnsi="Times New Roman"/>
          <w:i/>
          <w:sz w:val="20"/>
        </w:rPr>
        <w:t xml:space="preserve">Journal of Rock Mechanics and Geotechnical Engineering</w:t>
      </w:r>
      <w:r>
        <w:rPr>
          <w:rFonts w:ascii="Times New Roman" w:hAnsi="Times New Roman"/>
          <w:sz w:val="20"/>
        </w:rPr>
        <w:t xml:space="preserve">, </w:t>
      </w:r>
      <w:r>
        <w:rPr>
          <w:rFonts w:ascii="Times New Roman" w:hAnsi="Times New Roman"/>
          <w:i/>
          <w:sz w:val="20"/>
        </w:rPr>
        <w:t xml:space="preserve">16</w:t>
      </w:r>
      <w:r>
        <w:rPr>
          <w:rFonts w:ascii="Times New Roman" w:hAnsi="Times New Roman"/>
          <w:sz w:val="20"/>
        </w:rPr>
        <w:t xml:space="preserve">(10), 4034–4045. https://doi.org/10.1016/j.jrmge.2023.06.023</w:t>
      </w:r>
      <w:r/>
    </w:p>
    <w:p w14:paraId="08ABA474" w14:textId="77777777">
      <w:pPr>
        <w:pStyle w:val="866"/>
        <w:keepNext w:val="false"/>
        <w:keepLines w:val="false"/>
        <w:widowControl w:val="true"/>
        <w:pBdr/>
        <w:tabs>
          <w:tab w:val="left" w:leader="none" w:pos="357"/>
        </w:tabs>
        <w:spacing w:after="0" w:before="0" w:line="240" w:lineRule="auto"/>
        <w:ind w:right="0" w:hanging="357" w:left="357"/>
        <w:jc w:val="both"/>
        <w:rPr/>
      </w:pPr>
      <w:r>
        <w:rPr>
          <w:rFonts w:ascii="Times New Roman" w:hAnsi="Times New Roman"/>
          <w:sz w:val="20"/>
        </w:rPr>
        <w:t xml:space="preserve">Zhang, Z., Wang, B., Li, Z., Ye, X., Sun, Z., &amp; Dias, D. (2024). Physics-guided neural network-based framework for 3D modeling of slope stability. </w:t>
      </w:r>
      <w:r>
        <w:rPr>
          <w:rFonts w:ascii="Times New Roman" w:hAnsi="Times New Roman"/>
          <w:i/>
          <w:sz w:val="20"/>
        </w:rPr>
        <w:t xml:space="preserve">Computers and Geotechnics</w:t>
      </w:r>
      <w:r>
        <w:rPr>
          <w:rFonts w:ascii="Times New Roman" w:hAnsi="Times New Roman"/>
          <w:sz w:val="20"/>
        </w:rPr>
        <w:t xml:space="preserve">, </w:t>
      </w:r>
      <w:r>
        <w:rPr>
          <w:rFonts w:ascii="Times New Roman" w:hAnsi="Times New Roman"/>
          <w:i/>
          <w:sz w:val="20"/>
        </w:rPr>
        <w:t xml:space="preserve">176</w:t>
      </w:r>
      <w:r>
        <w:rPr>
          <w:rFonts w:ascii="Times New Roman" w:hAnsi="Times New Roman"/>
          <w:sz w:val="20"/>
        </w:rPr>
        <w:t xml:space="preserve">, 106801. https://doi.org/10.1016/j.compgeo.2024.106801</w:t>
      </w:r>
      <w:r/>
    </w:p>
    <w:p w14:paraId="723429C5" w14:textId="0C158A98">
      <w:pPr>
        <w:keepNext w:val="true"/>
        <w:keepLines w:val="false"/>
        <w:widowControl w:val="true"/>
        <w:pBdr/>
        <w:spacing w:after="200" w:before="200" w:line="240" w:lineRule="auto"/>
        <w:ind w:right="0" w:firstLine="0" w:left="0"/>
        <w:jc w:val="left"/>
        <w:rPr>
          <w:rFonts w:ascii="Times New Roman" w:hAnsi="Times New Roman" w:cs="Times New Roman"/>
          <w:b/>
          <w:bCs/>
        </w:rPr>
      </w:pPr>
      <w:r>
        <w:rPr>
          <w:rFonts w:ascii="Times New Roman" w:hAnsi="Times New Roman"/>
          <w:b/>
          <w:i w:val="0"/>
          <w:color w:val="000000"/>
          <w:sz w:val="24"/>
          <w:lang w:val="en-GB"/>
        </w:rPr>
        <w:t xml:space="preserve">Appendix A Contextual literature map</w:t>
      </w:r>
      <w:r>
        <w:rPr>
          <w:rFonts w:ascii="Times New Roman" w:hAnsi="Times New Roman" w:cs="Times New Roman"/>
          <w:b/>
          <w:bCs/>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Table A1 lists the forty contextual works r</w:t>
      </w:r>
      <w:r>
        <w:rPr>
          <w:rFonts w:ascii="Times New Roman" w:hAnsi="Times New Roman"/>
          <w:b w:val="0"/>
          <w:i w:val="0"/>
          <w:color w:val="000000"/>
          <w:sz w:val="20"/>
          <w:lang w:val="en-GB"/>
        </w:rPr>
        <w:t xml:space="preserve">etained from the manuscript bibliography. Topics are based on their research subjects; the inventory is not a systematic review, and their reported performance is not used as numerical evidence for TA-01. The directly related subset is analysed in Table 1.</w:t>
      </w:r>
      <w:r>
        <w:rPr>
          <w:rFonts w:ascii="Times New Roman" w:hAnsi="Times New Roman" w:cs="Times New Roman"/>
          <w:sz w:val="20"/>
          <w:szCs w:val="20"/>
        </w:rPr>
      </w:r>
    </w:p>
    <w:p w14:paraId="106F7470" w14:textId="77417F69">
      <w:pPr>
        <w:keepNext w:val="true"/>
        <w:keepLines w:val="true"/>
        <w:widowControl w:val="true"/>
        <w:pBdr/>
        <w:spacing w:after="200" w:before="200" w:line="240" w:lineRule="auto"/>
        <w:ind w:right="0" w:firstLine="0" w:left="0"/>
        <w:jc w:val="center"/>
        <w:rPr>
          <w:rFonts w:ascii="Times New Roman" w:hAnsi="Times New Roman" w:eastAsia="Calibri" w:cs="Times New Roman"/>
          <w:sz w:val="20"/>
          <w:szCs w:val="20"/>
          <w14:ligatures w14:val="none"/>
        </w:rPr>
      </w:pPr>
      <w:r>
        <w:rPr>
          <w:rFonts w:ascii="Times New Roman" w:hAnsi="Times New Roman"/>
          <w:b/>
          <w:sz w:val="20"/>
        </w:rPr>
        <w:t xml:space="preserve">Table A1. </w:t>
      </w:r>
      <w:r>
        <w:rPr>
          <w:rFonts w:ascii="Times New Roman" w:hAnsi="Times New Roman"/>
          <w:b w:val="0"/>
          <w:sz w:val="20"/>
        </w:rPr>
        <w:t xml:space="preserve">Contextual methodological topics and their cited sources.</w:t>
      </w:r>
      <w:r>
        <w:rPr>
          <w:rFonts w:ascii="Times New Roman" w:hAnsi="Times New Roman" w:eastAsia="Calibri" w:cs="Times New Roman"/>
          <w:sz w:val="20"/>
          <w:szCs w:val="20"/>
          <w14:ligatures w14:val="none"/>
        </w:rPr>
      </w:r>
    </w:p>
    <w:tbl>
      <w:tblPr>
        <w:jc w:val="center"/>
        <w:tblW w:w="9639" w:type="dxa"/>
        <w:tblBorders>
          <w:top w:val="single" w:color="auto" w:sz="4" w:space="0"/>
          <w:bottom w:val="single" w:color="auto" w:sz="4" w:space="0"/>
          <w:insideH w:val="single" w:color="auto" w:sz="4" w:space="0"/>
        </w:tblBorders>
        <w:tblLayout w:type="fixed"/>
        <w:tblLook w:val="04A0" w:firstRow="1" w:lastRow="0" w:firstColumn="1" w:lastColumn="0" w:noHBand="0" w:noVBand="1"/>
      </w:tblPr>
      <w:tblGrid>
        <w:gridCol w:w="680"/>
        <w:gridCol w:w="3005"/>
        <w:gridCol w:w="5953"/>
      </w:tblGrid>
      <w:tr>
        <w:trPr>
          <w:cantSplit/>
          <w:tblHeader/>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sz w:val="18"/>
              </w:rPr>
              <w:t xml:space="preserve">ID</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sz w:val="18"/>
              </w:rPr>
              <w:t xml:space="preserve">Study</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sz w:val="18"/>
              </w:rPr>
              <w:t xml:space="preserve">Methodological topic</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Liu, X., et al. (2022)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Slope digital twin using performance and monitoring records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Liu and Jia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Neural networks coupled with elastoplastic slope analysis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Pei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Knowledge-guided learning for slope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Wang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Deep learning for open-pit stability coefficients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Lyu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Bayesian optimisation of convolutional stability classifiers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Zhang, Z.,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Physics-guided three-dimensional slope modelling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Guan and Wang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Geotechnical and geophysical data fusion for digital twins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Ragam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Ensemble and hybrid learning for slope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E-09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Zhang, S.,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Reliability, principal components and transfer learning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Yuan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Dynamic three-dimensional geological modelling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Yiğit and Şenol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UAV photogrammetry and geospatial surface-change analysis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Dahal and Lombardo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Physics-informed learning for landslide prediction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Yin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Three-dimensional concave-slope stability algorithms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Piciullo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Operational IoT-based digital-twin stability forecasting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Tan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Review of geotechnical digital twins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Dong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Cloud-based slope monitoring and early warning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Nanda and Patel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Limit equilibrium, FEM and discrete fracture networks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Hamzaban et al.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Two- and three-dimensional open-pit stability comparison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E-19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Tian et al.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Interpretable stacking and three-dimensional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E-20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Du et al.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Simulation and AI for risk-oriented open-pit design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Catari Colque et al.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FEM-based surface-mine slope design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Bustillos Cotrado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Two-dimensional slope analysis in a fault zone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Cusme Intriago et al.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Slope stability around a community reservoir</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Peña Anampa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Slope-instability hazard along a road corridor</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Briceño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Numerical comparison of road-slope sections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Gómez Intriago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Geotechnical slope-stabilisation design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Oliva González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Cut-slope stability and failure probability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Caballero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Geomechanical assessment of slope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S-09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Blas Cano and Milla Vergara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Reduced-scale geotechnical stabilisation model</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Avellán et al.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Stress and deformation analysis of an urban slope</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S-11</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Úcar Navarro et al.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Nonlinear failure criteria for planar rock sliding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Montúfar Chiriboga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FEM slope analysis under different loading conditions</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Chilon Chilon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Filtered tailings and physical dam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Campos et al. (2022)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Kinematic and limit-equilibrium quarry design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Sequeira-Arguedas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Regional slope-instability assessment along a road</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González Serrano (2025)</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GIS-supported mine-slope geotechnical assessment</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S-17</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Arias-Valencia and Aristizábal-Arias (2024)</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Probabilistic assessment of planar sliding</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S-18</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Anchiraico Alderete et al. (2026)</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Python-based probabilistic geotechnical simulation</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S-19</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Zamora Nevado and Medina Vásquez (2023)</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Python application for teaching slope stability</w:t>
            </w:r>
            <w:r/>
          </w:p>
        </w:tc>
      </w:tr>
      <w:tr>
        <w:trPr>
          <w:cantSplit/>
        </w:trPr>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680" w:type="dxa"/>
            <w:vAlign w:val="center"/>
          </w:tcPr>
          <w:p>
            <w:pPr>
              <w:pStyle w:val="864"/>
              <w:pBdr/>
              <w:spacing w:after="0" w:before="0" w:line="240" w:lineRule="auto"/>
              <w:ind w:right="0" w:firstLine="0" w:left="0"/>
              <w:jc w:val="left"/>
              <w:rPr/>
            </w:pPr>
            <w:r>
              <w:rPr>
                <w:rFonts w:ascii="Times New Roman" w:hAnsi="Times New Roman"/>
                <w:b w:val="0"/>
                <w:sz w:val="18"/>
              </w:rPr>
              <w:t xml:space="preserve">S-20</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3005" w:type="dxa"/>
            <w:vAlign w:val="center"/>
          </w:tcPr>
          <w:p>
            <w:pPr>
              <w:pStyle w:val="864"/>
              <w:pBdr/>
              <w:spacing w:after="0" w:before="0" w:line="240" w:lineRule="auto"/>
              <w:ind w:right="0" w:firstLine="0" w:left="0"/>
              <w:jc w:val="left"/>
              <w:rPr/>
            </w:pPr>
            <w:r>
              <w:rPr>
                <w:rFonts w:ascii="Times New Roman" w:hAnsi="Times New Roman"/>
                <w:b w:val="0"/>
                <w:sz w:val="18"/>
              </w:rPr>
              <w:t xml:space="preserve">Briceño Balza et al. (2022)</w:t>
            </w:r>
            <w:r/>
          </w:p>
        </w:tc>
        <w:tc>
          <w:tcPr>
            <w:tcBorders>
              <w:top w:val="single" w:color="000000" w:sz="4" w:space="0"/>
              <w:left w:val="none" w:color="000000" w:sz="4" w:space="0"/>
              <w:bottom w:val="single" w:color="000000" w:sz="4" w:space="0"/>
              <w:right w:val="none" w:color="000000" w:sz="4" w:space="0"/>
            </w:tcBorders>
            <w:tcMar>
              <w:left w:w="75" w:type="dxa"/>
              <w:top w:w="55" w:type="dxa"/>
              <w:right w:w="75" w:type="dxa"/>
              <w:bottom w:w="55" w:type="dxa"/>
            </w:tcMar>
            <w:tcW w:w="5953" w:type="dxa"/>
            <w:vAlign w:val="center"/>
          </w:tcPr>
          <w:p>
            <w:pPr>
              <w:pStyle w:val="864"/>
              <w:pBdr/>
              <w:spacing w:after="0" w:before="0" w:line="240" w:lineRule="auto"/>
              <w:ind w:right="0" w:firstLine="0" w:left="0"/>
              <w:jc w:val="left"/>
              <w:rPr/>
            </w:pPr>
            <w:r>
              <w:rPr>
                <w:rFonts w:ascii="Times New Roman" w:hAnsi="Times New Roman"/>
                <w:b w:val="0"/>
                <w:sz w:val="18"/>
              </w:rPr>
              <w:t xml:space="preserve">Numerical location and depth of tension cracks</w:t>
            </w:r>
            <w:r/>
          </w:p>
        </w:tc>
      </w:tr>
    </w:tbl>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SAŽETAK</w:t>
      </w:r>
      <w:r>
        <w:rPr>
          <w:b/>
          <w:sz w:val="24"/>
          <w:szCs w:val="24"/>
        </w:rPr>
      </w:r>
    </w:p>
    <w:p w14:paraId="1E0D3250" w14:textId="655110FF">
      <w:pPr>
        <w:keepNext w:val="true"/>
        <w:keepLines w:val="false"/>
        <w:widowControl w:val="true"/>
        <w:pBdr/>
        <w:spacing w:after="200" w:before="200" w:line="240" w:lineRule="auto"/>
        <w:ind w:right="0" w:firstLine="0" w:left="0"/>
        <w:jc w:val="left"/>
        <w:rPr>
          <w:rFonts w:ascii="Times New Roman" w:hAnsi="Times New Roman" w:cs="Times New Roman"/>
          <w:b/>
          <w:bCs/>
          <w:sz w:val="20"/>
          <w:szCs w:val="20"/>
        </w:rPr>
      </w:pPr>
      <w:r>
        <w:rPr>
          <w:rFonts w:ascii="Times New Roman" w:hAnsi="Times New Roman"/>
          <w:b/>
          <w:i w:val="0"/>
          <w:color w:val="000000"/>
          <w:sz w:val="20"/>
          <w:lang w:val="en-GB"/>
        </w:rPr>
        <w:t xml:space="preserve">Semisintetička evaluacija prognoza pomaka kosine pomoću FEM-a i LSTM-a</w:t>
      </w:r>
      <w:r>
        <w:rPr>
          <w:rFonts w:ascii="Times New Roman" w:hAnsi="Times New Roman" w:cs="Times New Roman"/>
          <w:b/>
          <w:bCs/>
          <w:sz w:val="20"/>
          <w:szCs w:val="20"/>
        </w:rPr>
      </w:r>
    </w:p>
    <w:p w14:paraId="4068306F" w14:textId="77777777">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U radu se evaluira semisintetički prototip za prognoziranje pomaka kosine koji kombinira dvodimenzionalni model konačnih elemenata (FEM), neuronsku mrežu s dugim kratkoročnim pa</w:t>
      </w:r>
      <w:r>
        <w:rPr>
          <w:rFonts w:ascii="Times New Roman" w:hAnsi="Times New Roman"/>
          <w:b w:val="0"/>
          <w:i w:val="0"/>
          <w:color w:val="000000"/>
          <w:sz w:val="20"/>
          <w:lang w:val="en-GB"/>
        </w:rPr>
        <w:t xml:space="preserve">mćenjem (LSTM) i rezidualnu korekciju s ograničenjima monotonosti. Eksperimentalna kosina TA-01 temelji se na pretpostavljenoj geometriji i svojstvima materijala, dnevnim oborinama iz reanalize NASA POWER za točku blizu Cerro de Pasca u Peruu tijekom 2020.</w:t>
      </w:r>
      <w:r>
        <w:rPr>
          <w:rFonts w:ascii="Times New Roman" w:hAnsi="Times New Roman"/>
          <w:b w:val="0"/>
          <w:i w:val="0"/>
          <w:color w:val="000000"/>
          <w:sz w:val="20"/>
          <w:lang w:val="en-GB"/>
        </w:rPr>
        <w:t xml:space="preserve">–2025. te na 500 simuliranih scenarija s po 24 satna stanja. Tlakovi porne vode i pomaci su simulirani. Model zadržavanja trenutačne vrijednosti, ridge regresija, LSTM i hibrid uspoređeni su za horizonte od jednog i šest sati, uz odvojene datume oborina i </w:t>
      </w:r>
      <w:r>
        <w:rPr>
          <w:rFonts w:ascii="Times New Roman" w:hAnsi="Times New Roman"/>
          <w:b w:val="0"/>
          <w:i w:val="0"/>
          <w:color w:val="000000"/>
          <w:sz w:val="20"/>
          <w:lang w:val="en-GB"/>
        </w:rPr>
        <w:t xml:space="preserve">dva kronološka testa. Nesigurnost je procijenjena pomoću 5000 ponovnih uzorkovanja grupiranih po datumu oborina. U testu s odvojenim datumima srednja apsolutna pogreška hibrida iznosila je 0.00000798 mm za jedan sat i 0.00006176 mm za šest sati, naspram 0.</w:t>
      </w:r>
      <w:r>
        <w:rPr>
          <w:rFonts w:ascii="Times New Roman" w:hAnsi="Times New Roman"/>
          <w:b w:val="0"/>
          <w:i w:val="0"/>
          <w:color w:val="000000"/>
          <w:sz w:val="20"/>
          <w:lang w:val="en-GB"/>
        </w:rPr>
        <w:t xml:space="preserve">00000858 mm i 0.00006332 mm za LSTM. LSTM je bio bolji 2024., a hibrid 2025.; sva četiri uparena 95-postotna intervala pouzdanosti uključivala su nulu. Hibrid je bio osjetljiviji na šum i nedostajuće ulazne podatke. Postupak omogućuje kontroliranu evaluaci</w:t>
      </w:r>
      <w:r>
        <w:rPr>
          <w:rFonts w:ascii="Times New Roman" w:hAnsi="Times New Roman"/>
          <w:b w:val="0"/>
          <w:i w:val="0"/>
          <w:color w:val="000000"/>
          <w:sz w:val="20"/>
          <w:lang w:val="en-GB"/>
        </w:rPr>
        <w:t xml:space="preserve">ju fizikalne simulacije i vremenskog učenja, ali ne potvrđuje dosljednu prednost korekcije niti valjanost operativnih rudarskih upozorenja. Vrlo male pogreške opisuju reprodukciju numeričkog generatora i zahtijevaju provjeru u odnosu na preciznost pohrane.</w:t>
      </w:r>
      <w:r>
        <w:rPr>
          <w:rFonts w:ascii="Times New Roman" w:hAnsi="Times New Roman" w:cs="Times New Roman"/>
          <w:sz w:val="20"/>
          <w:szCs w:val="20"/>
        </w:rPr>
      </w:r>
    </w:p>
    <w:p w14:paraId="1CF279C7" w14:textId="7816F873">
      <w:pPr>
        <w:keepNext w:val="false"/>
        <w:keepLines w:val="false"/>
        <w:widowControl w:val="true"/>
        <w:pBdr/>
        <w:spacing w:after="0" w:before="0" w:line="240" w:lineRule="auto"/>
        <w:ind w:right="0" w:firstLine="0" w:left="0"/>
        <w:jc w:val="left"/>
        <w:rPr>
          <w:rFonts w:ascii="Times New Roman" w:hAnsi="Times New Roman" w:cs="Times New Roman"/>
          <w:sz w:val="20"/>
          <w:szCs w:val="20"/>
        </w:rPr>
      </w:pPr>
      <w:r>
        <w:rPr>
          <w:rFonts w:ascii="Times New Roman" w:hAnsi="Times New Roman"/>
          <w:b w:val="0"/>
          <w:i w:val="0"/>
          <w:color w:val="000000"/>
          <w:sz w:val="20"/>
          <w:lang w:val="en-GB"/>
        </w:rPr>
        <w:t xml:space="preserve">Ključne riječi: Stabilnost kosina, Metoda konačnih elemenata, LSTM, Učenje vođeno fizikom, Semisintetički podaci</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Authors’ contributions</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Roberto Enrique Quezada-Rodríguez: software, formal analysis, writing – original draft. Melanie Celeste Tello Fuentes: formal analysis, validation, writing – original draft, writing – review and editing.</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Acknowledgements</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OpenAI Codex assisted software and script development, comparison of manuscript statements with code and archived validation fil</w:t>
      </w:r>
      <w:r>
        <w:rPr>
          <w:rFonts w:ascii="Times New Roman" w:hAnsi="Times New Roman"/>
          <w:b w:val="0"/>
          <w:i w:val="0"/>
          <w:color w:val="000000"/>
          <w:sz w:val="20"/>
          <w:lang w:val="en-GB"/>
        </w:rPr>
        <w:t xml:space="preserve">es, technical preparation of figures and tables from archived outputs, language translation, editorial revision and document formatting. The authors remain responsible for the methods, numerical results, references, interpretation and submitted manuscript.</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Funding</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authors received no funding, grants or specific institutional financial support for this study.</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Conflicts of interest</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authors declare no conflicts of interest related to this work.</w:t>
      </w:r>
      <w:r>
        <w:rPr>
          <w:rFonts w:ascii="Times New Roman" w:hAnsi="Times New Roman" w:cs="Times New Roman"/>
          <w:sz w:val="20"/>
          <w:szCs w:val="20"/>
        </w:rPr>
      </w:r>
    </w:p>
    <w:p w14:paraId="6597030B" w14:textId="77777777">
      <w:pPr>
        <w:pStyle w:val="866"/>
        <w:keepNext w:val="true"/>
        <w:keepLines w:val="false"/>
        <w:widowControl w:val="true"/>
        <w:pBdr/>
        <w:tabs>
          <w:tab w:val="left" w:leader="none" w:pos="357"/>
        </w:tabs>
        <w:spacing w:after="200" w:before="200" w:line="240" w:lineRule="auto"/>
        <w:ind w:right="0" w:firstLine="0" w:left="0"/>
        <w:jc w:val="left"/>
        <w:rPr>
          <w:b/>
          <w:sz w:val="24"/>
          <w:szCs w:val="24"/>
        </w:rPr>
      </w:pPr>
      <w:r>
        <w:rPr>
          <w:rFonts w:ascii="Times New Roman" w:hAnsi="Times New Roman"/>
          <w:b/>
          <w:i w:val="0"/>
          <w:color w:val="000000"/>
          <w:sz w:val="24"/>
          <w:lang w:val="en-GB"/>
        </w:rPr>
        <w:t xml:space="preserve">Ethics</w:t>
      </w:r>
      <w:r>
        <w:rPr>
          <w:b/>
          <w:sz w:val="24"/>
          <w:szCs w:val="24"/>
        </w:rPr>
      </w:r>
    </w:p>
    <w:p w14:paraId="34EC1D43" w14:textId="592D63C8">
      <w:pPr>
        <w:keepNext w:val="false"/>
        <w:keepLines w:val="false"/>
        <w:widowControl w:val="true"/>
        <w:pBdr/>
        <w:spacing w:after="0" w:before="0" w:line="240" w:lineRule="auto"/>
        <w:ind w:right="0" w:firstLine="357" w:left="0"/>
        <w:jc w:val="both"/>
        <w:rPr>
          <w:rFonts w:ascii="Times New Roman" w:hAnsi="Times New Roman" w:cs="Times New Roman"/>
          <w:sz w:val="20"/>
          <w:szCs w:val="20"/>
        </w:rPr>
      </w:pPr>
      <w:r>
        <w:rPr>
          <w:rFonts w:ascii="Times New Roman" w:hAnsi="Times New Roman"/>
          <w:b w:val="0"/>
          <w:i w:val="0"/>
          <w:color w:val="000000"/>
          <w:sz w:val="20"/>
          <w:lang w:val="en-GB"/>
        </w:rPr>
        <w:t xml:space="preserve">The study uses public reanalysis rainfall and simulated geotechnical data. It involves no human participants, animals or personal information.</w:t>
      </w:r>
      <w:r>
        <w:rPr>
          <w:rFonts w:ascii="Times New Roman" w:hAnsi="Times New Roman" w:cs="Times New Roman"/>
          <w:sz w:val="20"/>
          <w:szCs w:val="20"/>
        </w:rPr>
      </w:r>
    </w:p>
    <w:sectPr>
      <w:headerReference w:type="default" r:id="rId9"/>
      <w:headerReference w:type="first" r:id="rId10"/>
      <w:footerReference w:type="default" r:id="rId11"/>
      <w:footerReference w:type="first" r:id="rId12"/>
      <w:footnotePr/>
      <w:endnotePr/>
      <w:type w:val="nextPage"/>
      <w:pgSz w:h="16838" w:orient="portrait" w:w="11906"/>
      <w:pgMar w:top="1134" w:right="1134" w:bottom="1134" w:left="1134" w:header="737" w:footer="737"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065D2F4" w14:textId="77777777">
      <w:pPr>
        <w:pBdr/>
        <w:spacing w:after="0" w:line="240" w:lineRule="auto"/>
        <w:ind/>
        <w:rPr/>
      </w:pPr>
      <w:r>
        <w:separator/>
      </w:r>
      <w:r/>
    </w:p>
  </w:endnote>
  <w:endnote w:type="continuationSeparator" w:id="0">
    <w:p w14:paraId="6CF596F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tantia">
    <w:panose1 w:val="02020603050405020304"/>
  </w:font>
  <w:font w:name="Calibri">
    <w:panose1 w:val="020F0502020204030204"/>
  </w:font>
  <w:font w:name="Times New Roman">
    <w:panose1 w:val="02020603050405020304"/>
  </w:font>
  <w:font w:name="Gill Sans Std">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C0EDD4" w14:textId="313C3A7F">
    <w:pPr>
      <w:pStyle w:val="861"/>
      <w:pBdr>
        <w:top w:val="single" w:color="000000" w:sz="4" w:space="1"/>
      </w:pBdr>
      <w:spacing/>
      <w:ind/>
      <w:rPr>
        <w:sz w:val="16"/>
        <w:szCs w:val="16"/>
      </w:rPr>
    </w:pPr>
    <w:r>
      <w:rPr>
        <w:rFonts w:ascii="Times New Roman" w:hAnsi="Times New Roman"/>
        <w:i/>
        <w:sz w:val="18"/>
      </w:rPr>
      <w:t xml:space="preserve">Rudarsko-geološko-naftni zbornik — manuscript for review</w:t>
    </w:r>
    <w:r>
      <w:rPr>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1A13F34" w14:textId="77777777">
    <w:pPr>
      <w:pStyle w:val="861"/>
      <w:pBdr/>
      <w:spacing/>
      <w:ind/>
      <w:rPr>
        <w:sz w:val="16"/>
        <w:szCs w:val="16"/>
      </w:rPr>
    </w:pPr>
    <w:r>
      <w:rPr>
        <w:rFonts w:ascii="Times New Roman" w:hAnsi="Times New Roman"/>
        <w:sz w:val="18"/>
      </w:rPr>
      <w:t xml:space="preserve">*Corresponding author: Roberto Enrique Quezada-Rodríguez</w:t>
    </w:r>
    <w:r>
      <w:rPr>
        <w:sz w:val="16"/>
        <w:szCs w:val="16"/>
      </w:rPr>
    </w:r>
  </w:p>
  <w:p w14:paraId="12027B12" w14:textId="77777777">
    <w:pPr>
      <w:pStyle w:val="861"/>
      <w:pBdr/>
      <w:spacing/>
      <w:ind/>
      <w:rPr>
        <w:i/>
        <w:iCs/>
        <w:sz w:val="16"/>
        <w:szCs w:val="16"/>
      </w:rPr>
    </w:pPr>
    <w:r>
      <w:rPr>
        <w:rFonts w:ascii="Times New Roman" w:hAnsi="Times New Roman"/>
        <w:sz w:val="18"/>
      </w:rPr>
      <w:t xml:space="preserve">e-mail address: requezadaro@unitru.edu.pe</w:t>
    </w:r>
    <w:r>
      <w:rPr>
        <w:i/>
        <w:iCs/>
        <w:sz w:val="16"/>
        <w:szCs w:val="16"/>
      </w:rPr>
    </w:r>
  </w:p>
  <w:p w14:paraId="527A4AB8" w14:textId="0A774212">
    <w:pPr>
      <w:pStyle w:val="861"/>
      <w:pBdr/>
      <w:spacing/>
      <w:ind/>
      <w:rPr>
        <w:sz w:val="16"/>
        <w:szCs w:val="16"/>
      </w:rPr>
    </w:pPr>
    <w:r>
      <w:rPr>
        <w:rFonts w:ascii="Times New Roman" w:hAnsi="Times New Roman"/>
        <w:sz w:val="18"/>
      </w:rPr>
      <w:t xml:space="preserve">Received / Accepted / Available online: to be completed by editors</w:t>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A579B79" w14:textId="77777777">
      <w:pPr>
        <w:pBdr/>
        <w:spacing w:after="0" w:line="240" w:lineRule="auto"/>
        <w:ind/>
        <w:rPr/>
      </w:pPr>
      <w:r>
        <w:separator/>
      </w:r>
      <w:r/>
    </w:p>
  </w:footnote>
  <w:footnote w:type="continuationSeparator" w:id="0">
    <w:p w14:paraId="734D3EB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C063CA" w14:textId="37D410F3">
    <w:pPr>
      <w:pStyle w:val="859"/>
      <w:pBdr>
        <w:bottom w:val="single" w:color="000000" w:sz="4" w:space="1"/>
      </w:pBdr>
      <w:spacing/>
      <w:ind/>
      <w:rPr>
        <w:i/>
        <w:iCs/>
        <w:sz w:val="18"/>
        <w:szCs w:val="18"/>
      </w:rPr>
    </w:pPr>
    <w:r>
      <w:rPr>
        <w:i/>
        <w:iCs/>
        <w:sz w:val="18"/>
        <w:szCs w:val="18"/>
      </w:rPr>
      <w:t xml:space="preserve">R. E. Quezada-Rodríguez and M. C. Tello Fuentes</w:t>
    </w:r>
    <w:r>
      <w:rPr>
        <w:i/>
        <w:iCs/>
        <w:sz w:val="18"/>
        <w:szCs w:val="1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F9B518A" w14:textId="77777777">
    <w:pPr>
      <w:pStyle w:val="859"/>
      <w:pBdr>
        <w:bottom w:val="single" w:color="000000" w:sz="4" w:space="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1" locked="0" layoutInCell="1" allowOverlap="1">
              <wp:simplePos x="0" y="0"/>
              <wp:positionH relativeFrom="column">
                <wp:posOffset>4750998</wp:posOffset>
              </wp:positionH>
              <wp:positionV relativeFrom="page">
                <wp:posOffset>260231</wp:posOffset>
              </wp:positionV>
              <wp:extent cx="1277620" cy="719455"/>
              <wp:effectExtent l="0" t="0" r="0" b="4445"/>
              <wp:wrapNone/>
              <wp:docPr id="1" name="Picture 1050012178" descr="A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een and black text&#10;&#10;Description automatically generated"/>
                      <pic:cNvPicPr>
                        <a:picLocks noChangeAspect="1"/>
                      </pic:cNvPicPr>
                      <pic:nvPr/>
                    </pic:nvPicPr>
                    <pic:blipFill rotWithShape="1">
                      <a:blip r:embed="rId1"/>
                      <a:stretch/>
                    </pic:blipFill>
                    <pic:spPr bwMode="auto">
                      <a:xfrm>
                        <a:off x="0" y="0"/>
                        <a:ext cx="1277620" cy="71945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16;o:allowoverlap:true;o:allowincell:true;mso-position-horizontal-relative:text;margin-left:374.09pt;mso-position-horizontal:absolute;mso-position-vertical-relative:page;margin-top:20.49pt;mso-position-vertical:absolute;width:100.60pt;height:56.65pt;mso-wrap-distance-left:9.00pt;mso-wrap-distance-top:0.00pt;mso-wrap-distance-right:9.00pt;mso-wrap-distance-bottom:0.00pt;z-index:1;" stroked="false">
              <v:imagedata r:id="rId1" o:title=""/>
              <o:lock v:ext="edit" rotation="t"/>
            </v:shape>
          </w:pict>
        </mc:Fallback>
      </mc:AlternateContent>
    </w:r>
    <w:r/>
  </w:p>
  <w:p w14:paraId="4493EB88" w14:textId="77777777">
    <w:pPr>
      <w:pStyle w:val="859"/>
      <w:pBdr>
        <w:bottom w:val="single" w:color="000000" w:sz="4" w:space="1"/>
      </w:pBdr>
      <w:spacing/>
      <w:ind/>
      <w:rPr/>
    </w:pPr>
    <w:r>
      <mc:AlternateContent>
        <mc:Choice Requires="wpg">
          <w:drawing>
            <wp:anchor xmlns:wp="http://schemas.openxmlformats.org/drawingml/2006/wordprocessingDrawing" xmlns:wp14="http://schemas.microsoft.com/office/word/2010/wordprocessingDrawing" distT="0" distB="0" distL="71755" distR="17780" simplePos="0" relativeHeight="251697152" behindDoc="0" locked="0" layoutInCell="1" allowOverlap="1">
              <wp:simplePos x="0" y="0"/>
              <wp:positionH relativeFrom="column">
                <wp:posOffset>3726288</wp:posOffset>
              </wp:positionH>
              <wp:positionV relativeFrom="paragraph">
                <wp:posOffset>339677</wp:posOffset>
              </wp:positionV>
              <wp:extent cx="2257425" cy="1149985"/>
              <wp:effectExtent l="0" t="0" r="9525" b="0"/>
              <wp:wrapSquare wrapText="bothSides"/>
              <wp:docPr id="2" name="Text Box 1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257425" cy="1149985"/>
                      </a:xfrm>
                      <a:prstGeom prst="rect">
                        <a:avLst/>
                      </a:prstGeom>
                      <a:solidFill>
                        <a:srgbClr val="FFFFFF"/>
                      </a:solidFill>
                      <a:ln>
                        <a:noFill/>
                      </a:ln>
                    </wps:spPr>
                    <wps:txbx>
                      <w:txbxContent>
                        <w:p w14:paraId="24411995" w14:textId="77777777">
                          <w:pPr>
                            <w:pStyle w:val="863"/>
                            <w:pBdr/>
                            <w:spacing/>
                            <w:ind w:right="-397" w:left="-284"/>
                            <w:rPr>
                              <w:rFonts w:ascii="Times New Roman" w:hAnsi="Times New Roman"/>
                              <w:lang w:val="en-GB"/>
                            </w:rPr>
                          </w:pPr>
                          <w:r>
                            <w:rPr>
                              <w:rFonts w:ascii="Times New Roman" w:hAnsi="Times New Roman"/>
                              <w:lang w:val="en-GB"/>
                            </w:rPr>
                            <w:t xml:space="preserve">Rudarsko-geološko-naftni zbornik</w:t>
                          </w:r>
                          <w:r>
                            <w:rPr>
                              <w:rFonts w:ascii="Times New Roman" w:hAnsi="Times New Roman"/>
                              <w:lang w:val="en-GB"/>
                            </w:rPr>
                          </w:r>
                        </w:p>
                        <w:p w14:paraId="707F28F7" w14:textId="77777777">
                          <w:pPr>
                            <w:pStyle w:val="863"/>
                            <w:pBdr/>
                            <w:spacing/>
                            <w:ind w:right="-397" w:left="-284"/>
                            <w:rPr>
                              <w:rFonts w:ascii="Times New Roman" w:hAnsi="Times New Roman"/>
                              <w:lang w:val="en-GB"/>
                            </w:rPr>
                          </w:pPr>
                          <w:r>
                            <w:rPr>
                              <w:rFonts w:ascii="Times New Roman" w:hAnsi="Times New Roman"/>
                              <w:lang w:val="en-GB"/>
                            </w:rPr>
                            <w:t xml:space="preserve">(The Mining-Geology-Petroleum Engineering Bulletin)</w:t>
                          </w:r>
                          <w:r>
                            <w:rPr>
                              <w:rFonts w:ascii="Times New Roman" w:hAnsi="Times New Roman"/>
                              <w:lang w:val="en-GB"/>
                            </w:rPr>
                          </w:r>
                        </w:p>
                        <w:p w14:paraId="595382A4" w14:textId="77777777">
                          <w:pPr>
                            <w:pStyle w:val="863"/>
                            <w:pBdr/>
                            <w:spacing/>
                            <w:ind w:right="-397" w:left="-284"/>
                            <w:rPr>
                              <w:rFonts w:ascii="Times New Roman" w:hAnsi="Times New Roman"/>
                              <w:lang w:val="en-GB"/>
                            </w:rPr>
                          </w:pPr>
                          <w:r>
                            <w:rPr>
                              <w:rFonts w:ascii="Times New Roman" w:hAnsi="Times New Roman"/>
                              <w:lang w:val="en-GB"/>
                            </w:rPr>
                            <w:t xml:space="preserve">DOI: to be assigned by editors</w:t>
                          </w:r>
                          <w:r>
                            <w:rPr>
                              <w:rFonts w:ascii="Times New Roman" w:hAnsi="Times New Roman"/>
                              <w:lang w:val="en-GB"/>
                            </w:rPr>
                          </w:r>
                        </w:p>
                        <w:p w14:paraId="73C7B19B" w14:textId="77777777">
                          <w:pPr>
                            <w:pStyle w:val="863"/>
                            <w:pBdr/>
                            <w:spacing/>
                            <w:ind w:right="-397" w:left="-284"/>
                            <w:rPr>
                              <w:rFonts w:ascii="Times New Roman" w:hAnsi="Times New Roman"/>
                              <w:lang w:val="en-GB"/>
                            </w:rPr>
                          </w:pPr>
                          <w:r>
                            <w:rPr>
                              <w:rFonts w:ascii="Times New Roman" w:hAnsi="Times New Roman"/>
                              <w:lang w:val="en-GB"/>
                            </w:rPr>
                          </w:r>
                          <w:r>
                            <w:rPr>
                              <w:rFonts w:ascii="Times New Roman" w:hAnsi="Times New Roman"/>
                              <w:lang w:val="en-GB"/>
                            </w:rPr>
                          </w:r>
                        </w:p>
                        <w:p w14:paraId="4EF573F4" w14:textId="77777777">
                          <w:pPr>
                            <w:pStyle w:val="863"/>
                            <w:pBdr/>
                            <w:spacing/>
                            <w:ind w:right="-397" w:left="-284"/>
                            <w:rPr>
                              <w:rFonts w:ascii="Times New Roman" w:hAnsi="Times New Roman"/>
                              <w:sz w:val="18"/>
                              <w:szCs w:val="18"/>
                              <w:lang w:val="en-GB"/>
                            </w:rPr>
                          </w:pPr>
                          <w:r>
                            <w:rPr>
                              <w:rFonts w:ascii="Times New Roman" w:hAnsi="Times New Roman"/>
                              <w:sz w:val="18"/>
                              <w:szCs w:val="18"/>
                              <w:lang w:val="en-GB"/>
                            </w:rPr>
                            <w:t xml:space="preserve">Paper category: to be assigned by editors</w:t>
                          </w:r>
                          <w:r>
                            <w:rPr>
                              <w:rFonts w:ascii="Times New Roman" w:hAnsi="Times New Roman"/>
                              <w:sz w:val="18"/>
                              <w:szCs w:val="18"/>
                              <w:lang w:val="en-GB"/>
                            </w:rPr>
                          </w:r>
                        </w:p>
                        <w:p w14:paraId="396E402B" w14:textId="77777777">
                          <w:pPr>
                            <w:pStyle w:val="863"/>
                            <w:pBdr/>
                            <w:spacing/>
                            <w:ind w:right="-397" w:left="-284"/>
                            <w:rPr>
                              <w:rFonts w:ascii="Times New Roman" w:hAnsi="Times New Roman"/>
                              <w:sz w:val="18"/>
                              <w:szCs w:val="18"/>
                              <w:lang w:val="en-GB"/>
                            </w:rPr>
                          </w:pPr>
                          <w:r>
                            <w:rPr>
                              <w:rFonts w:ascii="Times New Roman" w:hAnsi="Times New Roman"/>
                              <w:sz w:val="18"/>
                              <w:szCs w:val="18"/>
                              <w:lang w:val="en-GB"/>
                            </w:rPr>
                          </w:r>
                          <w:r>
                            <w:rPr>
                              <w:rFonts w:ascii="Times New Roman" w:hAnsi="Times New Roman"/>
                              <w:sz w:val="18"/>
                              <w:szCs w:val="18"/>
                              <w:lang w:val="en-GB"/>
                            </w:rPr>
                          </w:r>
                        </w:p>
                        <w:p w14:paraId="55A07402" w14:textId="77777777">
                          <w:pPr>
                            <w:pStyle w:val="863"/>
                            <w:pBdr/>
                            <w:spacing/>
                            <w:ind w:right="27" w:left="-284"/>
                            <w:jc w:val="right"/>
                            <w:rPr>
                              <w:rFonts w:ascii="Constantia" w:hAnsi="Constantia"/>
                              <w:sz w:val="18"/>
                              <w:szCs w:val="18"/>
                              <w:lang w:val="en-GB"/>
                            </w:rPr>
                          </w:pPr>
                          <w:r>
                            <w:rPr>
                              <w:rFonts w:ascii="Constantia" w:hAnsi="Constantia"/>
                              <w:sz w:val="18"/>
                              <w:szCs w:val="18"/>
                              <w:lang w:val="en-GB"/>
                            </w:rPr>
                            <mc:AlternateContent>
                              <mc:Choice Requires="wpg">
                                <w:drawing>
                                  <wp:inline xmlns:wp="http://schemas.openxmlformats.org/drawingml/2006/wordprocessingDrawing" distT="0" distB="0" distL="0" distR="0">
                                    <wp:extent cx="673178" cy="236569"/>
                                    <wp:effectExtent l="0" t="0" r="0" b="0"/>
                                    <wp:docPr id="3" name="Picture 598124484" descr="C:\Users\d\AppData\Local\Temp\Rar$DRa0.698\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ppData\Local\Temp\Rar$DRa0.698\by.png"/>
                                            <pic:cNvPicPr>
                                              <a:picLocks noChangeAspect="1"/>
                                            </pic:cNvPicPr>
                                            <pic:nvPr/>
                                          </pic:nvPicPr>
                                          <pic:blipFill rotWithShape="1">
                                            <a:blip r:embed="rId2"/>
                                            <a:stretch/>
                                          </pic:blipFill>
                                          <pic:spPr bwMode="auto">
                                            <a:xfrm>
                                              <a:off x="0" y="0"/>
                                              <a:ext cx="673274" cy="23660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01pt;height:18.63pt;mso-wrap-distance-left:0.00pt;mso-wrap-distance-top:0.00pt;mso-wrap-distance-right:0.00pt;mso-wrap-distance-bottom:0.00pt;z-index:1;" stroked="f">
                                    <v:imagedata r:id="rId2" o:title=""/>
                                    <o:lock v:ext="edit" rotation="t"/>
                                  </v:shape>
                                </w:pict>
                              </mc:Fallback>
                            </mc:AlternateContent>
                          </w:r>
                          <w:r>
                            <w:rPr>
                              <w:rFonts w:ascii="Constantia" w:hAnsi="Constantia"/>
                              <w:sz w:val="18"/>
                              <w:szCs w:val="18"/>
                              <w:lang w:val="en-GB"/>
                            </w:rPr>
                          </w:r>
                        </w:p>
                      </w:txbxContent>
                    </wps:txbx>
                    <wps:bodyPr rot="0" vert="horz" wrap="square" lIns="36576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697152;o:allowoverlap:true;o:allowincell:true;mso-position-horizontal-relative:text;margin-left:293.41pt;mso-position-horizontal:absolute;mso-position-vertical-relative:text;margin-top:26.75pt;mso-position-vertical:absolute;width:177.75pt;height:90.55pt;mso-wrap-distance-left:5.65pt;mso-wrap-distance-top:0.00pt;mso-wrap-distance-right:1.40pt;mso-wrap-distance-bottom:0.00pt;v-text-anchor:top;visibility:visible;" fillcolor="#FFFFFF" stroked="f">
              <w10:wrap type="square"/>
              <v:textbox inset="0,0,0,0">
                <w:txbxContent>
                  <w:p w14:paraId="24411995" w14:textId="77777777">
                    <w:pPr>
                      <w:pStyle w:val="863"/>
                      <w:pBdr/>
                      <w:spacing/>
                      <w:ind w:right="-397" w:left="-284"/>
                      <w:rPr>
                        <w:rFonts w:ascii="Times New Roman" w:hAnsi="Times New Roman"/>
                        <w:lang w:val="en-GB"/>
                      </w:rPr>
                    </w:pPr>
                    <w:r>
                      <w:rPr>
                        <w:rFonts w:ascii="Times New Roman" w:hAnsi="Times New Roman"/>
                        <w:lang w:val="en-GB"/>
                      </w:rPr>
                      <w:t xml:space="preserve">Rudarsko-geološko-naftni zbornik</w:t>
                    </w:r>
                    <w:r>
                      <w:rPr>
                        <w:rFonts w:ascii="Times New Roman" w:hAnsi="Times New Roman"/>
                        <w:lang w:val="en-GB"/>
                      </w:rPr>
                    </w:r>
                  </w:p>
                  <w:p w14:paraId="707F28F7" w14:textId="77777777">
                    <w:pPr>
                      <w:pStyle w:val="863"/>
                      <w:pBdr/>
                      <w:spacing/>
                      <w:ind w:right="-397" w:left="-284"/>
                      <w:rPr>
                        <w:rFonts w:ascii="Times New Roman" w:hAnsi="Times New Roman"/>
                        <w:lang w:val="en-GB"/>
                      </w:rPr>
                    </w:pPr>
                    <w:r>
                      <w:rPr>
                        <w:rFonts w:ascii="Times New Roman" w:hAnsi="Times New Roman"/>
                        <w:lang w:val="en-GB"/>
                      </w:rPr>
                      <w:t xml:space="preserve">(The Mining-Geology-Petroleum Engineering Bulletin)</w:t>
                    </w:r>
                    <w:r>
                      <w:rPr>
                        <w:rFonts w:ascii="Times New Roman" w:hAnsi="Times New Roman"/>
                        <w:lang w:val="en-GB"/>
                      </w:rPr>
                    </w:r>
                  </w:p>
                  <w:p w14:paraId="595382A4" w14:textId="77777777">
                    <w:pPr>
                      <w:pStyle w:val="863"/>
                      <w:pBdr/>
                      <w:spacing/>
                      <w:ind w:right="-397" w:left="-284"/>
                      <w:rPr>
                        <w:rFonts w:ascii="Times New Roman" w:hAnsi="Times New Roman"/>
                        <w:lang w:val="en-GB"/>
                      </w:rPr>
                    </w:pPr>
                    <w:r>
                      <w:rPr>
                        <w:rFonts w:ascii="Times New Roman" w:hAnsi="Times New Roman"/>
                        <w:lang w:val="en-GB"/>
                      </w:rPr>
                      <w:t xml:space="preserve">DOI: to be assigned by editors</w:t>
                    </w:r>
                    <w:r>
                      <w:rPr>
                        <w:rFonts w:ascii="Times New Roman" w:hAnsi="Times New Roman"/>
                        <w:lang w:val="en-GB"/>
                      </w:rPr>
                    </w:r>
                  </w:p>
                  <w:p w14:paraId="73C7B19B" w14:textId="77777777">
                    <w:pPr>
                      <w:pStyle w:val="863"/>
                      <w:pBdr/>
                      <w:spacing/>
                      <w:ind w:right="-397" w:left="-284"/>
                      <w:rPr>
                        <w:rFonts w:ascii="Times New Roman" w:hAnsi="Times New Roman"/>
                        <w:lang w:val="en-GB"/>
                      </w:rPr>
                    </w:pPr>
                    <w:r>
                      <w:rPr>
                        <w:rFonts w:ascii="Times New Roman" w:hAnsi="Times New Roman"/>
                        <w:lang w:val="en-GB"/>
                      </w:rPr>
                    </w:r>
                    <w:r>
                      <w:rPr>
                        <w:rFonts w:ascii="Times New Roman" w:hAnsi="Times New Roman"/>
                        <w:lang w:val="en-GB"/>
                      </w:rPr>
                    </w:r>
                  </w:p>
                  <w:p w14:paraId="4EF573F4" w14:textId="77777777">
                    <w:pPr>
                      <w:pStyle w:val="863"/>
                      <w:pBdr/>
                      <w:spacing/>
                      <w:ind w:right="-397" w:left="-284"/>
                      <w:rPr>
                        <w:rFonts w:ascii="Times New Roman" w:hAnsi="Times New Roman"/>
                        <w:sz w:val="18"/>
                        <w:szCs w:val="18"/>
                        <w:lang w:val="en-GB"/>
                      </w:rPr>
                    </w:pPr>
                    <w:r>
                      <w:rPr>
                        <w:rFonts w:ascii="Times New Roman" w:hAnsi="Times New Roman"/>
                        <w:sz w:val="18"/>
                        <w:szCs w:val="18"/>
                        <w:lang w:val="en-GB"/>
                      </w:rPr>
                      <w:t xml:space="preserve">Paper category: to be assigned by editors</w:t>
                    </w:r>
                    <w:r>
                      <w:rPr>
                        <w:rFonts w:ascii="Times New Roman" w:hAnsi="Times New Roman"/>
                        <w:sz w:val="18"/>
                        <w:szCs w:val="18"/>
                        <w:lang w:val="en-GB"/>
                      </w:rPr>
                    </w:r>
                  </w:p>
                  <w:p w14:paraId="396E402B" w14:textId="77777777">
                    <w:pPr>
                      <w:pStyle w:val="863"/>
                      <w:pBdr/>
                      <w:spacing/>
                      <w:ind w:right="-397" w:left="-284"/>
                      <w:rPr>
                        <w:rFonts w:ascii="Times New Roman" w:hAnsi="Times New Roman"/>
                        <w:sz w:val="18"/>
                        <w:szCs w:val="18"/>
                        <w:lang w:val="en-GB"/>
                      </w:rPr>
                    </w:pPr>
                    <w:r>
                      <w:rPr>
                        <w:rFonts w:ascii="Times New Roman" w:hAnsi="Times New Roman"/>
                        <w:sz w:val="18"/>
                        <w:szCs w:val="18"/>
                        <w:lang w:val="en-GB"/>
                      </w:rPr>
                    </w:r>
                    <w:r>
                      <w:rPr>
                        <w:rFonts w:ascii="Times New Roman" w:hAnsi="Times New Roman"/>
                        <w:sz w:val="18"/>
                        <w:szCs w:val="18"/>
                        <w:lang w:val="en-GB"/>
                      </w:rPr>
                    </w:r>
                  </w:p>
                  <w:p w14:paraId="55A07402" w14:textId="77777777">
                    <w:pPr>
                      <w:pStyle w:val="863"/>
                      <w:pBdr/>
                      <w:spacing/>
                      <w:ind w:right="27" w:left="-284"/>
                      <w:jc w:val="right"/>
                      <w:rPr>
                        <w:rFonts w:ascii="Constantia" w:hAnsi="Constantia"/>
                        <w:sz w:val="18"/>
                        <w:szCs w:val="18"/>
                        <w:lang w:val="en-GB"/>
                      </w:rPr>
                    </w:pPr>
                    <w:r>
                      <w:rPr>
                        <w:rFonts w:ascii="Constantia" w:hAnsi="Constantia"/>
                        <w:sz w:val="18"/>
                        <w:szCs w:val="18"/>
                        <w:lang w:val="en-GB"/>
                      </w:rPr>
                      <mc:AlternateContent>
                        <mc:Choice Requires="wpg">
                          <w:drawing>
                            <wp:inline xmlns:wp="http://schemas.openxmlformats.org/drawingml/2006/wordprocessingDrawing" distT="0" distB="0" distL="0" distR="0">
                              <wp:extent cx="673178" cy="236569"/>
                              <wp:effectExtent l="0" t="0" r="0" b="0"/>
                              <wp:docPr id="3" name="Picture 598124484" descr="C:\Users\d\AppData\Local\Temp\Rar$DRa0.698\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ppData\Local\Temp\Rar$DRa0.698\by.png"/>
                                      <pic:cNvPicPr>
                                        <a:picLocks noChangeAspect="1"/>
                                      </pic:cNvPicPr>
                                      <pic:nvPr/>
                                    </pic:nvPicPr>
                                    <pic:blipFill rotWithShape="1">
                                      <a:blip r:embed="rId2"/>
                                      <a:stretch/>
                                    </pic:blipFill>
                                    <pic:spPr bwMode="auto">
                                      <a:xfrm>
                                        <a:off x="0" y="0"/>
                                        <a:ext cx="673274" cy="23660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01pt;height:18.63pt;mso-wrap-distance-left:0.00pt;mso-wrap-distance-top:0.00pt;mso-wrap-distance-right:0.00pt;mso-wrap-distance-bottom:0.00pt;z-index:1;" stroked="f">
                              <v:imagedata r:id="rId2" o:title=""/>
                              <o:lock v:ext="edit" rotation="t"/>
                            </v:shape>
                          </w:pict>
                        </mc:Fallback>
                      </mc:AlternateContent>
                    </w:r>
                    <w:r>
                      <w:rPr>
                        <w:rFonts w:ascii="Constantia" w:hAnsi="Constantia"/>
                        <w:sz w:val="18"/>
                        <w:szCs w:val="18"/>
                        <w:lang w:val="en-GB"/>
                      </w:rPr>
                    </w:r>
                  </w:p>
                </w:txbxContent>
              </v:textbox>
            </v:shape>
          </w:pict>
        </mc:Fallback>
      </mc:AlternateContent>
    </w:r>
    <w:r/>
  </w:p>
  <w:p w14:paraId="47F6F39A" w14:textId="77777777">
    <w:pPr>
      <w:pStyle w:val="85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D53E6"/>
    <w:lvl w:ilvl="0">
      <w:isLgl w:val="false"/>
      <w:lvlJc w:val="left"/>
      <w:lvlText w:val="%1)"/>
      <w:numFmt w:val="lowerLetter"/>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0F44F77"/>
    <w:lvl w:ilvl="0">
      <w:isLgl w:val="false"/>
      <w:lvlJc w:val="left"/>
      <w:lvlText w:val="%1)"/>
      <w:numFmt w:val="lowerLetter"/>
      <w:pPr>
        <w:pBdr/>
        <w:spacing/>
        <w:ind w:hanging="360" w:left="1080"/>
      </w:pPr>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hr-HR"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26"/>
    <w:uiPriority w:val="1"/>
    <w:qFormat/>
    <w:pPr>
      <w:pBdr/>
      <w:spacing w:after="0" w:line="240" w:lineRule="auto"/>
      <w:ind/>
    </w:pPr>
  </w:style>
  <w:style w:type="character" w:styleId="171">
    <w:name w:val="Subtle Emphasis"/>
    <w:basedOn w:val="836"/>
    <w:uiPriority w:val="19"/>
    <w:qFormat/>
    <w:pPr>
      <w:pBdr/>
      <w:spacing/>
      <w:ind/>
    </w:pPr>
    <w:rPr>
      <w:i/>
      <w:iCs/>
      <w:color w:val="404040" w:themeColor="text1" w:themeTint="BF"/>
    </w:rPr>
  </w:style>
  <w:style w:type="character" w:styleId="172">
    <w:name w:val="Emphasis"/>
    <w:basedOn w:val="836"/>
    <w:uiPriority w:val="20"/>
    <w:qFormat/>
    <w:pPr>
      <w:pBdr/>
      <w:spacing/>
      <w:ind/>
    </w:pPr>
    <w:rPr>
      <w:i/>
      <w:iCs/>
    </w:rPr>
  </w:style>
  <w:style w:type="character" w:styleId="173">
    <w:name w:val="Strong"/>
    <w:basedOn w:val="836"/>
    <w:uiPriority w:val="22"/>
    <w:qFormat/>
    <w:pPr>
      <w:pBdr/>
      <w:spacing/>
      <w:ind/>
    </w:pPr>
    <w:rPr>
      <w:b/>
      <w:bCs/>
    </w:rPr>
  </w:style>
  <w:style w:type="character" w:styleId="174">
    <w:name w:val="Subtle Reference"/>
    <w:basedOn w:val="836"/>
    <w:uiPriority w:val="31"/>
    <w:qFormat/>
    <w:pPr>
      <w:pBdr/>
      <w:spacing/>
      <w:ind/>
    </w:pPr>
    <w:rPr>
      <w:smallCaps/>
      <w:color w:val="5a5a5a" w:themeColor="text1" w:themeTint="A5"/>
    </w:rPr>
  </w:style>
  <w:style w:type="character" w:styleId="175">
    <w:name w:val="Book Title"/>
    <w:basedOn w:val="836"/>
    <w:uiPriority w:val="33"/>
    <w:qFormat/>
    <w:pPr>
      <w:pBdr/>
      <w:spacing/>
      <w:ind/>
    </w:pPr>
    <w:rPr>
      <w:b/>
      <w:bCs/>
      <w:i/>
      <w:iCs/>
      <w:spacing w:val="5"/>
    </w:rPr>
  </w:style>
  <w:style w:type="paragraph" w:styleId="180">
    <w:name w:val="Caption"/>
    <w:basedOn w:val="826"/>
    <w:next w:val="826"/>
    <w:uiPriority w:val="35"/>
    <w:unhideWhenUsed/>
    <w:qFormat/>
    <w:pPr>
      <w:pBdr/>
      <w:spacing w:after="200" w:line="240" w:lineRule="auto"/>
      <w:ind/>
    </w:pPr>
    <w:rPr>
      <w:i/>
      <w:iCs/>
      <w:color w:val="0e2841" w:themeColor="text2"/>
      <w:sz w:val="18"/>
      <w:szCs w:val="18"/>
    </w:rPr>
  </w:style>
  <w:style w:type="paragraph" w:styleId="181">
    <w:name w:val="footnote text"/>
    <w:basedOn w:val="826"/>
    <w:link w:val="182"/>
    <w:uiPriority w:val="99"/>
    <w:semiHidden/>
    <w:unhideWhenUsed/>
    <w:pPr>
      <w:pBdr/>
      <w:spacing w:after="0" w:line="240" w:lineRule="auto"/>
      <w:ind/>
    </w:pPr>
    <w:rPr>
      <w:sz w:val="20"/>
      <w:szCs w:val="20"/>
    </w:rPr>
  </w:style>
  <w:style w:type="character" w:styleId="182">
    <w:name w:val="Footnote Text Char"/>
    <w:basedOn w:val="836"/>
    <w:link w:val="181"/>
    <w:uiPriority w:val="99"/>
    <w:semiHidden/>
    <w:pPr>
      <w:pBdr/>
      <w:spacing/>
      <w:ind/>
    </w:pPr>
    <w:rPr>
      <w:sz w:val="20"/>
      <w:szCs w:val="20"/>
    </w:rPr>
  </w:style>
  <w:style w:type="character" w:styleId="183">
    <w:name w:val="footnote reference"/>
    <w:basedOn w:val="836"/>
    <w:uiPriority w:val="99"/>
    <w:semiHidden/>
    <w:unhideWhenUsed/>
    <w:pPr>
      <w:pBdr/>
      <w:spacing/>
      <w:ind/>
    </w:pPr>
    <w:rPr>
      <w:vertAlign w:val="superscript"/>
    </w:rPr>
  </w:style>
  <w:style w:type="paragraph" w:styleId="184">
    <w:name w:val="endnote text"/>
    <w:basedOn w:val="826"/>
    <w:link w:val="185"/>
    <w:uiPriority w:val="99"/>
    <w:semiHidden/>
    <w:unhideWhenUsed/>
    <w:pPr>
      <w:pBdr/>
      <w:spacing w:after="0" w:line="240" w:lineRule="auto"/>
      <w:ind/>
    </w:pPr>
    <w:rPr>
      <w:sz w:val="20"/>
      <w:szCs w:val="20"/>
    </w:rPr>
  </w:style>
  <w:style w:type="character" w:styleId="185">
    <w:name w:val="Endnote Text Char"/>
    <w:basedOn w:val="836"/>
    <w:link w:val="184"/>
    <w:uiPriority w:val="99"/>
    <w:semiHidden/>
    <w:pPr>
      <w:pBdr/>
      <w:spacing/>
      <w:ind/>
    </w:pPr>
    <w:rPr>
      <w:sz w:val="20"/>
      <w:szCs w:val="20"/>
    </w:rPr>
  </w:style>
  <w:style w:type="character" w:styleId="186">
    <w:name w:val="endnote reference"/>
    <w:basedOn w:val="836"/>
    <w:uiPriority w:val="99"/>
    <w:semiHidden/>
    <w:unhideWhenUsed/>
    <w:pPr>
      <w:pBdr/>
      <w:spacing/>
      <w:ind/>
    </w:pPr>
    <w:rPr>
      <w:vertAlign w:val="superscript"/>
    </w:rPr>
  </w:style>
  <w:style w:type="paragraph" w:styleId="189">
    <w:name w:val="toc 1"/>
    <w:basedOn w:val="826"/>
    <w:next w:val="826"/>
    <w:uiPriority w:val="39"/>
    <w:unhideWhenUsed/>
    <w:pPr>
      <w:pBdr/>
      <w:spacing w:after="100"/>
      <w:ind/>
    </w:pPr>
  </w:style>
  <w:style w:type="paragraph" w:styleId="190">
    <w:name w:val="toc 2"/>
    <w:basedOn w:val="826"/>
    <w:next w:val="826"/>
    <w:uiPriority w:val="39"/>
    <w:unhideWhenUsed/>
    <w:pPr>
      <w:pBdr/>
      <w:spacing w:after="100"/>
      <w:ind w:left="220"/>
    </w:pPr>
  </w:style>
  <w:style w:type="paragraph" w:styleId="191">
    <w:name w:val="toc 3"/>
    <w:basedOn w:val="826"/>
    <w:next w:val="826"/>
    <w:uiPriority w:val="39"/>
    <w:unhideWhenUsed/>
    <w:pPr>
      <w:pBdr/>
      <w:spacing w:after="100"/>
      <w:ind w:left="440"/>
    </w:pPr>
  </w:style>
  <w:style w:type="paragraph" w:styleId="192">
    <w:name w:val="toc 4"/>
    <w:basedOn w:val="826"/>
    <w:next w:val="826"/>
    <w:uiPriority w:val="39"/>
    <w:unhideWhenUsed/>
    <w:pPr>
      <w:pBdr/>
      <w:spacing w:after="100"/>
      <w:ind w:left="660"/>
    </w:pPr>
  </w:style>
  <w:style w:type="paragraph" w:styleId="193">
    <w:name w:val="toc 5"/>
    <w:basedOn w:val="826"/>
    <w:next w:val="826"/>
    <w:uiPriority w:val="39"/>
    <w:unhideWhenUsed/>
    <w:pPr>
      <w:pBdr/>
      <w:spacing w:after="100"/>
      <w:ind w:left="880"/>
    </w:pPr>
  </w:style>
  <w:style w:type="paragraph" w:styleId="194">
    <w:name w:val="toc 6"/>
    <w:basedOn w:val="826"/>
    <w:next w:val="826"/>
    <w:uiPriority w:val="39"/>
    <w:unhideWhenUsed/>
    <w:pPr>
      <w:pBdr/>
      <w:spacing w:after="100"/>
      <w:ind w:left="1100"/>
    </w:pPr>
  </w:style>
  <w:style w:type="paragraph" w:styleId="195">
    <w:name w:val="toc 7"/>
    <w:basedOn w:val="826"/>
    <w:next w:val="826"/>
    <w:uiPriority w:val="39"/>
    <w:unhideWhenUsed/>
    <w:pPr>
      <w:pBdr/>
      <w:spacing w:after="100"/>
      <w:ind w:left="1320"/>
    </w:pPr>
  </w:style>
  <w:style w:type="paragraph" w:styleId="196">
    <w:name w:val="toc 8"/>
    <w:basedOn w:val="826"/>
    <w:next w:val="826"/>
    <w:uiPriority w:val="39"/>
    <w:unhideWhenUsed/>
    <w:pPr>
      <w:pBdr/>
      <w:spacing w:after="100"/>
      <w:ind w:left="1540"/>
    </w:pPr>
  </w:style>
  <w:style w:type="paragraph" w:styleId="197">
    <w:name w:val="toc 9"/>
    <w:basedOn w:val="826"/>
    <w:next w:val="826"/>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26"/>
    <w:next w:val="826"/>
    <w:uiPriority w:val="99"/>
    <w:unhideWhenUsed/>
    <w:pPr>
      <w:pBdr/>
      <w:spacing w:after="0" w:afterAutospacing="0"/>
      <w:ind/>
    </w:pPr>
  </w:style>
  <w:style w:type="paragraph" w:styleId="826" w:default="1">
    <w:name w:val="Normal"/>
    <w:qFormat/>
    <w:pPr>
      <w:pBdr/>
      <w:spacing/>
      <w:ind/>
    </w:pPr>
    <w:rPr>
      <w:lang w:val="en-GB"/>
    </w:rPr>
  </w:style>
  <w:style w:type="paragraph" w:styleId="827">
    <w:name w:val="Heading 1"/>
    <w:basedOn w:val="826"/>
    <w:next w:val="826"/>
    <w:link w:val="83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28">
    <w:name w:val="Heading 2"/>
    <w:basedOn w:val="826"/>
    <w:next w:val="826"/>
    <w:link w:val="84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29">
    <w:name w:val="Heading 3"/>
    <w:basedOn w:val="826"/>
    <w:next w:val="826"/>
    <w:link w:val="841"/>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30">
    <w:name w:val="Heading 4"/>
    <w:basedOn w:val="826"/>
    <w:next w:val="826"/>
    <w:link w:val="84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31">
    <w:name w:val="Heading 5"/>
    <w:basedOn w:val="826"/>
    <w:next w:val="826"/>
    <w:link w:val="84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32">
    <w:name w:val="Heading 6"/>
    <w:basedOn w:val="826"/>
    <w:next w:val="826"/>
    <w:link w:val="84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33">
    <w:name w:val="Heading 7"/>
    <w:basedOn w:val="826"/>
    <w:next w:val="826"/>
    <w:link w:val="84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34">
    <w:name w:val="Heading 8"/>
    <w:basedOn w:val="826"/>
    <w:next w:val="826"/>
    <w:link w:val="84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35">
    <w:name w:val="Heading 9"/>
    <w:basedOn w:val="826"/>
    <w:next w:val="826"/>
    <w:link w:val="84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36" w:default="1">
    <w:name w:val="Default Paragraph Font"/>
    <w:uiPriority w:val="1"/>
    <w:semiHidden/>
    <w:unhideWhenUsed/>
    <w:pPr>
      <w:pBdr/>
      <w:spacing/>
      <w:ind/>
    </w:pPr>
  </w:style>
  <w:style w:type="table" w:styleId="8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8" w:default="1">
    <w:name w:val="No List"/>
    <w:uiPriority w:val="99"/>
    <w:semiHidden/>
    <w:unhideWhenUsed/>
    <w:pPr>
      <w:pBdr/>
      <w:spacing/>
      <w:ind/>
    </w:pPr>
  </w:style>
  <w:style w:type="character" w:styleId="839" w:customStyle="1">
    <w:name w:val="Heading 1 Char"/>
    <w:basedOn w:val="836"/>
    <w:link w:val="827"/>
    <w:uiPriority w:val="9"/>
    <w:pPr>
      <w:pBdr/>
      <w:spacing/>
      <w:ind/>
    </w:pPr>
    <w:rPr>
      <w:rFonts w:asciiTheme="majorHAnsi" w:hAnsiTheme="majorHAnsi" w:eastAsiaTheme="majorEastAsia" w:cstheme="majorBidi"/>
      <w:color w:val="0f4761" w:themeColor="accent1" w:themeShade="BF"/>
      <w:sz w:val="40"/>
      <w:szCs w:val="40"/>
    </w:rPr>
  </w:style>
  <w:style w:type="character" w:styleId="840" w:customStyle="1">
    <w:name w:val="Heading 2 Char"/>
    <w:basedOn w:val="836"/>
    <w:link w:val="82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41" w:customStyle="1">
    <w:name w:val="Heading 3 Char"/>
    <w:basedOn w:val="836"/>
    <w:link w:val="829"/>
    <w:uiPriority w:val="9"/>
    <w:pPr>
      <w:pBdr/>
      <w:spacing/>
      <w:ind/>
    </w:pPr>
    <w:rPr>
      <w:rFonts w:eastAsiaTheme="majorEastAsia" w:cstheme="majorBidi"/>
      <w:color w:val="0f4761" w:themeColor="accent1" w:themeShade="BF"/>
      <w:sz w:val="28"/>
      <w:szCs w:val="28"/>
    </w:rPr>
  </w:style>
  <w:style w:type="character" w:styleId="842" w:customStyle="1">
    <w:name w:val="Heading 4 Char"/>
    <w:basedOn w:val="836"/>
    <w:link w:val="830"/>
    <w:uiPriority w:val="9"/>
    <w:semiHidden/>
    <w:pPr>
      <w:pBdr/>
      <w:spacing/>
      <w:ind/>
    </w:pPr>
    <w:rPr>
      <w:rFonts w:eastAsiaTheme="majorEastAsia" w:cstheme="majorBidi"/>
      <w:i/>
      <w:iCs/>
      <w:color w:val="0f4761" w:themeColor="accent1" w:themeShade="BF"/>
    </w:rPr>
  </w:style>
  <w:style w:type="character" w:styleId="843" w:customStyle="1">
    <w:name w:val="Heading 5 Char"/>
    <w:basedOn w:val="836"/>
    <w:link w:val="831"/>
    <w:uiPriority w:val="9"/>
    <w:semiHidden/>
    <w:pPr>
      <w:pBdr/>
      <w:spacing/>
      <w:ind/>
    </w:pPr>
    <w:rPr>
      <w:rFonts w:eastAsiaTheme="majorEastAsia" w:cstheme="majorBidi"/>
      <w:color w:val="0f4761" w:themeColor="accent1" w:themeShade="BF"/>
    </w:rPr>
  </w:style>
  <w:style w:type="character" w:styleId="844" w:customStyle="1">
    <w:name w:val="Heading 6 Char"/>
    <w:basedOn w:val="836"/>
    <w:link w:val="832"/>
    <w:uiPriority w:val="9"/>
    <w:semiHidden/>
    <w:pPr>
      <w:pBdr/>
      <w:spacing/>
      <w:ind/>
    </w:pPr>
    <w:rPr>
      <w:rFonts w:eastAsiaTheme="majorEastAsia" w:cstheme="majorBidi"/>
      <w:i/>
      <w:iCs/>
      <w:color w:val="595959" w:themeColor="text1" w:themeTint="A6"/>
    </w:rPr>
  </w:style>
  <w:style w:type="character" w:styleId="845" w:customStyle="1">
    <w:name w:val="Heading 7 Char"/>
    <w:basedOn w:val="836"/>
    <w:link w:val="833"/>
    <w:uiPriority w:val="9"/>
    <w:semiHidden/>
    <w:pPr>
      <w:pBdr/>
      <w:spacing/>
      <w:ind/>
    </w:pPr>
    <w:rPr>
      <w:rFonts w:eastAsiaTheme="majorEastAsia" w:cstheme="majorBidi"/>
      <w:color w:val="595959" w:themeColor="text1" w:themeTint="A6"/>
    </w:rPr>
  </w:style>
  <w:style w:type="character" w:styleId="846" w:customStyle="1">
    <w:name w:val="Heading 8 Char"/>
    <w:basedOn w:val="836"/>
    <w:link w:val="834"/>
    <w:uiPriority w:val="9"/>
    <w:semiHidden/>
    <w:pPr>
      <w:pBdr/>
      <w:spacing/>
      <w:ind/>
    </w:pPr>
    <w:rPr>
      <w:rFonts w:eastAsiaTheme="majorEastAsia" w:cstheme="majorBidi"/>
      <w:i/>
      <w:iCs/>
      <w:color w:val="272727" w:themeColor="text1" w:themeTint="D8"/>
    </w:rPr>
  </w:style>
  <w:style w:type="character" w:styleId="847" w:customStyle="1">
    <w:name w:val="Heading 9 Char"/>
    <w:basedOn w:val="836"/>
    <w:link w:val="835"/>
    <w:uiPriority w:val="9"/>
    <w:semiHidden/>
    <w:pPr>
      <w:pBdr/>
      <w:spacing/>
      <w:ind/>
    </w:pPr>
    <w:rPr>
      <w:rFonts w:eastAsiaTheme="majorEastAsia" w:cstheme="majorBidi"/>
      <w:color w:val="272727" w:themeColor="text1" w:themeTint="D8"/>
    </w:rPr>
  </w:style>
  <w:style w:type="paragraph" w:styleId="848">
    <w:name w:val="Title"/>
    <w:basedOn w:val="826"/>
    <w:next w:val="826"/>
    <w:link w:val="84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49" w:customStyle="1">
    <w:name w:val="Title Char"/>
    <w:basedOn w:val="836"/>
    <w:link w:val="848"/>
    <w:uiPriority w:val="10"/>
    <w:pPr>
      <w:pBdr/>
      <w:spacing/>
      <w:ind/>
    </w:pPr>
    <w:rPr>
      <w:rFonts w:asciiTheme="majorHAnsi" w:hAnsiTheme="majorHAnsi" w:eastAsiaTheme="majorEastAsia" w:cstheme="majorBidi"/>
      <w:spacing w:val="-10"/>
      <w:sz w:val="56"/>
      <w:szCs w:val="56"/>
    </w:rPr>
  </w:style>
  <w:style w:type="paragraph" w:styleId="850">
    <w:name w:val="Subtitle"/>
    <w:basedOn w:val="826"/>
    <w:next w:val="826"/>
    <w:link w:val="851"/>
    <w:uiPriority w:val="11"/>
    <w:qFormat/>
    <w:pPr>
      <w:numPr>
        <w:ilvl w:val="1"/>
      </w:numPr>
      <w:pBdr/>
      <w:spacing/>
      <w:ind/>
    </w:pPr>
    <w:rPr>
      <w:rFonts w:eastAsiaTheme="majorEastAsia" w:cstheme="majorBidi"/>
      <w:color w:val="595959" w:themeColor="text1" w:themeTint="A6"/>
      <w:spacing w:val="15"/>
      <w:sz w:val="28"/>
      <w:szCs w:val="28"/>
    </w:rPr>
  </w:style>
  <w:style w:type="character" w:styleId="851" w:customStyle="1">
    <w:name w:val="Subtitle Char"/>
    <w:basedOn w:val="836"/>
    <w:link w:val="850"/>
    <w:uiPriority w:val="11"/>
    <w:pPr>
      <w:pBdr/>
      <w:spacing/>
      <w:ind/>
    </w:pPr>
    <w:rPr>
      <w:rFonts w:eastAsiaTheme="majorEastAsia" w:cstheme="majorBidi"/>
      <w:color w:val="595959" w:themeColor="text1" w:themeTint="A6"/>
      <w:spacing w:val="15"/>
      <w:sz w:val="28"/>
      <w:szCs w:val="28"/>
    </w:rPr>
  </w:style>
  <w:style w:type="paragraph" w:styleId="852">
    <w:name w:val="Quote"/>
    <w:basedOn w:val="826"/>
    <w:next w:val="826"/>
    <w:link w:val="853"/>
    <w:uiPriority w:val="29"/>
    <w:qFormat/>
    <w:pPr>
      <w:pBdr/>
      <w:spacing w:before="160"/>
      <w:ind/>
      <w:jc w:val="center"/>
    </w:pPr>
    <w:rPr>
      <w:i/>
      <w:iCs/>
      <w:color w:val="404040" w:themeColor="text1" w:themeTint="BF"/>
    </w:rPr>
  </w:style>
  <w:style w:type="character" w:styleId="853" w:customStyle="1">
    <w:name w:val="Quote Char"/>
    <w:basedOn w:val="836"/>
    <w:link w:val="852"/>
    <w:uiPriority w:val="29"/>
    <w:pPr>
      <w:pBdr/>
      <w:spacing/>
      <w:ind/>
    </w:pPr>
    <w:rPr>
      <w:i/>
      <w:iCs/>
      <w:color w:val="404040" w:themeColor="text1" w:themeTint="BF"/>
    </w:rPr>
  </w:style>
  <w:style w:type="paragraph" w:styleId="854">
    <w:name w:val="List Paragraph"/>
    <w:basedOn w:val="826"/>
    <w:uiPriority w:val="34"/>
    <w:qFormat/>
    <w:pPr>
      <w:pBdr/>
      <w:spacing/>
      <w:ind w:left="720"/>
      <w:contextualSpacing w:val="true"/>
    </w:pPr>
  </w:style>
  <w:style w:type="character" w:styleId="855">
    <w:name w:val="Intense Emphasis"/>
    <w:basedOn w:val="836"/>
    <w:uiPriority w:val="21"/>
    <w:qFormat/>
    <w:pPr>
      <w:pBdr/>
      <w:spacing/>
      <w:ind/>
    </w:pPr>
    <w:rPr>
      <w:i/>
      <w:iCs/>
      <w:color w:val="0f4761" w:themeColor="accent1" w:themeShade="BF"/>
    </w:rPr>
  </w:style>
  <w:style w:type="paragraph" w:styleId="856">
    <w:name w:val="Intense Quote"/>
    <w:basedOn w:val="826"/>
    <w:next w:val="826"/>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customStyle="1">
    <w:name w:val="Intense Quote Char"/>
    <w:basedOn w:val="836"/>
    <w:link w:val="856"/>
    <w:uiPriority w:val="30"/>
    <w:pPr>
      <w:pBdr/>
      <w:spacing/>
      <w:ind/>
    </w:pPr>
    <w:rPr>
      <w:i/>
      <w:iCs/>
      <w:color w:val="0f4761" w:themeColor="accent1" w:themeShade="BF"/>
    </w:rPr>
  </w:style>
  <w:style w:type="character" w:styleId="858">
    <w:name w:val="Intense Reference"/>
    <w:basedOn w:val="836"/>
    <w:uiPriority w:val="32"/>
    <w:qFormat/>
    <w:pPr>
      <w:pBdr/>
      <w:spacing/>
      <w:ind/>
    </w:pPr>
    <w:rPr>
      <w:b/>
      <w:bCs/>
      <w:smallCaps/>
      <w:color w:val="0f4761" w:themeColor="accent1" w:themeShade="BF"/>
      <w:spacing w:val="5"/>
    </w:rPr>
  </w:style>
  <w:style w:type="paragraph" w:styleId="859">
    <w:name w:val="Header"/>
    <w:basedOn w:val="826"/>
    <w:link w:val="860"/>
    <w:uiPriority w:val="99"/>
    <w:unhideWhenUsed/>
    <w:pPr>
      <w:pBdr/>
      <w:tabs>
        <w:tab w:val="center" w:leader="none" w:pos="4513"/>
        <w:tab w:val="right" w:leader="none" w:pos="9026"/>
      </w:tabs>
      <w:spacing w:after="0" w:line="240" w:lineRule="auto"/>
      <w:ind/>
    </w:pPr>
  </w:style>
  <w:style w:type="character" w:styleId="860" w:customStyle="1">
    <w:name w:val="Header Char"/>
    <w:basedOn w:val="836"/>
    <w:link w:val="859"/>
    <w:uiPriority w:val="99"/>
    <w:pPr>
      <w:pBdr/>
      <w:spacing/>
      <w:ind/>
    </w:pPr>
  </w:style>
  <w:style w:type="paragraph" w:styleId="861">
    <w:name w:val="Footer"/>
    <w:basedOn w:val="826"/>
    <w:link w:val="862"/>
    <w:uiPriority w:val="99"/>
    <w:unhideWhenUsed/>
    <w:pPr>
      <w:pBdr/>
      <w:tabs>
        <w:tab w:val="center" w:leader="none" w:pos="4513"/>
        <w:tab w:val="right" w:leader="none" w:pos="9026"/>
      </w:tabs>
      <w:spacing w:after="0" w:line="240" w:lineRule="auto"/>
      <w:ind/>
    </w:pPr>
  </w:style>
  <w:style w:type="character" w:styleId="862" w:customStyle="1">
    <w:name w:val="Footer Char"/>
    <w:basedOn w:val="836"/>
    <w:link w:val="861"/>
    <w:uiPriority w:val="99"/>
    <w:pPr>
      <w:pBdr/>
      <w:spacing/>
      <w:ind/>
    </w:pPr>
  </w:style>
  <w:style w:type="paragraph" w:styleId="863" w:customStyle="1">
    <w:name w:val="imprint"/>
    <w:semiHidden/>
    <w:qFormat/>
    <w:pPr>
      <w:pBdr/>
      <w:spacing w:after="0" w:line="240" w:lineRule="auto"/>
      <w:ind/>
    </w:pPr>
    <w:rPr>
      <w:rFonts w:ascii="Gill Sans Std" w:hAnsi="Gill Sans Std" w:eastAsia="Calibri" w:cs="Times New Roman"/>
      <w:sz w:val="14"/>
      <w:szCs w:val="14"/>
      <w:lang w:val="en-US"/>
      <w14:ligatures w14:val="none"/>
    </w:rPr>
  </w:style>
  <w:style w:type="paragraph" w:styleId="864" w:customStyle="1">
    <w:name w:val="Text"/>
    <w:basedOn w:val="826"/>
    <w:next w:val="826"/>
    <w:link w:val="865"/>
    <w:qFormat/>
    <w:pPr>
      <w:pBdr/>
      <w:spacing w:after="0" w:line="240" w:lineRule="exact"/>
      <w:ind/>
      <w:jc w:val="both"/>
    </w:pPr>
    <w:rPr>
      <w:rFonts w:ascii="Times New Roman" w:hAnsi="Times New Roman" w:eastAsia="Calibri" w:cs="Times New Roman"/>
      <w:color w:val="000000"/>
      <w:sz w:val="20"/>
      <w:szCs w:val="20"/>
      <w14:ligatures w14:val="none"/>
    </w:rPr>
  </w:style>
  <w:style w:type="character" w:styleId="865" w:customStyle="1">
    <w:name w:val="Text Char"/>
    <w:link w:val="864"/>
    <w:pPr>
      <w:pBdr/>
      <w:spacing/>
      <w:ind/>
    </w:pPr>
    <w:rPr>
      <w:rFonts w:ascii="Times New Roman" w:hAnsi="Times New Roman" w:eastAsia="Calibri" w:cs="Times New Roman"/>
      <w:color w:val="000000"/>
      <w:sz w:val="20"/>
      <w:szCs w:val="20"/>
      <w14:ligatures w14:val="none"/>
    </w:rPr>
  </w:style>
  <w:style w:type="paragraph" w:styleId="866" w:customStyle="1">
    <w:name w:val="TEXT IND"/>
    <w:basedOn w:val="826"/>
    <w:pPr>
      <w:pBdr/>
      <w:spacing w:after="0" w:line="240" w:lineRule="exact"/>
      <w:ind w:firstLine="240"/>
      <w:jc w:val="both"/>
    </w:pPr>
    <w:rPr>
      <w:rFonts w:ascii="Times New Roman" w:hAnsi="Times New Roman" w:eastAsia="Calibri" w:cs="Times New Roman"/>
      <w:sz w:val="20"/>
      <w:szCs w:val="20"/>
      <w14:ligatures w14:val="none"/>
    </w:rPr>
  </w:style>
  <w:style w:type="table" w:styleId="867">
    <w:name w:val="Table Grid"/>
    <w:basedOn w:val="83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yperlink"/>
    <w:basedOn w:val="836"/>
    <w:uiPriority w:val="99"/>
    <w:unhideWhenUsed/>
    <w:pPr>
      <w:pBdr/>
      <w:spacing/>
      <w:ind/>
    </w:pPr>
    <w:rPr>
      <w:color w:val="467886" w:themeColor="hyperlink"/>
      <w:u w:val="single"/>
    </w:rPr>
  </w:style>
  <w:style w:type="character" w:styleId="869">
    <w:name w:val="Unresolved Mention"/>
    <w:basedOn w:val="836"/>
    <w:uiPriority w:val="99"/>
    <w:semiHidden/>
    <w:unhideWhenUsed/>
    <w:pPr>
      <w:pBdr/>
      <w:spacing/>
      <w:ind/>
    </w:pPr>
    <w:rPr>
      <w:color w:val="605e5c"/>
      <w:shd w:val="clear" w:color="auto" w:fill="e1dfdd"/>
    </w:rPr>
  </w:style>
  <w:style w:type="character" w:styleId="870">
    <w:name w:val="line number"/>
    <w:basedOn w:val="836"/>
    <w:uiPriority w:val="99"/>
    <w:semiHidden/>
    <w:unhideWhenUsed/>
    <w:pPr>
      <w:pBdr/>
      <w:spacing/>
      <w:ind/>
    </w:pPr>
  </w:style>
  <w:style w:type="character" w:styleId="871" w:customStyle="1">
    <w:name w:val="hps"/>
    <w:pPr>
      <w:pBdr/>
      <w:spacing/>
      <w:ind/>
    </w:pPr>
  </w:style>
  <w:style w:type="character" w:styleId="872">
    <w:name w:val="Placeholder Text"/>
    <w:basedOn w:val="836"/>
    <w:uiPriority w:val="99"/>
    <w:semiHidden/>
    <w:pPr>
      <w:pBdr/>
      <w:spacing/>
      <w:ind/>
    </w:pPr>
    <w:rPr>
      <w:color w:val="666666"/>
    </w:rPr>
  </w:style>
  <w:style w:type="paragraph" w:styleId="873" w:customStyle="1">
    <w:name w:val="Ref"/>
    <w:basedOn w:val="826"/>
    <w:qFormat/>
    <w:pPr>
      <w:pBdr/>
      <w:tabs>
        <w:tab w:val="left" w:leader="none" w:pos="357"/>
      </w:tabs>
      <w:spacing w:after="0" w:line="240" w:lineRule="auto"/>
      <w:ind w:hanging="357" w:left="357"/>
      <w:jc w:val="both"/>
    </w:pPr>
    <w:rPr>
      <w:rFonts w:ascii="Times New Roman" w:hAnsi="Times New Roman" w:eastAsia="Calibri" w:cs="Times New Roman"/>
      <w:color w:val="000000"/>
      <w:sz w:val="20"/>
      <w:szCs w:val="20"/>
      <w14:ligatures w14:val="none"/>
    </w:rPr>
  </w:style>
  <w:style w:type="character" w:styleId="874">
    <w:name w:val="FollowedHyperlink"/>
    <w:basedOn w:val="836"/>
    <w:uiPriority w:val="99"/>
    <w:semiHidden/>
    <w:unhideWhenUsed/>
    <w:pPr>
      <w:pBdr/>
      <w:spacing/>
      <w:ind/>
    </w:pPr>
    <w:rPr>
      <w:color w:val="96607d" w:themeColor="followedHyperlink"/>
      <w:u w:val="single"/>
    </w:rPr>
  </w:style>
  <w:style w:type="character" w:styleId="875">
    <w:name w:val="annotation reference"/>
    <w:basedOn w:val="836"/>
    <w:uiPriority w:val="99"/>
    <w:semiHidden/>
    <w:unhideWhenUsed/>
    <w:pPr>
      <w:pBdr/>
      <w:spacing/>
      <w:ind/>
    </w:pPr>
    <w:rPr>
      <w:sz w:val="16"/>
      <w:szCs w:val="16"/>
    </w:rPr>
  </w:style>
  <w:style w:type="paragraph" w:styleId="876">
    <w:name w:val="annotation text"/>
    <w:basedOn w:val="826"/>
    <w:link w:val="877"/>
    <w:uiPriority w:val="99"/>
    <w:unhideWhenUsed/>
    <w:pPr>
      <w:pBdr/>
      <w:spacing w:line="240" w:lineRule="auto"/>
      <w:ind/>
    </w:pPr>
    <w:rPr>
      <w:sz w:val="20"/>
      <w:szCs w:val="20"/>
    </w:rPr>
  </w:style>
  <w:style w:type="character" w:styleId="877" w:customStyle="1">
    <w:name w:val="Comment Text Char"/>
    <w:basedOn w:val="836"/>
    <w:link w:val="876"/>
    <w:uiPriority w:val="99"/>
    <w:pPr>
      <w:pBdr/>
      <w:spacing/>
      <w:ind/>
    </w:pPr>
    <w:rPr>
      <w:sz w:val="20"/>
      <w:szCs w:val="20"/>
    </w:rPr>
  </w:style>
  <w:style w:type="paragraph" w:styleId="878">
    <w:name w:val="annotation subject"/>
    <w:basedOn w:val="876"/>
    <w:next w:val="876"/>
    <w:link w:val="879"/>
    <w:uiPriority w:val="99"/>
    <w:semiHidden/>
    <w:unhideWhenUsed/>
    <w:pPr>
      <w:pBdr/>
      <w:spacing/>
      <w:ind/>
    </w:pPr>
    <w:rPr>
      <w:b/>
      <w:bCs/>
    </w:rPr>
  </w:style>
  <w:style w:type="character" w:styleId="879" w:customStyle="1">
    <w:name w:val="Comment Subject Char"/>
    <w:basedOn w:val="877"/>
    <w:link w:val="878"/>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hyperlink" Target="https://orcid.org/0009-0004-0869-3881" TargetMode="External"/><Relationship Id="rId18" Type="http://schemas.openxmlformats.org/officeDocument/2006/relationships/hyperlink" Target="https://orcid.org/0009-0007-4728-138X" TargetMode="External"/><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gi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2A5FDBDACA4AD44B71A4852710633C5" ma:contentTypeVersion="18" ma:contentTypeDescription="Stvaranje novog dokumenta." ma:contentTypeScope="" ma:versionID="e61cce6b1d2a0fce51736fe0f7b2e3b4">
  <xsd:schema xmlns:xsd="http://www.w3.org/2001/XMLSchema" xmlns:xs="http://www.w3.org/2001/XMLSchema" xmlns:p="http://schemas.microsoft.com/office/2006/metadata/properties" xmlns:ns3="2fe359ba-0f45-478f-8742-e3ed4649f4c9" xmlns:ns4="7a055e01-ac21-4fb6-8358-39ec571f0cae" targetNamespace="http://schemas.microsoft.com/office/2006/metadata/properties" ma:root="true" ma:fieldsID="acfc33688c7730e1d0397ccb6721aec8" ns3:_="" ns4:_="">
    <xsd:import namespace="2fe359ba-0f45-478f-8742-e3ed4649f4c9"/>
    <xsd:import namespace="7a055e01-ac21-4fb6-8358-39ec571f0c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359ba-0f45-478f-8742-e3ed4649f4c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55e01-ac21-4fb6-8358-39ec571f0cae" elementFormDefault="qualified">
    <xsd:import namespace="http://schemas.microsoft.com/office/2006/documentManagement/types"/>
    <xsd:import namespace="http://schemas.microsoft.com/office/infopath/2007/PartnerControls"/>
    <xsd:element name="SharedWithUsers" ma:index="16"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ji o zajedničkom korištenju" ma:internalName="SharedWithDetails" ma:readOnly="true">
      <xsd:simpleType>
        <xsd:restriction base="dms:Note">
          <xsd:maxLength value="255"/>
        </xsd:restriction>
      </xsd:simpleType>
    </xsd:element>
    <xsd:element name="SharingHintHash" ma:index="18"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fe359ba-0f45-478f-8742-e3ed4649f4c9" xsi:nil="true"/>
  </documentManagement>
</p:properties>
</file>

<file path=customXml/itemProps1.xml><?xml version="1.0" encoding="utf-8"?>
<ds:datastoreItem xmlns:ds="http://schemas.openxmlformats.org/officeDocument/2006/customXml" ds:itemID="D6BA9A7F-BC12-4D10-9B56-63131A303446">
  <ds:schemaRefs>
    <ds:schemaRef ds:uri="http://schemas.microsoft.com/sharepoint/v3/contenttype/forms"/>
  </ds:schemaRefs>
</ds:datastoreItem>
</file>

<file path=customXml/itemProps2.xml><?xml version="1.0" encoding="utf-8"?>
<ds:datastoreItem xmlns:ds="http://schemas.openxmlformats.org/officeDocument/2006/customXml" ds:itemID="0CEBF2D2-B679-44C2-9460-018446AC6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359ba-0f45-478f-8742-e3ed4649f4c9"/>
    <ds:schemaRef ds:uri="7a055e01-ac21-4fb6-8358-39ec571f0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58CB7A17-B8DC-4F4C-96E4-5146BFB94A2D">
  <ds:schemaRefs>
    <ds:schemaRef ds:uri="http://schemas.openxmlformats.org/officeDocument/2006/bibliography"/>
  </ds:schemaRefs>
</ds:datastoreItem>
</file>

<file path=customXml/itemProps4.xml><?xml version="1.0" encoding="utf-8"?>
<ds:datastoreItem xmlns:ds="http://schemas.openxmlformats.org/officeDocument/2006/customXml" ds:itemID="5FF7C694-86CF-42AC-ADC6-6FC6E983F430">
  <ds:schemaRefs>
    <ds:schemaRef ds:uri="http://schemas.microsoft.com/office/2006/metadata/properties"/>
    <ds:schemaRef ds:uri="http://schemas.microsoft.com/office/infopath/2007/PartnerControls"/>
    <ds:schemaRef ds:uri="2fe359ba-0f45-478f-8742-e3ed4649f4c9"/>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Semisynthetic evaluation of FEM LSTM slope displacement forecasts</dc:title>
  <dc:subject>Semisynthetic TA-01 evaluation adapted for RGN Bulletin</dc:subject>
  <dc:creator>Roberto Enrique Quezada-Rodríguez; Melanie Celeste Tello Fuentes</dc:creator>
  <cp:keywords/>
  <dc:description/>
  <cp:revision>5</cp:revision>
  <dcterms:created xsi:type="dcterms:W3CDTF">2025-03-25T09:42:00Z</dcterms:created>
  <dcterms:modified xsi:type="dcterms:W3CDTF">2026-09-30T19:08:22Z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0x010100E2A5FDBDACA4AD44B71A4852710633C5</vt:lpwstr>
  </property>
</Properties>
</file>