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Arial" w:hAnsi="Arial"/>
          <w:b/>
          <w:color w:val="102C57"/>
          <w:sz w:val="44"/>
        </w:rPr>
        <w:t>INFORME DE AVANCE DE PROYECTO</w:t>
        <w:br/>
        <w:t>SMARTBUDGET+</w:t>
      </w:r>
    </w:p>
    <w:p>
      <w:pPr>
        <w:spacing w:after="960"/>
        <w:jc w:val="center"/>
      </w:pPr>
      <w:r>
        <w:rPr>
          <w:rFonts w:ascii="Arial" w:hAnsi="Arial"/>
          <w:color w:val="646464"/>
          <w:sz w:val="28"/>
        </w:rPr>
        <w:t>Documentación de Avances 01 y 02</w:t>
        <w:br/>
        <w:t>Entorno de Desarrollo, Metodología y Modelo de Negocio</w:t>
      </w:r>
    </w:p>
    <w:p>
      <w:r>
        <w:br w:type="page"/>
      </w:r>
    </w:p>
    <w:p>
      <w:pPr>
        <w:keepNext/>
        <w:spacing w:before="360" w:after="120"/>
      </w:pPr>
      <w:r>
        <w:rPr>
          <w:rFonts w:ascii="Arial" w:hAnsi="Arial"/>
          <w:b/>
          <w:color w:val="102C57"/>
          <w:sz w:val="32"/>
        </w:rPr>
        <w:t>CAPÍTULO I: DESCRIPCIÓN DE LA SITUACIÓN PROBLEMA DEL PROYECTO</w:t>
      </w:r>
    </w:p>
    <w:p>
      <w:pPr>
        <w:spacing w:after="120" w:line="276" w:lineRule="auto"/>
      </w:pPr>
      <w:r>
        <w:rPr>
          <w:rFonts w:ascii="Arial" w:hAnsi="Arial"/>
          <w:sz w:val="22"/>
        </w:rPr>
        <w:t>En el Perú actual, la falta de educación y cultura financiera representa un desafío estructural que afecta a diversos sectores de la población. No obstante, uno de los grupos más vulnerables ante este escenario es el de los jóvenes universitarios, especialmente en regiones como Piura. Muchos estudiantes, al ingresar a la educación superior, asumen por primera vez la responsabilidad de administrar un presupuesto propio para cubrir gastos esenciales como matrículas, pensiones, materiales académicos, alimentación, transporte y, en el caso de alumnos provenientes de provincias aledañas (como Sullana, Talara o Morropón), gastos de alquiler de vivienda.</w:t>
      </w:r>
    </w:p>
    <w:p>
      <w:pPr>
        <w:spacing w:after="120" w:line="276" w:lineRule="auto"/>
      </w:pPr>
      <w:r>
        <w:rPr>
          <w:rFonts w:ascii="Arial" w:hAnsi="Arial"/>
          <w:sz w:val="22"/>
        </w:rPr>
        <w:t>Esta transición a la vida adulta e independiente se ve complejizada por la proliferación de ofertas de tarjetas de crédito y préstamos de consumo con procesos de adquisición muy sencillos, dirigidos específicamente a jóvenes sin historial de ingresos fijos. La falta de conocimientos sobre conceptos clave como tasas de interés (TCEA), el impacto del pago mínimo y el comportamiento del crédito genera un escenario propicio para el sobreendeudamiento temprano. Según reportes de la Superintendencia de Banca, Seguros y AFP (SBS), el segmento de jóvenes menores de 25 años representa uno de los perfiles con mayor índice de morosidad y "créditos castigados" en el sistema financiero formal, lo que bloquea su acceso al crédito en etapas productivas cruciales de su vida.</w:t>
      </w:r>
    </w:p>
    <w:p>
      <w:pPr>
        <w:spacing w:after="120" w:line="276" w:lineRule="auto"/>
      </w:pPr>
      <w:r>
        <w:rPr>
          <w:rFonts w:ascii="Arial" w:hAnsi="Arial"/>
          <w:sz w:val="22"/>
        </w:rPr>
        <w:t>Adicionalmente, el registro de los gastos diarios se realiza comúnmente a través de métodos tradicionales e ineficientes como anotaciones en papel o el uso de complejas hojas de cálculo (Excel) que el estudiante promedio suele abandonar al poco tiempo debido a la fricción que genera el ingreso manual de datos. Las aplicaciones móviles financieras genéricas tampoco solucionan el problema, ya que no se adaptan al flujo transaccional local ni ofrecen una guía automatizada.</w:t>
      </w:r>
    </w:p>
    <w:p>
      <w:pPr>
        <w:spacing w:after="120" w:line="276" w:lineRule="auto"/>
      </w:pPr>
      <w:r>
        <w:rPr>
          <w:rFonts w:ascii="Arial" w:hAnsi="Arial"/>
          <w:sz w:val="22"/>
        </w:rPr>
        <w:t>Frente a esta situación, surge la necesidad de desarrollar una solución tecnológica intuitiva, automatizada e inteligente que reduzca la fricción en el registro y empodere a los estudiantes piuranos para gestionar sus recursos, visualizar su salud financiera en tiempo real mediante un indicador inteligente, automatizar el ingreso de transacciones utilizando escaneo inteligente de boletas mediante Inteligencia Artificial (OCR) y recibir alertas de prevención antes de caer en situaciones de endeudamiento insostenible.</w:t>
      </w:r>
    </w:p>
    <w:p>
      <w:pPr>
        <w:keepNext/>
        <w:spacing w:before="360" w:after="120"/>
      </w:pPr>
      <w:r>
        <w:rPr>
          <w:rFonts w:ascii="Arial" w:hAnsi="Arial"/>
          <w:b/>
          <w:color w:val="102C57"/>
          <w:sz w:val="32"/>
        </w:rPr>
        <w:t>CAPÍTULO II: ANTECEDENTES Y BASES TEÓRICAS</w:t>
      </w:r>
    </w:p>
    <w:p>
      <w:pPr>
        <w:keepNext/>
        <w:spacing w:before="240" w:after="80"/>
      </w:pPr>
      <w:r>
        <w:rPr>
          <w:rFonts w:ascii="Arial" w:hAnsi="Arial"/>
          <w:b/>
          <w:color w:val="3572EF"/>
          <w:sz w:val="26"/>
        </w:rPr>
        <w:t>2.1.- Antecedentes</w:t>
      </w:r>
    </w:p>
    <w:p>
      <w:pPr>
        <w:keepNext/>
        <w:spacing w:before="160" w:after="40"/>
      </w:pPr>
      <w:r>
        <w:rPr>
          <w:rFonts w:ascii="Arial" w:hAnsi="Arial"/>
          <w:b/>
          <w:color w:val="323232"/>
          <w:sz w:val="23"/>
        </w:rPr>
        <w:t>2.1.1.- Antecedentes Internacionales</w:t>
      </w:r>
    </w:p>
    <w:p>
      <w:pPr>
        <w:spacing w:after="120" w:line="276" w:lineRule="auto"/>
      </w:pPr>
      <w:r>
        <w:rPr>
          <w:rFonts w:ascii="Arial" w:hAnsi="Arial"/>
          <w:b/>
          <w:sz w:val="22"/>
        </w:rPr>
        <w:t xml:space="preserve">Arias, J. &amp; Restrepo, M. (2022, Colombia): </w:t>
      </w:r>
      <w:r>
        <w:rPr>
          <w:rFonts w:ascii="Arial" w:hAnsi="Arial"/>
          <w:sz w:val="22"/>
        </w:rPr>
        <w:t>En su estudio "Uso de aplicaciones móviles en la autogestión de finanzas personales en jóvenes universitarios", los autores concluyeron que el 73% de los estudiantes que adoptaron herramientas tecnológicas con categorización automática de gastos mostraron un incremento en su capacidad de ahorro y redujeron las compras impulsivas. Herramientas líderes globales como YNAB (You Need A Budget) y Mint han marcado la pauta en la industria al promover metodologías de "presupuesto cero" y sincronización automática de cuentas. Sin embargo, estas soluciones están diseñadas para mercados con banca abierta (Open Banking) altamente integrada (EE.UU. y Europa) y requieren suscripciones costosas en dólares, lo que limita su viabilidad para estudiantes de economías emergentes de América Latina.</w:t>
      </w:r>
    </w:p>
    <w:p>
      <w:pPr>
        <w:keepNext/>
        <w:spacing w:before="160" w:after="40"/>
      </w:pPr>
      <w:r>
        <w:rPr>
          <w:rFonts w:ascii="Arial" w:hAnsi="Arial"/>
          <w:b/>
          <w:color w:val="323232"/>
          <w:sz w:val="23"/>
        </w:rPr>
        <w:t>2.1.2.- Antecedentes Nacionales</w:t>
      </w:r>
    </w:p>
    <w:p>
      <w:pPr>
        <w:spacing w:after="120" w:line="276" w:lineRule="auto"/>
      </w:pPr>
      <w:r>
        <w:rPr>
          <w:rFonts w:ascii="Arial" w:hAnsi="Arial"/>
          <w:b/>
          <w:sz w:val="22"/>
        </w:rPr>
        <w:t xml:space="preserve">Superintendencia de Banca, Seguros y AFP - SBS (2023): </w:t>
      </w:r>
      <w:r>
        <w:rPr>
          <w:rFonts w:ascii="Arial" w:hAnsi="Arial"/>
          <w:sz w:val="22"/>
        </w:rPr>
        <w:t>En la "Encuesta Nacional de Capacidades Financieras", se evidenció que solo el 32% de los jóvenes peruanos sabe llevar un presupuesto estructurado y que el segmento de 18 a 24 años es el que tiene mayor propensión a adquirir deudas informales o ingresar en pérdida crediticia debido al uso ineficiente de tarjetas de crédito comerciales.</w:t>
      </w:r>
    </w:p>
    <w:p>
      <w:pPr>
        <w:spacing w:after="120" w:line="276" w:lineRule="auto"/>
      </w:pPr>
      <w:r>
        <w:rPr>
          <w:rFonts w:ascii="Arial" w:hAnsi="Arial"/>
          <w:b/>
          <w:sz w:val="22"/>
        </w:rPr>
        <w:t xml:space="preserve">García, L. (2021, Lima): </w:t>
      </w:r>
      <w:r>
        <w:rPr>
          <w:rFonts w:ascii="Arial" w:hAnsi="Arial"/>
          <w:sz w:val="22"/>
        </w:rPr>
        <w:t>En su tesis de grado "Desarrollo de un aplicativo móvil para el control de finanzas personales en universitarios limeños" en la Universidad Peruana de Ciencias Aplicadas (UPC), implementó un prototipo móvil que mejoraba el ahorro mediante técnicas de gamificación. Su principal limitación fue la alta tasa de abandono de los usuarios debido a la fatiga del ingreso manual de cada compra de bajo valor.</w:t>
      </w:r>
    </w:p>
    <w:p>
      <w:pPr>
        <w:keepNext/>
        <w:spacing w:before="160" w:after="40"/>
      </w:pPr>
      <w:r>
        <w:rPr>
          <w:rFonts w:ascii="Arial" w:hAnsi="Arial"/>
          <w:b/>
          <w:color w:val="323232"/>
          <w:sz w:val="23"/>
        </w:rPr>
        <w:t>2.1.3.- Antecedentes Locales</w:t>
      </w:r>
    </w:p>
    <w:p>
      <w:pPr>
        <w:spacing w:after="120" w:line="276" w:lineRule="auto"/>
      </w:pPr>
      <w:r>
        <w:rPr>
          <w:rFonts w:ascii="Arial" w:hAnsi="Arial"/>
          <w:b/>
          <w:sz w:val="22"/>
        </w:rPr>
        <w:t xml:space="preserve">Seminario, R. &amp; Feijóo, S. (2023, Piura): </w:t>
      </w:r>
      <w:r>
        <w:rPr>
          <w:rFonts w:ascii="Arial" w:hAnsi="Arial"/>
          <w:sz w:val="22"/>
        </w:rPr>
        <w:t>En la investigación "Impacto de la inflación y el fenómeno El Niño en la economía familiar de los estudiantes universitarios de la ciudad de Piura" (Universidad Nacional de Piura), se determinó que las variaciones económicas locales obligan a los universitarios a redistribuir drásticamente sus presupuestos mensuales. Al no contar con herramientas de simulación financiera rápida ni alertas en tiempo real, más del 55% de los encuestados afirmó haber recurrido a préstamos de familiares o amigos para solventar gastos del ciclo académico, destacando la falta de previsión y control financiero sistemático en el ámbito universitario local.</w:t>
      </w:r>
    </w:p>
    <w:p>
      <w:pPr>
        <w:keepNext/>
        <w:spacing w:before="240" w:after="80"/>
      </w:pPr>
      <w:r>
        <w:rPr>
          <w:rFonts w:ascii="Arial" w:hAnsi="Arial"/>
          <w:b/>
          <w:color w:val="3572EF"/>
          <w:sz w:val="26"/>
        </w:rPr>
        <w:t>2.2.- Bases Teóricas</w:t>
      </w:r>
    </w:p>
    <w:p>
      <w:pPr>
        <w:pStyle w:val="ListBullet"/>
        <w:spacing w:after="80" w:line="276" w:lineRule="auto"/>
      </w:pPr>
      <w:r>
        <w:rPr>
          <w:rFonts w:ascii="Arial" w:hAnsi="Arial"/>
          <w:b/>
          <w:sz w:val="22"/>
        </w:rPr>
        <w:t xml:space="preserve">Educación Financiera y Presupuesto por Categorías: </w:t>
      </w:r>
      <w:r>
        <w:rPr>
          <w:rFonts w:ascii="Arial" w:hAnsi="Arial"/>
          <w:sz w:val="22"/>
        </w:rPr>
        <w:t>Consiste en la habilidad de comprender cómo funciona el dinero, y cómo se gestiona y se invierte. El presupuesto por categorías divide los ingresos mensuales en grupos de gastos rígidos (necesidades básicas) y flexibles (entretenimiento), optimizando el flujo de caja.</w:t>
      </w:r>
    </w:p>
    <w:p>
      <w:pPr>
        <w:pStyle w:val="ListBullet"/>
        <w:spacing w:after="80" w:line="276" w:lineRule="auto"/>
      </w:pPr>
      <w:r>
        <w:rPr>
          <w:rFonts w:ascii="Arial" w:hAnsi="Arial"/>
          <w:b/>
          <w:sz w:val="22"/>
        </w:rPr>
        <w:t xml:space="preserve">Salud Financiera e Indicador SmartScore: </w:t>
      </w:r>
      <w:r>
        <w:rPr>
          <w:rFonts w:ascii="Arial" w:hAnsi="Arial"/>
          <w:sz w:val="22"/>
        </w:rPr>
        <w:t>Se define como el estado en el cual una persona puede cumplir plenamente con sus obligaciones financieras actuales, sentirse segura de su futuro y tomar decisiones que le permitan disfrutar de la vida. Para medirla de forma algorítmica, se implementa el concepto de SmartScore, una métrica del 1 al 100 basada en variables como el ratio de ahorro, consistencia presupuestaria y niveles de gasto.</w:t>
      </w:r>
    </w:p>
    <w:p>
      <w:pPr>
        <w:pStyle w:val="ListBullet"/>
        <w:spacing w:after="80" w:line="276" w:lineRule="auto"/>
      </w:pPr>
      <w:r>
        <w:rPr>
          <w:rFonts w:ascii="Arial" w:hAnsi="Arial"/>
          <w:b/>
          <w:sz w:val="22"/>
        </w:rPr>
        <w:t xml:space="preserve">Tecnologías OCR e Inteligencia Artificial en Finanzas: </w:t>
      </w:r>
      <w:r>
        <w:rPr>
          <w:rFonts w:ascii="Arial" w:hAnsi="Arial"/>
          <w:sz w:val="22"/>
        </w:rPr>
        <w:t>El Reconocimiento Óptico de Caracteres (OCR), combinado con modelos de lenguaje de Inteligencia Artificial (LLM), permite interpretar y extraer información estructurada (comercio, fecha, RUC, monto total e IGV) a partir de una foto de una boleta de venta electrónica de manera automatizada, eliminando el ingreso manual de datos.</w:t>
      </w:r>
    </w:p>
    <w:p>
      <w:pPr>
        <w:pStyle w:val="ListBullet"/>
        <w:spacing w:after="80" w:line="276" w:lineRule="auto"/>
      </w:pPr>
      <w:r>
        <w:rPr>
          <w:rFonts w:ascii="Arial" w:hAnsi="Arial"/>
          <w:b/>
          <w:sz w:val="22"/>
        </w:rPr>
        <w:t xml:space="preserve">FastAPI: </w:t>
      </w:r>
      <w:r>
        <w:rPr>
          <w:rFonts w:ascii="Arial" w:hAnsi="Arial"/>
          <w:sz w:val="22"/>
        </w:rPr>
        <w:t>Framework de Python asíncrono y de alto rendimiento diseñado para construir APIs robustas de forma ágil y tipada.</w:t>
      </w:r>
    </w:p>
    <w:p>
      <w:pPr>
        <w:pStyle w:val="ListBullet"/>
        <w:spacing w:after="80" w:line="276" w:lineRule="auto"/>
      </w:pPr>
      <w:r>
        <w:rPr>
          <w:rFonts w:ascii="Arial" w:hAnsi="Arial"/>
          <w:b/>
          <w:sz w:val="22"/>
        </w:rPr>
        <w:t xml:space="preserve">Flutter (Dart): </w:t>
      </w:r>
      <w:r>
        <w:rPr>
          <w:rFonts w:ascii="Arial" w:hAnsi="Arial"/>
          <w:sz w:val="22"/>
        </w:rPr>
        <w:t>SDK de Google para desarrollar aplicaciones nativas compiladas para móviles y web a partir de un único código base.</w:t>
      </w:r>
    </w:p>
    <w:p>
      <w:pPr>
        <w:pStyle w:val="ListBullet"/>
        <w:spacing w:after="80" w:line="276" w:lineRule="auto"/>
      </w:pPr>
      <w:r>
        <w:rPr>
          <w:rFonts w:ascii="Arial" w:hAnsi="Arial"/>
          <w:b/>
          <w:sz w:val="22"/>
        </w:rPr>
        <w:t xml:space="preserve">Docker &amp; Docker Compose: </w:t>
      </w:r>
      <w:r>
        <w:rPr>
          <w:rFonts w:ascii="Arial" w:hAnsi="Arial"/>
          <w:sz w:val="22"/>
        </w:rPr>
        <w:t>Herramientas de contenedores de software que garantizan la portabilidad del sistema en cualquier entorno de desarrollo o producción.</w:t>
      </w:r>
    </w:p>
    <w:p>
      <w:r>
        <w:br w:type="page"/>
      </w:r>
    </w:p>
    <w:p>
      <w:pPr>
        <w:keepNext/>
        <w:spacing w:before="360" w:after="120"/>
      </w:pPr>
      <w:r>
        <w:rPr>
          <w:rFonts w:ascii="Arial" w:hAnsi="Arial"/>
          <w:b/>
          <w:color w:val="102C57"/>
          <w:sz w:val="32"/>
        </w:rPr>
        <w:t>CAPÍTULO III: OBJETIVOS Y JUSTIFICACIÓN</w:t>
      </w:r>
    </w:p>
    <w:p>
      <w:pPr>
        <w:keepNext/>
        <w:spacing w:before="240" w:after="80"/>
      </w:pPr>
      <w:r>
        <w:rPr>
          <w:rFonts w:ascii="Arial" w:hAnsi="Arial"/>
          <w:b/>
          <w:color w:val="3572EF"/>
          <w:sz w:val="26"/>
        </w:rPr>
        <w:t>3.1.- Objetivo general</w:t>
      </w:r>
    </w:p>
    <w:p>
      <w:pPr>
        <w:spacing w:after="120" w:line="276" w:lineRule="auto"/>
      </w:pPr>
      <w:r>
        <w:rPr>
          <w:rFonts w:ascii="Arial" w:hAnsi="Arial"/>
          <w:sz w:val="22"/>
        </w:rPr>
        <w:t>Diseñar e implementar una plataforma tecnológica integral y multiplataforma denominada SmartBudget+ utilizando el framework Flutter para el frontend y FastAPI para el backend, orientada a mejorar la salud financiera y mitigar los índices de sobreendeudamiento de los estudiantes universitarios de la ciudad de Piura mediante automatización por OCR con Inteligencia Artificial, simuladores de metas y un motor de alertas inteligentes.</w:t>
      </w:r>
    </w:p>
    <w:p>
      <w:pPr>
        <w:keepNext/>
        <w:spacing w:before="240" w:after="80"/>
      </w:pPr>
      <w:r>
        <w:rPr>
          <w:rFonts w:ascii="Arial" w:hAnsi="Arial"/>
          <w:b/>
          <w:color w:val="3572EF"/>
          <w:sz w:val="26"/>
        </w:rPr>
        <w:t>3.2.- Objetivos específicos y Avance de Proyecto</w:t>
      </w:r>
    </w:p>
    <w:p>
      <w:pPr>
        <w:keepNext/>
        <w:spacing w:before="160" w:after="40"/>
      </w:pPr>
      <w:r>
        <w:rPr>
          <w:rFonts w:ascii="Arial" w:hAnsi="Arial"/>
          <w:b/>
          <w:color w:val="323232"/>
          <w:sz w:val="23"/>
        </w:rPr>
        <w:t>3.2.1- Avance de proyecto final 1: Cimientos, DevOps y Seguridad (Semanas 1 y 2)</w:t>
      </w:r>
    </w:p>
    <w:p>
      <w:pPr>
        <w:pStyle w:val="ListBullet"/>
        <w:spacing w:after="80" w:line="276" w:lineRule="auto"/>
      </w:pPr>
      <w:r>
        <w:rPr>
          <w:rFonts w:ascii="Arial" w:hAnsi="Arial"/>
          <w:sz w:val="22"/>
        </w:rPr>
        <w:t>Configurar la arquitectura base del proyecto en un único repositorio (Monorepo) y asegurar la portabilidad mediante contenedores Docker para el Backend, Frontend y Base de Datos.</w:t>
      </w:r>
    </w:p>
    <w:p>
      <w:pPr>
        <w:pStyle w:val="ListBullet"/>
        <w:spacing w:after="80" w:line="276" w:lineRule="auto"/>
      </w:pPr>
      <w:r>
        <w:rPr>
          <w:rFonts w:ascii="Arial" w:hAnsi="Arial"/>
          <w:sz w:val="22"/>
        </w:rPr>
        <w:t>Establecer la estructura de base de datos relacional y un módulo mock para pruebas de integración rápida.</w:t>
      </w:r>
    </w:p>
    <w:p>
      <w:pPr>
        <w:pStyle w:val="ListBullet"/>
        <w:spacing w:after="80" w:line="276" w:lineRule="auto"/>
      </w:pPr>
      <w:r>
        <w:rPr>
          <w:rFonts w:ascii="Arial" w:hAnsi="Arial"/>
          <w:sz w:val="22"/>
        </w:rPr>
        <w:t>Implementar la lógica y esquemas de autenticación segura de usuarios mediante tokens JWT y encriptación de contraseñas.</w:t>
      </w:r>
    </w:p>
    <w:p>
      <w:pPr>
        <w:spacing w:after="120" w:line="276" w:lineRule="auto"/>
      </w:pPr>
      <w:r>
        <w:rPr>
          <w:rFonts w:ascii="Arial" w:hAnsi="Arial"/>
          <w:b/>
          <w:sz w:val="22"/>
        </w:rPr>
        <w:t xml:space="preserve">Hitos Logrados: </w:t>
      </w:r>
      <w:r>
        <w:rPr>
          <w:rFonts w:ascii="Arial" w:hAnsi="Arial"/>
          <w:sz w:val="22"/>
        </w:rPr>
        <w:t>Entregables y Commits en Git asociados:</w:t>
      </w:r>
    </w:p>
    <w:p>
      <w:pPr>
        <w:pStyle w:val="ListBullet"/>
        <w:spacing w:after="80" w:line="276" w:lineRule="auto"/>
      </w:pPr>
      <w:r>
        <w:rPr>
          <w:rFonts w:ascii="Arial" w:hAnsi="Arial"/>
          <w:sz w:val="22"/>
        </w:rPr>
        <w:t>Dockerización completa: Creación del orquestador docker-compose.yml y configuración del entorno local (Commit: 82112d0 - docker: dockerización completa del proyecto y guía de inicio rápido).</w:t>
      </w:r>
    </w:p>
    <w:p>
      <w:pPr>
        <w:pStyle w:val="ListBullet"/>
        <w:spacing w:after="80" w:line="276" w:lineRule="auto"/>
      </w:pPr>
      <w:r>
        <w:rPr>
          <w:rFonts w:ascii="Arial" w:hAnsi="Arial"/>
          <w:sz w:val="22"/>
        </w:rPr>
        <w:t>Autenticación en Backend: Implementación de rutas de registro, login y generación de tokens JWT (Commit: 9e517cd - Autenticacion).</w:t>
      </w:r>
    </w:p>
    <w:p>
      <w:pPr>
        <w:pStyle w:val="ListBullet"/>
        <w:spacing w:after="80" w:line="276" w:lineRule="auto"/>
      </w:pPr>
      <w:r>
        <w:rPr>
          <w:rFonts w:ascii="Arial" w:hAnsi="Arial"/>
          <w:sz w:val="22"/>
        </w:rPr>
        <w:t>Frontend - Vistas de Ingreso: Desarrollo de las pantallas de Login y Registro de usuarios conectadas a la API REST (Commit: a67f7d9 - feat: implementar pantalla de registro de usuario y conectarla con inicio de sesion).</w:t>
      </w:r>
    </w:p>
    <w:p>
      <w:pPr>
        <w:pStyle w:val="ListBullet"/>
        <w:spacing w:after="80" w:line="276" w:lineRule="auto"/>
      </w:pPr>
      <w:r>
        <w:rPr>
          <w:rFonts w:ascii="Arial" w:hAnsi="Arial"/>
          <w:sz w:val="22"/>
        </w:rPr>
        <w:t>Arquitectura de Datos: Conexión y unificación del mock de base de datos con los esquemas de SQLAlchemy (Commit: 995cfb5 - Finalizar merge: Integrando Mock de DB de Roberto con modelos SQLAlchemy 2.0 de Fabian).</w:t>
      </w:r>
    </w:p>
    <w:p>
      <w:pPr>
        <w:keepNext/>
        <w:spacing w:before="160" w:after="40"/>
      </w:pPr>
      <w:r>
        <w:rPr>
          <w:rFonts w:ascii="Arial" w:hAnsi="Arial"/>
          <w:b/>
          <w:color w:val="323232"/>
          <w:sz w:val="23"/>
        </w:rPr>
        <w:t>3.2.2- Avance de proyecto final 2: Núcleo Transaccional y Automatización OCR (Semanas 3 y 4)</w:t>
      </w:r>
    </w:p>
    <w:p>
      <w:pPr>
        <w:pStyle w:val="ListBullet"/>
        <w:spacing w:after="80" w:line="276" w:lineRule="auto"/>
      </w:pPr>
      <w:r>
        <w:rPr>
          <w:rFonts w:ascii="Arial" w:hAnsi="Arial"/>
          <w:sz w:val="22"/>
        </w:rPr>
        <w:t>Desarrollar el core transaccional que incluye la gestión de presupuestos, categorías de gastos y seguimiento de transacciones en tiempo real.</w:t>
      </w:r>
    </w:p>
    <w:p>
      <w:pPr>
        <w:pStyle w:val="ListBullet"/>
        <w:spacing w:after="80" w:line="276" w:lineRule="auto"/>
      </w:pPr>
      <w:r>
        <w:rPr>
          <w:rFonts w:ascii="Arial" w:hAnsi="Arial"/>
          <w:sz w:val="22"/>
        </w:rPr>
        <w:t>Integrar el servicio OCR con Inteligencia Artificial para la lectura automática de boletas de venta y facturas en formato de imagen y PDF.</w:t>
      </w:r>
    </w:p>
    <w:p>
      <w:pPr>
        <w:pStyle w:val="ListBullet"/>
        <w:spacing w:after="80" w:line="276" w:lineRule="auto"/>
      </w:pPr>
      <w:r>
        <w:rPr>
          <w:rFonts w:ascii="Arial" w:hAnsi="Arial"/>
          <w:sz w:val="22"/>
        </w:rPr>
        <w:t>Desplegar el motor lógico para el simulador financiero y el sistema de alertas.</w:t>
      </w:r>
    </w:p>
    <w:p>
      <w:pPr>
        <w:spacing w:after="120" w:line="276" w:lineRule="auto"/>
      </w:pPr>
      <w:r>
        <w:rPr>
          <w:rFonts w:ascii="Arial" w:hAnsi="Arial"/>
          <w:b/>
          <w:sz w:val="22"/>
        </w:rPr>
        <w:t xml:space="preserve">Hitos Logrados: </w:t>
      </w:r>
      <w:r>
        <w:rPr>
          <w:rFonts w:ascii="Arial" w:hAnsi="Arial"/>
          <w:sz w:val="22"/>
        </w:rPr>
        <w:t>Entregables y Commits en Git asociados:</w:t>
      </w:r>
    </w:p>
    <w:p>
      <w:pPr>
        <w:pStyle w:val="ListBullet"/>
        <w:spacing w:after="80" w:line="276" w:lineRule="auto"/>
      </w:pPr>
      <w:r>
        <w:rPr>
          <w:rFonts w:ascii="Arial" w:hAnsi="Arial"/>
          <w:sz w:val="22"/>
        </w:rPr>
        <w:t>Estructura de Presupuestos: Definición de modelos para presupuestos y metas de ahorro (Commit: e647970 - Presupuesto y metas).</w:t>
      </w:r>
    </w:p>
    <w:p>
      <w:pPr>
        <w:pStyle w:val="ListBullet"/>
        <w:spacing w:after="80" w:line="276" w:lineRule="auto"/>
      </w:pPr>
      <w:r>
        <w:rPr>
          <w:rFonts w:ascii="Arial" w:hAnsi="Arial"/>
          <w:sz w:val="22"/>
        </w:rPr>
        <w:t>Extractor OCR con IA (Backend): Implementación de la API de reconocimiento de tickets y boletas locales con procesamiento automatizado (Commit: ae912d8 - feat(core): modulo de gastos y extractor de tickets con IA (OCR)).</w:t>
      </w:r>
    </w:p>
    <w:p>
      <w:pPr>
        <w:pStyle w:val="ListBullet"/>
        <w:spacing w:after="80" w:line="276" w:lineRule="auto"/>
      </w:pPr>
      <w:r>
        <w:rPr>
          <w:rFonts w:ascii="Arial" w:hAnsi="Arial"/>
          <w:sz w:val="22"/>
        </w:rPr>
        <w:t>Simulador Financiero: Desarrollo de los endpoints para el simulador financiero y lógica de alertas inteligentes en el backend (Commit: 7d34ee2 - feat(core): implementacion de simulador financiero y motor de alertas inteligentes y Commit: a93c042 - creacion de simulator.py y de alerts.py en routes y schemas).</w:t>
      </w:r>
    </w:p>
    <w:p>
      <w:pPr>
        <w:pStyle w:val="ListBullet"/>
        <w:spacing w:after="80" w:line="276" w:lineRule="auto"/>
      </w:pPr>
      <w:r>
        <w:rPr>
          <w:rFonts w:ascii="Arial" w:hAnsi="Arial"/>
          <w:sz w:val="22"/>
        </w:rPr>
        <w:t>Conexión Frontend-Backend: Integración de la vista de registro de gastos en Flutter con el procesamiento de imágenes por OCR en el Backend (Commit: d7577f9 - Implementar escaneo de boletas OCR con IA en el Backend (Fase 2) y Commit: 22b5d7e - feat: conectar presupuesto y gastos (Fase 1) del frontend con la API real).</w:t>
      </w:r>
    </w:p>
    <w:p>
      <w:pPr>
        <w:keepNext/>
        <w:spacing w:before="160" w:after="40"/>
      </w:pPr>
      <w:r>
        <w:rPr>
          <w:rFonts w:ascii="Arial" w:hAnsi="Arial"/>
          <w:b/>
          <w:color w:val="323232"/>
          <w:sz w:val="23"/>
        </w:rPr>
        <w:t>3.2.3- Avance de proyecto final 3: Salud Financiera e Integración Inteligente (Semanas 5 en adelante)</w:t>
      </w:r>
    </w:p>
    <w:p>
      <w:pPr>
        <w:pStyle w:val="ListBullet"/>
        <w:spacing w:after="80" w:line="276" w:lineRule="auto"/>
      </w:pPr>
      <w:r>
        <w:rPr>
          <w:rFonts w:ascii="Arial" w:hAnsi="Arial"/>
          <w:sz w:val="22"/>
        </w:rPr>
        <w:t>Sincronizar dinámicamente las metas de ahorro y aportaciones individuales del usuario con la API real en la nube.</w:t>
      </w:r>
    </w:p>
    <w:p>
      <w:pPr>
        <w:pStyle w:val="ListBullet"/>
        <w:spacing w:after="80" w:line="276" w:lineRule="auto"/>
      </w:pPr>
      <w:r>
        <w:rPr>
          <w:rFonts w:ascii="Arial" w:hAnsi="Arial"/>
          <w:sz w:val="22"/>
        </w:rPr>
        <w:t>Implementar el algoritmo inteligente de salud financiera SmartScore y completar la cobertura de pruebas unitarias.</w:t>
      </w:r>
    </w:p>
    <w:p>
      <w:pPr>
        <w:pStyle w:val="ListBullet"/>
        <w:spacing w:after="80" w:line="276" w:lineRule="auto"/>
      </w:pPr>
      <w:r>
        <w:rPr>
          <w:rFonts w:ascii="Arial" w:hAnsi="Arial"/>
          <w:sz w:val="22"/>
        </w:rPr>
        <w:t>Desarrollar la visualización del indicador de salud financiera y alertas preventivas en la interfaz de usuario en Flutter.</w:t>
      </w:r>
    </w:p>
    <w:p>
      <w:pPr>
        <w:pStyle w:val="ListBullet"/>
        <w:spacing w:after="80" w:line="276" w:lineRule="auto"/>
      </w:pPr>
      <w:r>
        <w:rPr>
          <w:rFonts w:ascii="Arial" w:hAnsi="Arial"/>
          <w:sz w:val="22"/>
        </w:rPr>
        <w:t>Optimizar las consultas de base de datos y refactorizar el monorepo para despliegue productivo.</w:t>
      </w:r>
    </w:p>
    <w:p>
      <w:pPr>
        <w:spacing w:after="120" w:line="276" w:lineRule="auto"/>
      </w:pPr>
      <w:r>
        <w:rPr>
          <w:rFonts w:ascii="Arial" w:hAnsi="Arial"/>
          <w:b/>
          <w:sz w:val="22"/>
        </w:rPr>
        <w:t xml:space="preserve">Hitos Logrados: </w:t>
      </w:r>
      <w:r>
        <w:rPr>
          <w:rFonts w:ascii="Arial" w:hAnsi="Arial"/>
          <w:sz w:val="22"/>
        </w:rPr>
        <w:t>Entregables y Commits en Git asociados:</w:t>
      </w:r>
    </w:p>
    <w:p>
      <w:pPr>
        <w:pStyle w:val="ListBullet"/>
        <w:spacing w:after="80" w:line="276" w:lineRule="auto"/>
      </w:pPr>
      <w:r>
        <w:rPr>
          <w:rFonts w:ascii="Arial" w:hAnsi="Arial"/>
          <w:sz w:val="22"/>
        </w:rPr>
        <w:t>Sincronización de Metas: Conexión y lógica de aportaciones y metas en tiempo real en la UI (Commit: 4751425 - Conectar metas de ahorro y aportaciones con la API real (Fase 3)).</w:t>
      </w:r>
    </w:p>
    <w:p>
      <w:pPr>
        <w:pStyle w:val="ListBullet"/>
        <w:spacing w:after="80" w:line="276" w:lineRule="auto"/>
      </w:pPr>
      <w:r>
        <w:rPr>
          <w:rFonts w:ascii="Arial" w:hAnsi="Arial"/>
          <w:sz w:val="22"/>
        </w:rPr>
        <w:t>Métricas de Salud Financiera: Implementación del motor del algoritmo SmartScore y automatización de pruebas unitarias (Commit: bc0113b - feat(core): implementar SmartScore y completar suite de pruebas unitarias).</w:t>
      </w:r>
    </w:p>
    <w:p>
      <w:pPr>
        <w:pStyle w:val="ListBullet"/>
        <w:spacing w:after="80" w:line="276" w:lineRule="auto"/>
      </w:pPr>
      <w:r>
        <w:rPr>
          <w:rFonts w:ascii="Arial" w:hAnsi="Arial"/>
          <w:sz w:val="22"/>
        </w:rPr>
        <w:t>Frontend Inteligente: Habilitación del módulo visual del SmartScore y alertas financieras en la app móvil (Commit: ef5a599 - feat: implementar Fase 4 - Alertas y SmartScore en Frontend).</w:t>
      </w:r>
    </w:p>
    <w:p>
      <w:pPr>
        <w:pStyle w:val="ListBullet"/>
        <w:spacing w:after="80" w:line="276" w:lineRule="auto"/>
      </w:pPr>
      <w:r>
        <w:rPr>
          <w:rFonts w:ascii="Arial" w:hAnsi="Arial"/>
          <w:sz w:val="22"/>
        </w:rPr>
        <w:t>Optimización Final: Refactorización y depuración de rendimiento en la comunicación Backend/Frontend para el despliegue del proyecto (Commit: c858aeb - feat: implementar Fase 5 - Optimización &amp; Lanzamiento).</w:t>
      </w:r>
    </w:p>
    <w:p>
      <w:pPr>
        <w:keepNext/>
        <w:spacing w:before="240" w:after="80"/>
      </w:pPr>
      <w:r>
        <w:rPr>
          <w:rFonts w:ascii="Arial" w:hAnsi="Arial"/>
          <w:b/>
          <w:color w:val="3572EF"/>
          <w:sz w:val="26"/>
        </w:rPr>
        <w:t>3.3.- Justificación</w:t>
      </w:r>
    </w:p>
    <w:p>
      <w:pPr>
        <w:pStyle w:val="ListBullet"/>
        <w:spacing w:after="80" w:line="276" w:lineRule="auto"/>
      </w:pPr>
      <w:r>
        <w:rPr>
          <w:rFonts w:ascii="Arial" w:hAnsi="Arial"/>
          <w:b/>
          <w:sz w:val="22"/>
        </w:rPr>
        <w:t xml:space="preserve">Justificación Social: </w:t>
      </w:r>
      <w:r>
        <w:rPr>
          <w:rFonts w:ascii="Arial" w:hAnsi="Arial"/>
          <w:sz w:val="22"/>
        </w:rPr>
        <w:t>SmartBudget+ ataca directamente el problema de la desinformación financiera en los estudiantes de Piura, proporcionándoles una herramienta gratuita que fomenta hábitos de ahorro saludable y previene el estrés psicológico causado por el sobreendeudamiento prematuro.</w:t>
      </w:r>
    </w:p>
    <w:p>
      <w:pPr>
        <w:pStyle w:val="ListBullet"/>
        <w:spacing w:after="80" w:line="276" w:lineRule="auto"/>
      </w:pPr>
      <w:r>
        <w:rPr>
          <w:rFonts w:ascii="Arial" w:hAnsi="Arial"/>
          <w:b/>
          <w:sz w:val="22"/>
        </w:rPr>
        <w:t xml:space="preserve">Justificación Tecnológica y Académica: </w:t>
      </w:r>
      <w:r>
        <w:rPr>
          <w:rFonts w:ascii="Arial" w:hAnsi="Arial"/>
          <w:sz w:val="22"/>
        </w:rPr>
        <w:t>El proyecto sirve como modelo de integración de tecnologías modernas: desarrollo multiplataforma con Flutter, desarrollo ágil de APIs con FastAPI, contenerización con Docker, y el uso aplicado de Inteligencia Artificial para la lectura automatizada de documentos comerciales peruanos (boletas de venta).</w:t>
      </w:r>
    </w:p>
    <w:p>
      <w:pPr>
        <w:pStyle w:val="ListBullet"/>
        <w:spacing w:after="80" w:line="276" w:lineRule="auto"/>
      </w:pPr>
      <w:r>
        <w:rPr>
          <w:rFonts w:ascii="Arial" w:hAnsi="Arial"/>
          <w:b/>
          <w:sz w:val="22"/>
        </w:rPr>
        <w:t xml:space="preserve">Justificación Económica: </w:t>
      </w:r>
      <w:r>
        <w:rPr>
          <w:rFonts w:ascii="Arial" w:hAnsi="Arial"/>
          <w:sz w:val="22"/>
        </w:rPr>
        <w:t>Permite a los usuarios optimizar la distribución de sus ingresos mensuales y evitar multas o intereses moratorios por pagos retrasados, maximizando el rendimiento de los recursos financieros limitados que poseen los estudiantes durante su carrera profesional.</w:t>
      </w:r>
    </w:p>
    <w:p>
      <w:r>
        <w:br w:type="page"/>
      </w:r>
    </w:p>
    <w:p>
      <w:pPr>
        <w:keepNext/>
        <w:spacing w:before="360" w:after="120"/>
      </w:pPr>
      <w:r>
        <w:rPr>
          <w:rFonts w:ascii="Arial" w:hAnsi="Arial"/>
          <w:b/>
          <w:color w:val="102C57"/>
          <w:sz w:val="32"/>
        </w:rPr>
        <w:t>CAPÍTULO IV: PLANIFICACIÓN DEL PROYECTO</w:t>
      </w:r>
    </w:p>
    <w:p>
      <w:pPr>
        <w:keepNext/>
        <w:spacing w:before="240" w:after="80"/>
      </w:pPr>
      <w:r>
        <w:rPr>
          <w:rFonts w:ascii="Arial" w:hAnsi="Arial"/>
          <w:b/>
          <w:color w:val="3572EF"/>
          <w:sz w:val="26"/>
        </w:rPr>
        <w:t>4.1.- Cronograma de Actividades (Diagrama de Gantt)</w:t>
      </w:r>
    </w:p>
    <w:p>
      <w:pPr>
        <w:spacing w:after="120" w:line="276" w:lineRule="auto"/>
      </w:pPr>
      <w:r>
        <w:rPr>
          <w:rFonts w:ascii="Arial" w:hAnsi="Arial"/>
          <w:sz w:val="22"/>
        </w:rPr>
        <w:t>(Nota: Este punto se encuentra en desarrollo. El cronograma detallado de actividades y fases se completará tras la sesión de coordinación y validación de tiempos con todos los integrantes del equipo del proyecto).</w:t>
      </w:r>
    </w:p>
    <w:p>
      <w:pPr>
        <w:keepNext/>
        <w:spacing w:before="240" w:after="80"/>
      </w:pPr>
      <w:r>
        <w:rPr>
          <w:rFonts w:ascii="Arial" w:hAnsi="Arial"/>
          <w:b/>
          <w:color w:val="3572EF"/>
          <w:sz w:val="26"/>
        </w:rPr>
        <w:t>4.2.- Presupuesto</w:t>
      </w:r>
    </w:p>
    <w:p>
      <w:pPr>
        <w:spacing w:after="120" w:line="276" w:lineRule="auto"/>
      </w:pPr>
      <w:r>
        <w:rPr>
          <w:rFonts w:ascii="Arial" w:hAnsi="Arial"/>
          <w:sz w:val="22"/>
        </w:rPr>
        <w:t>A continuación, se detalla la estimación económica proyectada para el diseño, desarrollo, pruebas e infraestructura de la plataforma SmartBudget+, calculada sobre un periodo estimado de 4 meses (16 semanas) de ejecución del proyecto:</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02C57"/>
            <w:tcMar>
              <w:top w:w="120" w:type="dxa"/>
              <w:bottom w:w="120" w:type="dxa"/>
              <w:left w:w="150" w:type="dxa"/>
              <w:right w:w="150" w:type="dxa"/>
            </w:tcMar>
          </w:tcPr>
          <w:p>
            <w:pPr>
              <w:jc w:val="center"/>
            </w:pPr>
            <w:r>
              <w:rPr>
                <w:rFonts w:ascii="Arial" w:hAnsi="Arial"/>
                <w:b/>
                <w:color w:val="FFFFFF"/>
                <w:sz w:val="21"/>
              </w:rPr>
              <w:t>Categoría</w:t>
            </w:r>
          </w:p>
        </w:tc>
        <w:tc>
          <w:tcPr>
            <w:tcW w:type="dxa" w:w="1560"/>
            <w:shd w:fill="102C57"/>
            <w:tcMar>
              <w:top w:w="120" w:type="dxa"/>
              <w:bottom w:w="120" w:type="dxa"/>
              <w:left w:w="150" w:type="dxa"/>
              <w:right w:w="150" w:type="dxa"/>
            </w:tcMar>
          </w:tcPr>
          <w:p>
            <w:pPr>
              <w:jc w:val="center"/>
            </w:pPr>
            <w:r>
              <w:rPr>
                <w:rFonts w:ascii="Arial" w:hAnsi="Arial"/>
                <w:b/>
                <w:color w:val="FFFFFF"/>
                <w:sz w:val="21"/>
              </w:rPr>
              <w:t>Concepto / Elemento</w:t>
            </w:r>
          </w:p>
        </w:tc>
        <w:tc>
          <w:tcPr>
            <w:tcW w:type="dxa" w:w="1560"/>
            <w:shd w:fill="102C57"/>
            <w:tcMar>
              <w:top w:w="120" w:type="dxa"/>
              <w:bottom w:w="120" w:type="dxa"/>
              <w:left w:w="150" w:type="dxa"/>
              <w:right w:w="150" w:type="dxa"/>
            </w:tcMar>
          </w:tcPr>
          <w:p>
            <w:pPr>
              <w:jc w:val="center"/>
            </w:pPr>
            <w:r>
              <w:rPr>
                <w:rFonts w:ascii="Arial" w:hAnsi="Arial"/>
                <w:b/>
                <w:color w:val="FFFFFF"/>
                <w:sz w:val="21"/>
              </w:rPr>
              <w:t>Cant.</w:t>
            </w:r>
          </w:p>
        </w:tc>
        <w:tc>
          <w:tcPr>
            <w:tcW w:type="dxa" w:w="1560"/>
            <w:shd w:fill="102C57"/>
            <w:tcMar>
              <w:top w:w="120" w:type="dxa"/>
              <w:bottom w:w="120" w:type="dxa"/>
              <w:left w:w="150" w:type="dxa"/>
              <w:right w:w="150" w:type="dxa"/>
            </w:tcMar>
          </w:tcPr>
          <w:p>
            <w:pPr>
              <w:jc w:val="center"/>
            </w:pPr>
            <w:r>
              <w:rPr>
                <w:rFonts w:ascii="Arial" w:hAnsi="Arial"/>
                <w:b/>
                <w:color w:val="FFFFFF"/>
                <w:sz w:val="21"/>
              </w:rPr>
              <w:t>Costo Unit. (S/.)</w:t>
            </w:r>
          </w:p>
        </w:tc>
        <w:tc>
          <w:tcPr>
            <w:tcW w:type="dxa" w:w="1560"/>
            <w:shd w:fill="102C57"/>
            <w:tcMar>
              <w:top w:w="120" w:type="dxa"/>
              <w:bottom w:w="120" w:type="dxa"/>
              <w:left w:w="150" w:type="dxa"/>
              <w:right w:w="150" w:type="dxa"/>
            </w:tcMar>
          </w:tcPr>
          <w:p>
            <w:pPr>
              <w:jc w:val="center"/>
            </w:pPr>
            <w:r>
              <w:rPr>
                <w:rFonts w:ascii="Arial" w:hAnsi="Arial"/>
                <w:b/>
                <w:color w:val="FFFFFF"/>
                <w:sz w:val="21"/>
              </w:rPr>
              <w:t>Duración</w:t>
            </w:r>
          </w:p>
        </w:tc>
        <w:tc>
          <w:tcPr>
            <w:tcW w:type="dxa" w:w="1560"/>
            <w:shd w:fill="102C57"/>
            <w:tcMar>
              <w:top w:w="120" w:type="dxa"/>
              <w:bottom w:w="120" w:type="dxa"/>
              <w:left w:w="150" w:type="dxa"/>
              <w:right w:w="150" w:type="dxa"/>
            </w:tcMar>
          </w:tcPr>
          <w:p>
            <w:pPr>
              <w:jc w:val="center"/>
            </w:pPr>
            <w:r>
              <w:rPr>
                <w:rFonts w:ascii="Arial" w:hAnsi="Arial"/>
                <w:b/>
                <w:color w:val="FFFFFF"/>
                <w:sz w:val="21"/>
              </w:rPr>
              <w:t>Costo Total (S/.)</w:t>
            </w:r>
          </w:p>
        </w:tc>
      </w:tr>
      <w:tr>
        <w:tc>
          <w:tcPr>
            <w:tcW w:type="dxa" w:w="1560"/>
            <w:shd w:fill="F5F7F8"/>
            <w:tcMar>
              <w:top w:w="100" w:type="dxa"/>
              <w:bottom w:w="100" w:type="dxa"/>
              <w:left w:w="150" w:type="dxa"/>
              <w:right w:w="150" w:type="dxa"/>
            </w:tcMar>
          </w:tcPr>
          <w:p>
            <w:r>
              <w:rPr>
                <w:rFonts w:ascii="Arial" w:hAnsi="Arial"/>
                <w:sz w:val="20"/>
              </w:rPr>
              <w:t>Recursos Humanos</w:t>
            </w:r>
          </w:p>
        </w:tc>
        <w:tc>
          <w:tcPr>
            <w:tcW w:type="dxa" w:w="1560"/>
            <w:shd w:fill="F5F7F8"/>
            <w:tcMar>
              <w:top w:w="100" w:type="dxa"/>
              <w:bottom w:w="100" w:type="dxa"/>
              <w:left w:w="150" w:type="dxa"/>
              <w:right w:w="150" w:type="dxa"/>
            </w:tcMar>
          </w:tcPr>
          <w:p>
            <w:r>
              <w:rPr>
                <w:rFonts w:ascii="Arial" w:hAnsi="Arial"/>
                <w:sz w:val="20"/>
              </w:rPr>
              <w:t>Desarrollador de Software Junior</w:t>
            </w:r>
          </w:p>
        </w:tc>
        <w:tc>
          <w:tcPr>
            <w:tcW w:type="dxa" w:w="1560"/>
            <w:shd w:fill="F5F7F8"/>
            <w:tcMar>
              <w:top w:w="100" w:type="dxa"/>
              <w:bottom w:w="100" w:type="dxa"/>
              <w:left w:w="150" w:type="dxa"/>
              <w:right w:w="150" w:type="dxa"/>
            </w:tcMar>
          </w:tcPr>
          <w:p>
            <w:r>
              <w:rPr>
                <w:rFonts w:ascii="Arial" w:hAnsi="Arial"/>
                <w:sz w:val="20"/>
              </w:rPr>
              <w:t>3</w:t>
            </w:r>
          </w:p>
        </w:tc>
        <w:tc>
          <w:tcPr>
            <w:tcW w:type="dxa" w:w="1560"/>
            <w:shd w:fill="F5F7F8"/>
            <w:tcMar>
              <w:top w:w="100" w:type="dxa"/>
              <w:bottom w:w="100" w:type="dxa"/>
              <w:left w:w="150" w:type="dxa"/>
              <w:right w:w="150" w:type="dxa"/>
            </w:tcMar>
          </w:tcPr>
          <w:p>
            <w:r>
              <w:rPr>
                <w:rFonts w:ascii="Arial" w:hAnsi="Arial"/>
                <w:sz w:val="20"/>
              </w:rPr>
              <w:t>S/. 1,500.00 / mes</w:t>
            </w:r>
          </w:p>
        </w:tc>
        <w:tc>
          <w:tcPr>
            <w:tcW w:type="dxa" w:w="1560"/>
            <w:shd w:fill="F5F7F8"/>
            <w:tcMar>
              <w:top w:w="100" w:type="dxa"/>
              <w:bottom w:w="100" w:type="dxa"/>
              <w:left w:w="150" w:type="dxa"/>
              <w:right w:w="150" w:type="dxa"/>
            </w:tcMar>
          </w:tcPr>
          <w:p>
            <w:r>
              <w:rPr>
                <w:rFonts w:ascii="Arial" w:hAnsi="Arial"/>
                <w:sz w:val="20"/>
              </w:rPr>
              <w:t>4 meses</w:t>
            </w:r>
          </w:p>
        </w:tc>
        <w:tc>
          <w:tcPr>
            <w:tcW w:type="dxa" w:w="1560"/>
            <w:shd w:fill="F5F7F8"/>
            <w:tcMar>
              <w:top w:w="100" w:type="dxa"/>
              <w:bottom w:w="100" w:type="dxa"/>
              <w:left w:w="150" w:type="dxa"/>
              <w:right w:w="150" w:type="dxa"/>
            </w:tcMar>
          </w:tcPr>
          <w:p>
            <w:r>
              <w:rPr>
                <w:rFonts w:ascii="Arial" w:hAnsi="Arial"/>
                <w:sz w:val="20"/>
              </w:rPr>
              <w:t>S/. 18,000.00</w:t>
            </w:r>
          </w:p>
        </w:tc>
      </w:tr>
      <w:tr>
        <w:tc>
          <w:tcPr>
            <w:tcW w:type="dxa" w:w="1560"/>
            <w:tcMar>
              <w:top w:w="100" w:type="dxa"/>
              <w:bottom w:w="100" w:type="dxa"/>
              <w:left w:w="150" w:type="dxa"/>
              <w:right w:w="150" w:type="dxa"/>
            </w:tcMar>
          </w:tcPr>
          <w:p>
            <w:r>
              <w:rPr>
                <w:rFonts w:ascii="Arial" w:hAnsi="Arial"/>
                <w:sz w:val="20"/>
              </w:rPr>
              <w:t>Infraestructura Cloud</w:t>
            </w:r>
          </w:p>
        </w:tc>
        <w:tc>
          <w:tcPr>
            <w:tcW w:type="dxa" w:w="1560"/>
            <w:tcMar>
              <w:top w:w="100" w:type="dxa"/>
              <w:bottom w:w="100" w:type="dxa"/>
              <w:left w:w="150" w:type="dxa"/>
              <w:right w:w="150" w:type="dxa"/>
            </w:tcMar>
          </w:tcPr>
          <w:p>
            <w:r>
              <w:rPr>
                <w:rFonts w:ascii="Arial" w:hAnsi="Arial"/>
                <w:sz w:val="20"/>
              </w:rPr>
              <w:t>Servidor de Aplicaciones (Backend - Render/AWS)</w:t>
            </w:r>
          </w:p>
        </w:tc>
        <w:tc>
          <w:tcPr>
            <w:tcW w:type="dxa" w:w="1560"/>
            <w:tcMar>
              <w:top w:w="100" w:type="dxa"/>
              <w:bottom w:w="100" w:type="dxa"/>
              <w:left w:w="150" w:type="dxa"/>
              <w:right w:w="150" w:type="dxa"/>
            </w:tcMar>
          </w:tcPr>
          <w:p>
            <w:r>
              <w:rPr>
                <w:rFonts w:ascii="Arial" w:hAnsi="Arial"/>
                <w:sz w:val="20"/>
              </w:rPr>
              <w:t>1</w:t>
            </w:r>
          </w:p>
        </w:tc>
        <w:tc>
          <w:tcPr>
            <w:tcW w:type="dxa" w:w="1560"/>
            <w:tcMar>
              <w:top w:w="100" w:type="dxa"/>
              <w:bottom w:w="100" w:type="dxa"/>
              <w:left w:w="150" w:type="dxa"/>
              <w:right w:w="150" w:type="dxa"/>
            </w:tcMar>
          </w:tcPr>
          <w:p>
            <w:r>
              <w:rPr>
                <w:rFonts w:ascii="Arial" w:hAnsi="Arial"/>
                <w:sz w:val="20"/>
              </w:rPr>
              <w:t>S/. 60.00 / mes</w:t>
            </w:r>
          </w:p>
        </w:tc>
        <w:tc>
          <w:tcPr>
            <w:tcW w:type="dxa" w:w="1560"/>
            <w:tcMar>
              <w:top w:w="100" w:type="dxa"/>
              <w:bottom w:w="100" w:type="dxa"/>
              <w:left w:w="150" w:type="dxa"/>
              <w:right w:w="150" w:type="dxa"/>
            </w:tcMar>
          </w:tcPr>
          <w:p>
            <w:r>
              <w:rPr>
                <w:rFonts w:ascii="Arial" w:hAnsi="Arial"/>
                <w:sz w:val="20"/>
              </w:rPr>
              <w:t>4 meses</w:t>
            </w:r>
          </w:p>
        </w:tc>
        <w:tc>
          <w:tcPr>
            <w:tcW w:type="dxa" w:w="1560"/>
            <w:tcMar>
              <w:top w:w="100" w:type="dxa"/>
              <w:bottom w:w="100" w:type="dxa"/>
              <w:left w:w="150" w:type="dxa"/>
              <w:right w:w="150" w:type="dxa"/>
            </w:tcMar>
          </w:tcPr>
          <w:p>
            <w:r>
              <w:rPr>
                <w:rFonts w:ascii="Arial" w:hAnsi="Arial"/>
                <w:sz w:val="20"/>
              </w:rPr>
              <w:t>S/. 240.00</w:t>
            </w:r>
          </w:p>
        </w:tc>
      </w:tr>
      <w:tr>
        <w:tc>
          <w:tcPr>
            <w:tcW w:type="dxa" w:w="1560"/>
            <w:shd w:fill="F5F7F8"/>
            <w:tcMar>
              <w:top w:w="100" w:type="dxa"/>
              <w:bottom w:w="100" w:type="dxa"/>
              <w:left w:w="150" w:type="dxa"/>
              <w:right w:w="150" w:type="dxa"/>
            </w:tcMar>
          </w:tcPr>
          <w:p>
            <w:r>
              <w:rPr>
                <w:rFonts w:ascii="Arial" w:hAnsi="Arial"/>
                <w:sz w:val="20"/>
              </w:rPr>
              <w:t>Infraestructura Cloud</w:t>
            </w:r>
          </w:p>
        </w:tc>
        <w:tc>
          <w:tcPr>
            <w:tcW w:type="dxa" w:w="1560"/>
            <w:shd w:fill="F5F7F8"/>
            <w:tcMar>
              <w:top w:w="100" w:type="dxa"/>
              <w:bottom w:w="100" w:type="dxa"/>
              <w:left w:w="150" w:type="dxa"/>
              <w:right w:w="150" w:type="dxa"/>
            </w:tcMar>
          </w:tcPr>
          <w:p>
            <w:r>
              <w:rPr>
                <w:rFonts w:ascii="Arial" w:hAnsi="Arial"/>
                <w:sz w:val="20"/>
              </w:rPr>
              <w:t>Base de Datos Gestionada (MySQL Cloud)</w:t>
            </w:r>
          </w:p>
        </w:tc>
        <w:tc>
          <w:tcPr>
            <w:tcW w:type="dxa" w:w="1560"/>
            <w:shd w:fill="F5F7F8"/>
            <w:tcMar>
              <w:top w:w="100" w:type="dxa"/>
              <w:bottom w:w="100" w:type="dxa"/>
              <w:left w:w="150" w:type="dxa"/>
              <w:right w:w="150" w:type="dxa"/>
            </w:tcMar>
          </w:tcPr>
          <w:p>
            <w:r>
              <w:rPr>
                <w:rFonts w:ascii="Arial" w:hAnsi="Arial"/>
                <w:sz w:val="20"/>
              </w:rPr>
              <w:t>1</w:t>
            </w:r>
          </w:p>
        </w:tc>
        <w:tc>
          <w:tcPr>
            <w:tcW w:type="dxa" w:w="1560"/>
            <w:shd w:fill="F5F7F8"/>
            <w:tcMar>
              <w:top w:w="100" w:type="dxa"/>
              <w:bottom w:w="100" w:type="dxa"/>
              <w:left w:w="150" w:type="dxa"/>
              <w:right w:w="150" w:type="dxa"/>
            </w:tcMar>
          </w:tcPr>
          <w:p>
            <w:r>
              <w:rPr>
                <w:rFonts w:ascii="Arial" w:hAnsi="Arial"/>
                <w:sz w:val="20"/>
              </w:rPr>
              <w:t>S/. 100.00 / mes</w:t>
            </w:r>
          </w:p>
        </w:tc>
        <w:tc>
          <w:tcPr>
            <w:tcW w:type="dxa" w:w="1560"/>
            <w:shd w:fill="F5F7F8"/>
            <w:tcMar>
              <w:top w:w="100" w:type="dxa"/>
              <w:bottom w:w="100" w:type="dxa"/>
              <w:left w:w="150" w:type="dxa"/>
              <w:right w:w="150" w:type="dxa"/>
            </w:tcMar>
          </w:tcPr>
          <w:p>
            <w:r>
              <w:rPr>
                <w:rFonts w:ascii="Arial" w:hAnsi="Arial"/>
                <w:sz w:val="20"/>
              </w:rPr>
              <w:t>4 meses</w:t>
            </w:r>
          </w:p>
        </w:tc>
        <w:tc>
          <w:tcPr>
            <w:tcW w:type="dxa" w:w="1560"/>
            <w:shd w:fill="F5F7F8"/>
            <w:tcMar>
              <w:top w:w="100" w:type="dxa"/>
              <w:bottom w:w="100" w:type="dxa"/>
              <w:left w:w="150" w:type="dxa"/>
              <w:right w:w="150" w:type="dxa"/>
            </w:tcMar>
          </w:tcPr>
          <w:p>
            <w:r>
              <w:rPr>
                <w:rFonts w:ascii="Arial" w:hAnsi="Arial"/>
                <w:sz w:val="20"/>
              </w:rPr>
              <w:t>S/. 400.00</w:t>
            </w:r>
          </w:p>
        </w:tc>
      </w:tr>
      <w:tr>
        <w:tc>
          <w:tcPr>
            <w:tcW w:type="dxa" w:w="1560"/>
            <w:tcMar>
              <w:top w:w="100" w:type="dxa"/>
              <w:bottom w:w="100" w:type="dxa"/>
              <w:left w:w="150" w:type="dxa"/>
              <w:right w:w="150" w:type="dxa"/>
            </w:tcMar>
          </w:tcPr>
          <w:p>
            <w:r>
              <w:rPr>
                <w:rFonts w:ascii="Arial" w:hAnsi="Arial"/>
                <w:sz w:val="20"/>
              </w:rPr>
              <w:t>Infraestructura Cloud</w:t>
            </w:r>
          </w:p>
        </w:tc>
        <w:tc>
          <w:tcPr>
            <w:tcW w:type="dxa" w:w="1560"/>
            <w:tcMar>
              <w:top w:w="100" w:type="dxa"/>
              <w:bottom w:w="100" w:type="dxa"/>
              <w:left w:w="150" w:type="dxa"/>
              <w:right w:w="150" w:type="dxa"/>
            </w:tcMar>
          </w:tcPr>
          <w:p>
            <w:r>
              <w:rPr>
                <w:rFonts w:ascii="Arial" w:hAnsi="Arial"/>
                <w:sz w:val="20"/>
              </w:rPr>
              <w:t>Almacenamiento de Archivos (AWS S3)</w:t>
            </w:r>
          </w:p>
        </w:tc>
        <w:tc>
          <w:tcPr>
            <w:tcW w:type="dxa" w:w="1560"/>
            <w:tcMar>
              <w:top w:w="100" w:type="dxa"/>
              <w:bottom w:w="100" w:type="dxa"/>
              <w:left w:w="150" w:type="dxa"/>
              <w:right w:w="150" w:type="dxa"/>
            </w:tcMar>
          </w:tcPr>
          <w:p>
            <w:r>
              <w:rPr>
                <w:rFonts w:ascii="Arial" w:hAnsi="Arial"/>
                <w:sz w:val="20"/>
              </w:rPr>
              <w:t>1</w:t>
            </w:r>
          </w:p>
        </w:tc>
        <w:tc>
          <w:tcPr>
            <w:tcW w:type="dxa" w:w="1560"/>
            <w:tcMar>
              <w:top w:w="100" w:type="dxa"/>
              <w:bottom w:w="100" w:type="dxa"/>
              <w:left w:w="150" w:type="dxa"/>
              <w:right w:w="150" w:type="dxa"/>
            </w:tcMar>
          </w:tcPr>
          <w:p>
            <w:r>
              <w:rPr>
                <w:rFonts w:ascii="Arial" w:hAnsi="Arial"/>
                <w:sz w:val="20"/>
              </w:rPr>
              <w:t>S/. 20.00 / mes</w:t>
            </w:r>
          </w:p>
        </w:tc>
        <w:tc>
          <w:tcPr>
            <w:tcW w:type="dxa" w:w="1560"/>
            <w:tcMar>
              <w:top w:w="100" w:type="dxa"/>
              <w:bottom w:w="100" w:type="dxa"/>
              <w:left w:w="150" w:type="dxa"/>
              <w:right w:w="150" w:type="dxa"/>
            </w:tcMar>
          </w:tcPr>
          <w:p>
            <w:r>
              <w:rPr>
                <w:rFonts w:ascii="Arial" w:hAnsi="Arial"/>
                <w:sz w:val="20"/>
              </w:rPr>
              <w:t>4 meses</w:t>
            </w:r>
          </w:p>
        </w:tc>
        <w:tc>
          <w:tcPr>
            <w:tcW w:type="dxa" w:w="1560"/>
            <w:tcMar>
              <w:top w:w="100" w:type="dxa"/>
              <w:bottom w:w="100" w:type="dxa"/>
              <w:left w:w="150" w:type="dxa"/>
              <w:right w:w="150" w:type="dxa"/>
            </w:tcMar>
          </w:tcPr>
          <w:p>
            <w:r>
              <w:rPr>
                <w:rFonts w:ascii="Arial" w:hAnsi="Arial"/>
                <w:sz w:val="20"/>
              </w:rPr>
              <w:t>S/. 80.00</w:t>
            </w:r>
          </w:p>
        </w:tc>
      </w:tr>
      <w:tr>
        <w:tc>
          <w:tcPr>
            <w:tcW w:type="dxa" w:w="1560"/>
            <w:shd w:fill="F5F7F8"/>
            <w:tcMar>
              <w:top w:w="100" w:type="dxa"/>
              <w:bottom w:w="100" w:type="dxa"/>
              <w:left w:w="150" w:type="dxa"/>
              <w:right w:w="150" w:type="dxa"/>
            </w:tcMar>
          </w:tcPr>
          <w:p>
            <w:r>
              <w:rPr>
                <w:rFonts w:ascii="Arial" w:hAnsi="Arial"/>
                <w:sz w:val="20"/>
              </w:rPr>
              <w:t>Servicios e Integración</w:t>
            </w:r>
          </w:p>
        </w:tc>
        <w:tc>
          <w:tcPr>
            <w:tcW w:type="dxa" w:w="1560"/>
            <w:shd w:fill="F5F7F8"/>
            <w:tcMar>
              <w:top w:w="100" w:type="dxa"/>
              <w:bottom w:w="100" w:type="dxa"/>
              <w:left w:w="150" w:type="dxa"/>
              <w:right w:w="150" w:type="dxa"/>
            </w:tcMar>
          </w:tcPr>
          <w:p>
            <w:r>
              <w:rPr>
                <w:rFonts w:ascii="Arial" w:hAnsi="Arial"/>
                <w:sz w:val="20"/>
              </w:rPr>
              <w:t>API de Inteligencia Artificial (OCR)</w:t>
            </w:r>
          </w:p>
        </w:tc>
        <w:tc>
          <w:tcPr>
            <w:tcW w:type="dxa" w:w="1560"/>
            <w:shd w:fill="F5F7F8"/>
            <w:tcMar>
              <w:top w:w="100" w:type="dxa"/>
              <w:bottom w:w="100" w:type="dxa"/>
              <w:left w:w="150" w:type="dxa"/>
              <w:right w:w="150" w:type="dxa"/>
            </w:tcMar>
          </w:tcPr>
          <w:p>
            <w:r>
              <w:rPr>
                <w:rFonts w:ascii="Arial" w:hAnsi="Arial"/>
                <w:sz w:val="20"/>
              </w:rPr>
              <w:t>1</w:t>
            </w:r>
          </w:p>
        </w:tc>
        <w:tc>
          <w:tcPr>
            <w:tcW w:type="dxa" w:w="1560"/>
            <w:shd w:fill="F5F7F8"/>
            <w:tcMar>
              <w:top w:w="100" w:type="dxa"/>
              <w:bottom w:w="100" w:type="dxa"/>
              <w:left w:w="150" w:type="dxa"/>
              <w:right w:w="150" w:type="dxa"/>
            </w:tcMar>
          </w:tcPr>
          <w:p>
            <w:r>
              <w:rPr>
                <w:rFonts w:ascii="Arial" w:hAnsi="Arial"/>
                <w:sz w:val="20"/>
              </w:rPr>
              <w:t>S/. 75.00 / mes</w:t>
            </w:r>
          </w:p>
        </w:tc>
        <w:tc>
          <w:tcPr>
            <w:tcW w:type="dxa" w:w="1560"/>
            <w:shd w:fill="F5F7F8"/>
            <w:tcMar>
              <w:top w:w="100" w:type="dxa"/>
              <w:bottom w:w="100" w:type="dxa"/>
              <w:left w:w="150" w:type="dxa"/>
              <w:right w:w="150" w:type="dxa"/>
            </w:tcMar>
          </w:tcPr>
          <w:p>
            <w:r>
              <w:rPr>
                <w:rFonts w:ascii="Arial" w:hAnsi="Arial"/>
                <w:sz w:val="20"/>
              </w:rPr>
              <w:t>4 meses</w:t>
            </w:r>
          </w:p>
        </w:tc>
        <w:tc>
          <w:tcPr>
            <w:tcW w:type="dxa" w:w="1560"/>
            <w:shd w:fill="F5F7F8"/>
            <w:tcMar>
              <w:top w:w="100" w:type="dxa"/>
              <w:bottom w:w="100" w:type="dxa"/>
              <w:left w:w="150" w:type="dxa"/>
              <w:right w:w="150" w:type="dxa"/>
            </w:tcMar>
          </w:tcPr>
          <w:p>
            <w:r>
              <w:rPr>
                <w:rFonts w:ascii="Arial" w:hAnsi="Arial"/>
                <w:sz w:val="20"/>
              </w:rPr>
              <w:t>S/. 300.00</w:t>
            </w:r>
          </w:p>
        </w:tc>
      </w:tr>
      <w:tr>
        <w:tc>
          <w:tcPr>
            <w:tcW w:type="dxa" w:w="1560"/>
            <w:tcMar>
              <w:top w:w="100" w:type="dxa"/>
              <w:bottom w:w="100" w:type="dxa"/>
              <w:left w:w="150" w:type="dxa"/>
              <w:right w:w="150" w:type="dxa"/>
            </w:tcMar>
          </w:tcPr>
          <w:p>
            <w:r>
              <w:rPr>
                <w:rFonts w:ascii="Arial" w:hAnsi="Arial"/>
                <w:sz w:val="20"/>
              </w:rPr>
              <w:t>Servicios e Integración</w:t>
            </w:r>
          </w:p>
        </w:tc>
        <w:tc>
          <w:tcPr>
            <w:tcW w:type="dxa" w:w="1560"/>
            <w:tcMar>
              <w:top w:w="100" w:type="dxa"/>
              <w:bottom w:w="100" w:type="dxa"/>
              <w:left w:w="150" w:type="dxa"/>
              <w:right w:w="150" w:type="dxa"/>
            </w:tcMar>
          </w:tcPr>
          <w:p>
            <w:r>
              <w:rPr>
                <w:rFonts w:ascii="Arial" w:hAnsi="Arial"/>
                <w:sz w:val="20"/>
              </w:rPr>
              <w:t>Dominio Web y Certificado SSL (Anual)</w:t>
            </w:r>
          </w:p>
        </w:tc>
        <w:tc>
          <w:tcPr>
            <w:tcW w:type="dxa" w:w="1560"/>
            <w:tcMar>
              <w:top w:w="100" w:type="dxa"/>
              <w:bottom w:w="100" w:type="dxa"/>
              <w:left w:w="150" w:type="dxa"/>
              <w:right w:w="150" w:type="dxa"/>
            </w:tcMar>
          </w:tcPr>
          <w:p>
            <w:r>
              <w:rPr>
                <w:rFonts w:ascii="Arial" w:hAnsi="Arial"/>
                <w:sz w:val="20"/>
              </w:rPr>
              <w:t>1</w:t>
            </w:r>
          </w:p>
        </w:tc>
        <w:tc>
          <w:tcPr>
            <w:tcW w:type="dxa" w:w="1560"/>
            <w:tcMar>
              <w:top w:w="100" w:type="dxa"/>
              <w:bottom w:w="100" w:type="dxa"/>
              <w:left w:w="150" w:type="dxa"/>
              <w:right w:w="150" w:type="dxa"/>
            </w:tcMar>
          </w:tcPr>
          <w:p>
            <w:r>
              <w:rPr>
                <w:rFonts w:ascii="Arial" w:hAnsi="Arial"/>
                <w:sz w:val="20"/>
              </w:rPr>
              <w:t>S/. 90.00</w:t>
            </w:r>
          </w:p>
        </w:tc>
        <w:tc>
          <w:tcPr>
            <w:tcW w:type="dxa" w:w="1560"/>
            <w:tcMar>
              <w:top w:w="100" w:type="dxa"/>
              <w:bottom w:w="100" w:type="dxa"/>
              <w:left w:w="150" w:type="dxa"/>
              <w:right w:w="150" w:type="dxa"/>
            </w:tcMar>
          </w:tcPr>
          <w:p>
            <w:r>
              <w:rPr>
                <w:rFonts w:ascii="Arial" w:hAnsi="Arial"/>
                <w:sz w:val="20"/>
              </w:rPr>
              <w:t>Pago único</w:t>
            </w:r>
          </w:p>
        </w:tc>
        <w:tc>
          <w:tcPr>
            <w:tcW w:type="dxa" w:w="1560"/>
            <w:tcMar>
              <w:top w:w="100" w:type="dxa"/>
              <w:bottom w:w="100" w:type="dxa"/>
              <w:left w:w="150" w:type="dxa"/>
              <w:right w:w="150" w:type="dxa"/>
            </w:tcMar>
          </w:tcPr>
          <w:p>
            <w:r>
              <w:rPr>
                <w:rFonts w:ascii="Arial" w:hAnsi="Arial"/>
                <w:sz w:val="20"/>
              </w:rPr>
              <w:t>S/. 90.00</w:t>
            </w:r>
          </w:p>
        </w:tc>
      </w:tr>
      <w:tr>
        <w:tc>
          <w:tcPr>
            <w:tcW w:type="dxa" w:w="1560"/>
            <w:shd w:fill="F5F7F8"/>
            <w:tcMar>
              <w:top w:w="100" w:type="dxa"/>
              <w:bottom w:w="100" w:type="dxa"/>
              <w:left w:w="150" w:type="dxa"/>
              <w:right w:w="150" w:type="dxa"/>
            </w:tcMar>
          </w:tcPr>
          <w:p>
            <w:r>
              <w:rPr>
                <w:rFonts w:ascii="Arial" w:hAnsi="Arial"/>
                <w:sz w:val="20"/>
              </w:rPr>
              <w:t>Herramientas de Trabajo</w:t>
            </w:r>
          </w:p>
        </w:tc>
        <w:tc>
          <w:tcPr>
            <w:tcW w:type="dxa" w:w="1560"/>
            <w:shd w:fill="F5F7F8"/>
            <w:tcMar>
              <w:top w:w="100" w:type="dxa"/>
              <w:bottom w:w="100" w:type="dxa"/>
              <w:left w:w="150" w:type="dxa"/>
              <w:right w:w="150" w:type="dxa"/>
            </w:tcMar>
          </w:tcPr>
          <w:p>
            <w:r>
              <w:rPr>
                <w:rFonts w:ascii="Arial" w:hAnsi="Arial"/>
                <w:sz w:val="20"/>
              </w:rPr>
              <w:t>Licencias de Software e IDEs (Versión Libre)</w:t>
            </w:r>
          </w:p>
        </w:tc>
        <w:tc>
          <w:tcPr>
            <w:tcW w:type="dxa" w:w="1560"/>
            <w:shd w:fill="F5F7F8"/>
            <w:tcMar>
              <w:top w:w="100" w:type="dxa"/>
              <w:bottom w:w="100" w:type="dxa"/>
              <w:left w:w="150" w:type="dxa"/>
              <w:right w:w="150" w:type="dxa"/>
            </w:tcMar>
          </w:tcPr>
          <w:p>
            <w:r>
              <w:rPr>
                <w:rFonts w:ascii="Arial" w:hAnsi="Arial"/>
                <w:sz w:val="20"/>
              </w:rPr>
              <w:t>-</w:t>
            </w:r>
          </w:p>
        </w:tc>
        <w:tc>
          <w:tcPr>
            <w:tcW w:type="dxa" w:w="1560"/>
            <w:shd w:fill="F5F7F8"/>
            <w:tcMar>
              <w:top w:w="100" w:type="dxa"/>
              <w:bottom w:w="100" w:type="dxa"/>
              <w:left w:w="150" w:type="dxa"/>
              <w:right w:w="150" w:type="dxa"/>
            </w:tcMar>
          </w:tcPr>
          <w:p>
            <w:r>
              <w:rPr>
                <w:rFonts w:ascii="Arial" w:hAnsi="Arial"/>
                <w:sz w:val="20"/>
              </w:rPr>
              <w:t>S/. 0.00</w:t>
            </w:r>
          </w:p>
        </w:tc>
        <w:tc>
          <w:tcPr>
            <w:tcW w:type="dxa" w:w="1560"/>
            <w:shd w:fill="F5F7F8"/>
            <w:tcMar>
              <w:top w:w="100" w:type="dxa"/>
              <w:bottom w:w="100" w:type="dxa"/>
              <w:left w:w="150" w:type="dxa"/>
              <w:right w:w="150" w:type="dxa"/>
            </w:tcMar>
          </w:tcPr>
          <w:p>
            <w:r>
              <w:rPr>
                <w:rFonts w:ascii="Arial" w:hAnsi="Arial"/>
                <w:sz w:val="20"/>
              </w:rPr>
              <w:t>-</w:t>
            </w:r>
          </w:p>
        </w:tc>
        <w:tc>
          <w:tcPr>
            <w:tcW w:type="dxa" w:w="1560"/>
            <w:shd w:fill="F5F7F8"/>
            <w:tcMar>
              <w:top w:w="100" w:type="dxa"/>
              <w:bottom w:w="100" w:type="dxa"/>
              <w:left w:w="150" w:type="dxa"/>
              <w:right w:w="150" w:type="dxa"/>
            </w:tcMar>
          </w:tcPr>
          <w:p>
            <w:r>
              <w:rPr>
                <w:rFonts w:ascii="Arial" w:hAnsi="Arial"/>
                <w:sz w:val="20"/>
              </w:rPr>
              <w:t>S/. 0.00</w:t>
            </w:r>
          </w:p>
        </w:tc>
      </w:tr>
      <w:tr>
        <w:tc>
          <w:tcPr>
            <w:tcW w:type="dxa" w:w="1560"/>
            <w:tcMar>
              <w:top w:w="100" w:type="dxa"/>
              <w:bottom w:w="100" w:type="dxa"/>
              <w:left w:w="150" w:type="dxa"/>
              <w:right w:w="150" w:type="dxa"/>
            </w:tcMar>
          </w:tcPr>
          <w:p>
            <w:r>
              <w:rPr>
                <w:rFonts w:ascii="Arial" w:hAnsi="Arial"/>
                <w:b/>
                <w:sz w:val="20"/>
              </w:rPr>
              <w:t>TOTAL GENERAL</w:t>
            </w:r>
          </w:p>
        </w:tc>
        <w:tc>
          <w:tcPr>
            <w:tcW w:type="dxa" w:w="1560"/>
            <w:tcMar>
              <w:top w:w="100" w:type="dxa"/>
              <w:bottom w:w="100" w:type="dxa"/>
              <w:left w:w="150" w:type="dxa"/>
              <w:right w:w="150" w:type="dxa"/>
            </w:tcMar>
          </w:tcPr>
          <w:p>
            <w:r>
              <w:rPr>
                <w:rFonts w:ascii="Arial" w:hAnsi="Arial"/>
                <w:b/>
                <w:sz w:val="20"/>
              </w:rPr>
            </w:r>
          </w:p>
        </w:tc>
        <w:tc>
          <w:tcPr>
            <w:tcW w:type="dxa" w:w="1560"/>
            <w:tcMar>
              <w:top w:w="100" w:type="dxa"/>
              <w:bottom w:w="100" w:type="dxa"/>
              <w:left w:w="150" w:type="dxa"/>
              <w:right w:w="150" w:type="dxa"/>
            </w:tcMar>
          </w:tcPr>
          <w:p>
            <w:r>
              <w:rPr>
                <w:rFonts w:ascii="Arial" w:hAnsi="Arial"/>
                <w:b/>
                <w:sz w:val="20"/>
              </w:rPr>
            </w:r>
          </w:p>
        </w:tc>
        <w:tc>
          <w:tcPr>
            <w:tcW w:type="dxa" w:w="1560"/>
            <w:tcMar>
              <w:top w:w="100" w:type="dxa"/>
              <w:bottom w:w="100" w:type="dxa"/>
              <w:left w:w="150" w:type="dxa"/>
              <w:right w:w="150" w:type="dxa"/>
            </w:tcMar>
          </w:tcPr>
          <w:p>
            <w:r>
              <w:rPr>
                <w:rFonts w:ascii="Arial" w:hAnsi="Arial"/>
                <w:b/>
                <w:sz w:val="20"/>
              </w:rPr>
            </w:r>
          </w:p>
        </w:tc>
        <w:tc>
          <w:tcPr>
            <w:tcW w:type="dxa" w:w="1560"/>
            <w:tcMar>
              <w:top w:w="100" w:type="dxa"/>
              <w:bottom w:w="100" w:type="dxa"/>
              <w:left w:w="150" w:type="dxa"/>
              <w:right w:w="150" w:type="dxa"/>
            </w:tcMar>
          </w:tcPr>
          <w:p>
            <w:r>
              <w:rPr>
                <w:rFonts w:ascii="Arial" w:hAnsi="Arial"/>
                <w:b/>
                <w:sz w:val="20"/>
              </w:rPr>
            </w:r>
          </w:p>
        </w:tc>
        <w:tc>
          <w:tcPr>
            <w:tcW w:type="dxa" w:w="1560"/>
            <w:tcMar>
              <w:top w:w="100" w:type="dxa"/>
              <w:bottom w:w="100" w:type="dxa"/>
              <w:left w:w="150" w:type="dxa"/>
              <w:right w:w="150" w:type="dxa"/>
            </w:tcMar>
          </w:tcPr>
          <w:p>
            <w:r>
              <w:rPr>
                <w:rFonts w:ascii="Arial" w:hAnsi="Arial"/>
                <w:b/>
                <w:sz w:val="20"/>
              </w:rPr>
              <w:t>S/. 19,110.00</w:t>
            </w:r>
          </w:p>
        </w:tc>
      </w:tr>
    </w:tbl>
    <w:p>
      <w:r>
        <w:br w:type="page"/>
      </w:r>
    </w:p>
    <w:p>
      <w:pPr>
        <w:keepNext/>
        <w:spacing w:before="360" w:after="120"/>
      </w:pPr>
      <w:r>
        <w:rPr>
          <w:rFonts w:ascii="Arial" w:hAnsi="Arial"/>
          <w:b/>
          <w:color w:val="102C57"/>
          <w:sz w:val="32"/>
        </w:rPr>
        <w:t>CAPÍTULO V: METODOLOGÍA DEL PROYECTO</w:t>
      </w:r>
    </w:p>
    <w:p>
      <w:pPr>
        <w:keepNext/>
        <w:spacing w:before="240" w:after="80"/>
      </w:pPr>
      <w:r>
        <w:rPr>
          <w:rFonts w:ascii="Arial" w:hAnsi="Arial"/>
          <w:b/>
          <w:color w:val="3572EF"/>
          <w:sz w:val="26"/>
        </w:rPr>
        <w:t>5.1.- Fase 01: Diagnóstico</w:t>
      </w:r>
    </w:p>
    <w:p>
      <w:pPr>
        <w:keepNext/>
        <w:spacing w:before="160" w:after="40"/>
      </w:pPr>
      <w:r>
        <w:rPr>
          <w:rFonts w:ascii="Arial" w:hAnsi="Arial"/>
          <w:b/>
          <w:color w:val="323232"/>
          <w:sz w:val="23"/>
        </w:rPr>
        <w:t>5.1.1.- Modelo FODA de Tecnologías de la Información</w:t>
      </w:r>
    </w:p>
    <w:tbl>
      <w:tblPr>
        <w:tblStyle w:val="TableGrid"/>
        <w:tblW w:type="auto" w:w="0"/>
        <w:tblLook w:firstColumn="1" w:firstRow="1" w:lastColumn="0" w:lastRow="0" w:noHBand="0" w:noVBand="1" w:val="04A0"/>
      </w:tblPr>
      <w:tblGrid>
        <w:gridCol w:w="3120"/>
        <w:gridCol w:w="3120"/>
        <w:gridCol w:w="3120"/>
      </w:tblGrid>
      <w:tr>
        <w:tc>
          <w:tcPr>
            <w:tcW w:type="dxa" w:w="3120"/>
            <w:shd w:fill="102C57"/>
            <w:tcMar>
              <w:top w:w="120" w:type="dxa"/>
              <w:bottom w:w="120" w:type="dxa"/>
              <w:left w:w="150" w:type="dxa"/>
              <w:right w:w="150" w:type="dxa"/>
            </w:tcMar>
          </w:tcPr>
          <w:p>
            <w:pPr>
              <w:jc w:val="center"/>
            </w:pPr>
            <w:r>
              <w:rPr>
                <w:rFonts w:ascii="Arial" w:hAnsi="Arial"/>
                <w:b/>
                <w:color w:val="FFFFFF"/>
                <w:sz w:val="21"/>
              </w:rPr>
              <w:t>Aspecto</w:t>
            </w:r>
          </w:p>
        </w:tc>
        <w:tc>
          <w:tcPr>
            <w:tcW w:type="dxa" w:w="3120"/>
            <w:shd w:fill="102C57"/>
            <w:tcMar>
              <w:top w:w="120" w:type="dxa"/>
              <w:bottom w:w="120" w:type="dxa"/>
              <w:left w:w="150" w:type="dxa"/>
              <w:right w:w="150" w:type="dxa"/>
            </w:tcMar>
          </w:tcPr>
          <w:p>
            <w:pPr>
              <w:jc w:val="center"/>
            </w:pPr>
            <w:r>
              <w:rPr>
                <w:rFonts w:ascii="Arial" w:hAnsi="Arial"/>
                <w:b/>
                <w:color w:val="FFFFFF"/>
                <w:sz w:val="21"/>
              </w:rPr>
              <w:t>Factores Internos (Controlables)</w:t>
            </w:r>
          </w:p>
        </w:tc>
        <w:tc>
          <w:tcPr>
            <w:tcW w:type="dxa" w:w="3120"/>
            <w:shd w:fill="102C57"/>
            <w:tcMar>
              <w:top w:w="120" w:type="dxa"/>
              <w:bottom w:w="120" w:type="dxa"/>
              <w:left w:w="150" w:type="dxa"/>
              <w:right w:w="150" w:type="dxa"/>
            </w:tcMar>
          </w:tcPr>
          <w:p>
            <w:pPr>
              <w:jc w:val="center"/>
            </w:pPr>
            <w:r>
              <w:rPr>
                <w:rFonts w:ascii="Arial" w:hAnsi="Arial"/>
                <w:b/>
                <w:color w:val="FFFFFF"/>
                <w:sz w:val="21"/>
              </w:rPr>
              <w:t>Factores Externos (No Controlables)</w:t>
            </w:r>
          </w:p>
        </w:tc>
      </w:tr>
      <w:tr>
        <w:tc>
          <w:tcPr>
            <w:tcW w:type="dxa" w:w="3120"/>
            <w:shd w:fill="F5F7F8"/>
            <w:tcMar>
              <w:top w:w="100" w:type="dxa"/>
              <w:bottom w:w="100" w:type="dxa"/>
              <w:left w:w="150" w:type="dxa"/>
              <w:right w:w="150" w:type="dxa"/>
            </w:tcMar>
          </w:tcPr>
          <w:p>
            <w:r>
              <w:rPr>
                <w:rFonts w:ascii="Arial" w:hAnsi="Arial"/>
                <w:sz w:val="20"/>
              </w:rPr>
              <w:t>Aspectos Positivos</w:t>
            </w:r>
          </w:p>
        </w:tc>
        <w:tc>
          <w:tcPr>
            <w:tcW w:type="dxa" w:w="3120"/>
            <w:shd w:fill="F5F7F8"/>
            <w:tcMar>
              <w:top w:w="100" w:type="dxa"/>
              <w:bottom w:w="100" w:type="dxa"/>
              <w:left w:w="150" w:type="dxa"/>
              <w:right w:w="150" w:type="dxa"/>
            </w:tcMar>
          </w:tcPr>
          <w:p>
            <w:r>
              <w:rPr>
                <w:rFonts w:ascii="Arial" w:hAnsi="Arial"/>
                <w:sz w:val="20"/>
              </w:rPr>
              <w:t>FORTALEZAS (F):</w:t>
              <w:br/>
              <w:t>1. Desarrollo multiplataforma: Uso de Flutter para compilar a Web, Android e iOS con un único código base.</w:t>
              <w:br/>
              <w:t>2. API de alto rendimiento: FastAPI permite procesar peticiones asíncronas rápidamente.</w:t>
              <w:br/>
              <w:t>3. Automatización con IA (OCR): Extracción automática de datos de comprobantes físicos para eliminar la fatiga de registro.</w:t>
              <w:br/>
              <w:t>4. Cimientos portables (Docker): Entorno de desarrollo homogéneo.</w:t>
            </w:r>
          </w:p>
        </w:tc>
        <w:tc>
          <w:tcPr>
            <w:tcW w:type="dxa" w:w="3120"/>
            <w:shd w:fill="F5F7F8"/>
            <w:tcMar>
              <w:top w:w="100" w:type="dxa"/>
              <w:bottom w:w="100" w:type="dxa"/>
              <w:left w:w="150" w:type="dxa"/>
              <w:right w:w="150" w:type="dxa"/>
            </w:tcMar>
          </w:tcPr>
          <w:p>
            <w:r>
              <w:rPr>
                <w:rFonts w:ascii="Arial" w:hAnsi="Arial"/>
                <w:sz w:val="20"/>
              </w:rPr>
              <w:t>OPORTUNIDADES (O):</w:t>
              <w:br/>
              <w:t>1. Alta demanda estudiantil: Creciente necesidad de universitarios en Piura por controlar gastos debido a la inflación regional.</w:t>
              <w:br/>
              <w:t>2. Ecosistema fintech peruano: Facilidad de integrar conceptos de billeteras digitales (Yape/Plin).</w:t>
              <w:br/>
              <w:t>3. Incentivos a la educación financiera: Campañas activas de la SBS para el despliegue de herramientas de control de deudas.</w:t>
            </w:r>
          </w:p>
        </w:tc>
      </w:tr>
      <w:tr>
        <w:tc>
          <w:tcPr>
            <w:tcW w:type="dxa" w:w="3120"/>
            <w:tcMar>
              <w:top w:w="100" w:type="dxa"/>
              <w:bottom w:w="100" w:type="dxa"/>
              <w:left w:w="150" w:type="dxa"/>
              <w:right w:w="150" w:type="dxa"/>
            </w:tcMar>
          </w:tcPr>
          <w:p>
            <w:r>
              <w:rPr>
                <w:rFonts w:ascii="Arial" w:hAnsi="Arial"/>
                <w:sz w:val="20"/>
              </w:rPr>
              <w:t>Aspectos Negativos</w:t>
            </w:r>
          </w:p>
        </w:tc>
        <w:tc>
          <w:tcPr>
            <w:tcW w:type="dxa" w:w="3120"/>
            <w:tcMar>
              <w:top w:w="100" w:type="dxa"/>
              <w:bottom w:w="100" w:type="dxa"/>
              <w:left w:w="150" w:type="dxa"/>
              <w:right w:w="150" w:type="dxa"/>
            </w:tcMar>
          </w:tcPr>
          <w:p>
            <w:r>
              <w:rPr>
                <w:rFonts w:ascii="Arial" w:hAnsi="Arial"/>
                <w:sz w:val="20"/>
              </w:rPr>
              <w:t>DEBILIDADES (D):</w:t>
              <w:br/>
              <w:t>1. Curva de aprendizaje inicial: Requiere dominio técnico en dos entornos distintos (Python asíncrono y Dart/Flutter).</w:t>
              <w:br/>
              <w:t>2. Dependencia de infraestructura local: El procesamiento de imágenes OCR consume recursos locales elevados.</w:t>
              <w:br/>
              <w:t>3. Ausencia de base de datos productiva inicial: Uso temporal de base de datos Mock.</w:t>
            </w:r>
          </w:p>
        </w:tc>
        <w:tc>
          <w:tcPr>
            <w:tcW w:type="dxa" w:w="3120"/>
            <w:tcMar>
              <w:top w:w="100" w:type="dxa"/>
              <w:bottom w:w="100" w:type="dxa"/>
              <w:left w:w="150" w:type="dxa"/>
              <w:right w:w="150" w:type="dxa"/>
            </w:tcMar>
          </w:tcPr>
          <w:p>
            <w:r>
              <w:rPr>
                <w:rFonts w:ascii="Arial" w:hAnsi="Arial"/>
                <w:sz w:val="20"/>
              </w:rPr>
              <w:t>AMENAZAS (A):</w:t>
              <w:br/>
              <w:t>1. Costos variables de API externa: Variaciones en tarifas de la API de OpenAI.</w:t>
              <w:br/>
              <w:t>2. Inseguridad de datos móviles: Riesgos de ataques cibernéticos dirigidos a interceptar tokens de autenticación (JWT).</w:t>
              <w:br/>
              <w:t>3. Competencia indirecta: Adición de módulos básicos de presupuesto dentro de apps bancarias y billeteras móviles.</w:t>
            </w:r>
          </w:p>
        </w:tc>
      </w:tr>
    </w:tbl>
    <w:p>
      <w:pPr>
        <w:keepNext/>
        <w:spacing w:before="160" w:after="40"/>
      </w:pPr>
      <w:r>
        <w:rPr>
          <w:rFonts w:ascii="Arial" w:hAnsi="Arial"/>
          <w:b/>
          <w:color w:val="323232"/>
          <w:sz w:val="23"/>
        </w:rPr>
        <w:t>5.1.2.- Modelo Ishikawa (Causa-Efecto)</w:t>
      </w:r>
    </w:p>
    <w:p>
      <w:pPr>
        <w:spacing w:after="120" w:line="276" w:lineRule="auto"/>
      </w:pPr>
      <w:r>
        <w:rPr>
          <w:rFonts w:ascii="Arial" w:hAnsi="Arial"/>
          <w:sz w:val="22"/>
        </w:rPr>
        <w:t>Este modelo desglosa las causas raíz que generan el problema central identificado para el proyecto: "Alto índice de sobreendeudamiento, estrés financiero y descontrol presupuestario en los estudiantes universitarios de la región Piura".</w:t>
      </w:r>
    </w:p>
    <w:p>
      <w:pPr>
        <w:pStyle w:val="ListBullet"/>
        <w:spacing w:after="80" w:line="276" w:lineRule="auto"/>
      </w:pPr>
      <w:r>
        <w:rPr>
          <w:rFonts w:ascii="Arial" w:hAnsi="Arial"/>
          <w:b/>
          <w:sz w:val="22"/>
        </w:rPr>
        <w:t xml:space="preserve">Métodos (Procesos): </w:t>
      </w:r>
      <w:r>
        <w:rPr>
          <w:rFonts w:ascii="Arial" w:hAnsi="Arial"/>
          <w:sz w:val="22"/>
        </w:rPr>
        <w:t>Inexistencia de un hábito estructurado de registro; los estudiantes no conocen metodologías presupuestarias (como el 50/30/20) y recurren a anotaciones reactivas al final del mes.</w:t>
      </w:r>
    </w:p>
    <w:p>
      <w:pPr>
        <w:pStyle w:val="ListBullet"/>
        <w:spacing w:after="80" w:line="276" w:lineRule="auto"/>
      </w:pPr>
      <w:r>
        <w:rPr>
          <w:rFonts w:ascii="Arial" w:hAnsi="Arial"/>
          <w:b/>
          <w:sz w:val="22"/>
        </w:rPr>
        <w:t xml:space="preserve">Mano de Obra (Estudiante/Usuario): </w:t>
      </w:r>
      <w:r>
        <w:rPr>
          <w:rFonts w:ascii="Arial" w:hAnsi="Arial"/>
          <w:sz w:val="22"/>
        </w:rPr>
        <w:t>Nula educación financiera previa en la etapa escolar; decisiones de consumo impulsivas y falta de experiencia administrando dinero de pensiones o remesas.</w:t>
      </w:r>
    </w:p>
    <w:p>
      <w:pPr>
        <w:pStyle w:val="ListBullet"/>
        <w:spacing w:after="80" w:line="276" w:lineRule="auto"/>
      </w:pPr>
      <w:r>
        <w:rPr>
          <w:rFonts w:ascii="Arial" w:hAnsi="Arial"/>
          <w:b/>
          <w:sz w:val="22"/>
        </w:rPr>
        <w:t xml:space="preserve">Materiales / Herramientas: </w:t>
      </w:r>
      <w:r>
        <w:rPr>
          <w:rFonts w:ascii="Arial" w:hAnsi="Arial"/>
          <w:sz w:val="22"/>
        </w:rPr>
        <w:t>Uso de herramientas ineficientes u obsoletas (papel, notas del celular, plantillas de Excel complejas) que generan alta fricción y posterior abandono del registro.</w:t>
      </w:r>
    </w:p>
    <w:p>
      <w:pPr>
        <w:pStyle w:val="ListBullet"/>
        <w:spacing w:after="80" w:line="276" w:lineRule="auto"/>
      </w:pPr>
      <w:r>
        <w:rPr>
          <w:rFonts w:ascii="Arial" w:hAnsi="Arial"/>
          <w:b/>
          <w:sz w:val="22"/>
        </w:rPr>
        <w:t xml:space="preserve">Medio Ambiente (Entorno): </w:t>
      </w:r>
      <w:r>
        <w:rPr>
          <w:rFonts w:ascii="Arial" w:hAnsi="Arial"/>
          <w:sz w:val="22"/>
        </w:rPr>
        <w:t>Oferta agresiva de tarjetas de crédito universitarias de fácil acceso; inflación en la canasta básica en Piura y variaciones de ingresos familiares debido al impacto del Fenómeno El Niño.</w:t>
      </w:r>
    </w:p>
    <w:p>
      <w:pPr>
        <w:pStyle w:val="ListBullet"/>
        <w:spacing w:after="80" w:line="276" w:lineRule="auto"/>
      </w:pPr>
      <w:r>
        <w:rPr>
          <w:rFonts w:ascii="Arial" w:hAnsi="Arial"/>
          <w:b/>
          <w:sz w:val="22"/>
        </w:rPr>
        <w:t xml:space="preserve">Maquinaria / Tecnología: </w:t>
      </w:r>
      <w:r>
        <w:rPr>
          <w:rFonts w:ascii="Arial" w:hAnsi="Arial"/>
          <w:sz w:val="22"/>
        </w:rPr>
        <w:t>Falta de aplicaciones locales que automaticen el registro y que entiendan la estructura transaccional peruana (como registrar pagos de Yape, Plin o boletas electrónicas).</w:t>
      </w:r>
    </w:p>
    <w:p>
      <w:pPr>
        <w:pStyle w:val="ListBullet"/>
        <w:spacing w:after="80" w:line="276" w:lineRule="auto"/>
      </w:pPr>
      <w:r>
        <w:rPr>
          <w:rFonts w:ascii="Arial" w:hAnsi="Arial"/>
          <w:b/>
          <w:sz w:val="22"/>
        </w:rPr>
        <w:t xml:space="preserve">Medición: </w:t>
      </w:r>
      <w:r>
        <w:rPr>
          <w:rFonts w:ascii="Arial" w:hAnsi="Arial"/>
          <w:sz w:val="22"/>
        </w:rPr>
        <w:t>Falta de un indicador centralizado que evalúe y califique la salud financiera del estudiante de manera intuitiva y sencilla (como el SmartScore).</w:t>
      </w:r>
    </w:p>
    <w:p>
      <w:pPr>
        <w:keepNext/>
        <w:spacing w:before="160" w:after="40"/>
      </w:pPr>
      <w:r>
        <w:rPr>
          <w:rFonts w:ascii="Arial" w:hAnsi="Arial"/>
          <w:b/>
          <w:color w:val="323232"/>
          <w:sz w:val="23"/>
        </w:rPr>
        <w:t>5.1.3.- Modelo de Influencia (Causa – Efecto)</w:t>
      </w:r>
    </w:p>
    <w:p>
      <w:pPr>
        <w:spacing w:after="120" w:line="276" w:lineRule="auto"/>
      </w:pPr>
      <w:r>
        <w:rPr>
          <w:rFonts w:ascii="Arial" w:hAnsi="Arial"/>
          <w:sz w:val="22"/>
        </w:rPr>
        <w:t>El modelo describe la cadena de impacto secuencial del proyecto desde sus cimientos hasta su valor final:</w:t>
      </w:r>
    </w:p>
    <w:p>
      <w:pPr>
        <w:pStyle w:val="ListBullet"/>
        <w:spacing w:after="80" w:line="276" w:lineRule="auto"/>
      </w:pPr>
      <w:r>
        <w:rPr>
          <w:rFonts w:ascii="Arial" w:hAnsi="Arial"/>
          <w:sz w:val="22"/>
        </w:rPr>
        <w:t>Dockerización e Infraestructura base -&gt; Permite un desarrollo ordenado y rápido en cualquier equipo de trabajo.</w:t>
      </w:r>
    </w:p>
    <w:p>
      <w:pPr>
        <w:pStyle w:val="ListBullet"/>
        <w:spacing w:after="80" w:line="276" w:lineRule="auto"/>
      </w:pPr>
      <w:r>
        <w:rPr>
          <w:rFonts w:ascii="Arial" w:hAnsi="Arial"/>
          <w:sz w:val="22"/>
        </w:rPr>
        <w:t>Implementación del Backend (FastAPI) y Base de Datos (MySQL) -&gt; Permite exponer endpoints transaccionales y de seguridad.</w:t>
      </w:r>
    </w:p>
    <w:p>
      <w:pPr>
        <w:pStyle w:val="ListBullet"/>
        <w:spacing w:after="80" w:line="276" w:lineRule="auto"/>
      </w:pPr>
      <w:r>
        <w:rPr>
          <w:rFonts w:ascii="Arial" w:hAnsi="Arial"/>
          <w:sz w:val="22"/>
        </w:rPr>
        <w:t>Creación del Módulo OCR con IA y Algoritmo SmartScore -&gt; Permite automatizar el registro y medir la salud financiera del usuario.</w:t>
      </w:r>
    </w:p>
    <w:p>
      <w:pPr>
        <w:pStyle w:val="ListBullet"/>
        <w:spacing w:after="80" w:line="276" w:lineRule="auto"/>
      </w:pPr>
      <w:r>
        <w:rPr>
          <w:rFonts w:ascii="Arial" w:hAnsi="Arial"/>
          <w:sz w:val="22"/>
        </w:rPr>
        <w:t>Interfaz Móvil y Web en Flutter -&gt; Ofrece fácil acceso al estudiante en entornos multiplataforma.</w:t>
      </w:r>
    </w:p>
    <w:p>
      <w:pPr>
        <w:pStyle w:val="ListBullet"/>
        <w:spacing w:after="80" w:line="276" w:lineRule="auto"/>
      </w:pPr>
      <w:r>
        <w:rPr>
          <w:rFonts w:ascii="Arial" w:hAnsi="Arial"/>
          <w:sz w:val="22"/>
        </w:rPr>
        <w:t>Efecto Final -&gt; Reducción de la fricción de registro y toma de decisiones inteligentes para evitar deudas.</w:t>
      </w:r>
    </w:p>
    <w:p>
      <w:pPr>
        <w:keepNext/>
        <w:spacing w:before="240" w:after="80"/>
      </w:pPr>
      <w:r>
        <w:rPr>
          <w:rFonts w:ascii="Arial" w:hAnsi="Arial"/>
          <w:b/>
          <w:color w:val="3572EF"/>
          <w:sz w:val="26"/>
        </w:rPr>
        <w:t>5.2.- Fase 02: Modelo de Negocio</w:t>
      </w:r>
    </w:p>
    <w:p>
      <w:pPr>
        <w:keepNext/>
        <w:spacing w:before="160" w:after="40"/>
      </w:pPr>
      <w:r>
        <w:rPr>
          <w:rFonts w:ascii="Arial" w:hAnsi="Arial"/>
          <w:b/>
          <w:color w:val="323232"/>
          <w:sz w:val="23"/>
        </w:rPr>
        <w:t>5.2.1.- Modelo Sistémico Canvas</w:t>
      </w:r>
    </w:p>
    <w:tbl>
      <w:tblPr>
        <w:tblStyle w:val="TableGrid"/>
        <w:tblW w:type="auto" w:w="0"/>
        <w:tblLook w:firstColumn="1" w:firstRow="1" w:lastColumn="0" w:lastRow="0" w:noHBand="0" w:noVBand="1" w:val="04A0"/>
      </w:tblPr>
      <w:tblGrid>
        <w:gridCol w:w="4680"/>
        <w:gridCol w:w="4680"/>
      </w:tblGrid>
      <w:tr>
        <w:tc>
          <w:tcPr>
            <w:tcW w:type="dxa" w:w="4680"/>
            <w:shd w:fill="102C57"/>
            <w:tcMar>
              <w:top w:w="120" w:type="dxa"/>
              <w:bottom w:w="120" w:type="dxa"/>
              <w:left w:w="150" w:type="dxa"/>
              <w:right w:w="150" w:type="dxa"/>
            </w:tcMar>
          </w:tcPr>
          <w:p>
            <w:pPr>
              <w:jc w:val="center"/>
            </w:pPr>
            <w:r>
              <w:rPr>
                <w:rFonts w:ascii="Arial" w:hAnsi="Arial"/>
                <w:b/>
                <w:color w:val="FFFFFF"/>
                <w:sz w:val="21"/>
              </w:rPr>
              <w:t>Bloque Canvas</w:t>
            </w:r>
          </w:p>
        </w:tc>
        <w:tc>
          <w:tcPr>
            <w:tcW w:type="dxa" w:w="4680"/>
            <w:shd w:fill="102C57"/>
            <w:tcMar>
              <w:top w:w="120" w:type="dxa"/>
              <w:bottom w:w="120" w:type="dxa"/>
              <w:left w:w="150" w:type="dxa"/>
              <w:right w:w="150" w:type="dxa"/>
            </w:tcMar>
          </w:tcPr>
          <w:p>
            <w:pPr>
              <w:jc w:val="center"/>
            </w:pPr>
            <w:r>
              <w:rPr>
                <w:rFonts w:ascii="Arial" w:hAnsi="Arial"/>
                <w:b/>
                <w:color w:val="FFFFFF"/>
                <w:sz w:val="21"/>
              </w:rPr>
              <w:t>Descripción Aplicada a SmartBudget+</w:t>
            </w:r>
          </w:p>
        </w:tc>
      </w:tr>
      <w:tr>
        <w:tc>
          <w:tcPr>
            <w:tcW w:type="dxa" w:w="4680"/>
            <w:shd w:fill="F5F7F8"/>
            <w:tcMar>
              <w:top w:w="100" w:type="dxa"/>
              <w:bottom w:w="100" w:type="dxa"/>
              <w:left w:w="150" w:type="dxa"/>
              <w:right w:w="150" w:type="dxa"/>
            </w:tcMar>
          </w:tcPr>
          <w:p>
            <w:r>
              <w:rPr>
                <w:rFonts w:ascii="Arial" w:hAnsi="Arial"/>
                <w:sz w:val="20"/>
              </w:rPr>
              <w:t>1. Propuesta de Valor</w:t>
            </w:r>
          </w:p>
        </w:tc>
        <w:tc>
          <w:tcPr>
            <w:tcW w:type="dxa" w:w="4680"/>
            <w:shd w:fill="F5F7F8"/>
            <w:tcMar>
              <w:top w:w="100" w:type="dxa"/>
              <w:bottom w:w="100" w:type="dxa"/>
              <w:left w:w="150" w:type="dxa"/>
              <w:right w:w="150" w:type="dxa"/>
            </w:tcMar>
          </w:tcPr>
          <w:p>
            <w:r>
              <w:rPr>
                <w:rFonts w:ascii="Arial" w:hAnsi="Arial"/>
                <w:sz w:val="20"/>
              </w:rPr>
              <w:t>Control inteligente y simplificado de finanzas para universitarios mediante:</w:t>
              <w:br/>
              <w:t>• Registro automático de gastos vía escaneo OCR con IA (fotos de boletas de venta).</w:t>
              <w:br/>
              <w:t>• Indicador dinámico de salud financiera (SmartScore).</w:t>
              <w:br/>
              <w:t>• Simulador financiero y motor de alertas preventivas adaptado a la realidad estudiantil.</w:t>
            </w:r>
          </w:p>
        </w:tc>
      </w:tr>
      <w:tr>
        <w:tc>
          <w:tcPr>
            <w:tcW w:type="dxa" w:w="4680"/>
            <w:tcMar>
              <w:top w:w="100" w:type="dxa"/>
              <w:bottom w:w="100" w:type="dxa"/>
              <w:left w:w="150" w:type="dxa"/>
              <w:right w:w="150" w:type="dxa"/>
            </w:tcMar>
          </w:tcPr>
          <w:p>
            <w:r>
              <w:rPr>
                <w:rFonts w:ascii="Arial" w:hAnsi="Arial"/>
                <w:sz w:val="20"/>
              </w:rPr>
              <w:t>2. Segmento de Clientes</w:t>
            </w:r>
          </w:p>
        </w:tc>
        <w:tc>
          <w:tcPr>
            <w:tcW w:type="dxa" w:w="4680"/>
            <w:tcMar>
              <w:top w:w="100" w:type="dxa"/>
              <w:bottom w:w="100" w:type="dxa"/>
              <w:left w:w="150" w:type="dxa"/>
              <w:right w:w="150" w:type="dxa"/>
            </w:tcMar>
          </w:tcPr>
          <w:p>
            <w:r>
              <w:rPr>
                <w:rFonts w:ascii="Arial" w:hAnsi="Arial"/>
                <w:sz w:val="20"/>
              </w:rPr>
              <w:t>• Estudiantes de universidades públicas y privadas de Piura (18 a 27 años).</w:t>
              <w:br/>
              <w:t>• Jóvenes que manejan por primera vez pensiones, remesas o salarios de trabajos a tiempo parcial.</w:t>
            </w:r>
          </w:p>
        </w:tc>
      </w:tr>
      <w:tr>
        <w:tc>
          <w:tcPr>
            <w:tcW w:type="dxa" w:w="4680"/>
            <w:shd w:fill="F5F7F8"/>
            <w:tcMar>
              <w:top w:w="100" w:type="dxa"/>
              <w:bottom w:w="100" w:type="dxa"/>
              <w:left w:w="150" w:type="dxa"/>
              <w:right w:w="150" w:type="dxa"/>
            </w:tcMar>
          </w:tcPr>
          <w:p>
            <w:r>
              <w:rPr>
                <w:rFonts w:ascii="Arial" w:hAnsi="Arial"/>
                <w:sz w:val="20"/>
              </w:rPr>
              <w:t>3. Canales</w:t>
            </w:r>
          </w:p>
        </w:tc>
        <w:tc>
          <w:tcPr>
            <w:tcW w:type="dxa" w:w="4680"/>
            <w:shd w:fill="F5F7F8"/>
            <w:tcMar>
              <w:top w:w="100" w:type="dxa"/>
              <w:bottom w:w="100" w:type="dxa"/>
              <w:left w:w="150" w:type="dxa"/>
              <w:right w:w="150" w:type="dxa"/>
            </w:tcMar>
          </w:tcPr>
          <w:p>
            <w:r>
              <w:rPr>
                <w:rFonts w:ascii="Arial" w:hAnsi="Arial"/>
                <w:sz w:val="20"/>
              </w:rPr>
              <w:t>• Tiendas de aplicaciones móviles (Google Play Store, Apple App Store).</w:t>
              <w:br/>
              <w:t>• Plataforma Web accesible desde navegadores móviles.</w:t>
              <w:br/>
              <w:t>• Campañas de difusión orgánica en campus universitarios (redes sociales, eventos estudiantiles).</w:t>
            </w:r>
          </w:p>
        </w:tc>
      </w:tr>
      <w:tr>
        <w:tc>
          <w:tcPr>
            <w:tcW w:type="dxa" w:w="4680"/>
            <w:tcMar>
              <w:top w:w="100" w:type="dxa"/>
              <w:bottom w:w="100" w:type="dxa"/>
              <w:left w:w="150" w:type="dxa"/>
              <w:right w:w="150" w:type="dxa"/>
            </w:tcMar>
          </w:tcPr>
          <w:p>
            <w:r>
              <w:rPr>
                <w:rFonts w:ascii="Arial" w:hAnsi="Arial"/>
                <w:sz w:val="20"/>
              </w:rPr>
              <w:t>4. Relación con Clientes</w:t>
            </w:r>
          </w:p>
        </w:tc>
        <w:tc>
          <w:tcPr>
            <w:tcW w:type="dxa" w:w="4680"/>
            <w:tcMar>
              <w:top w:w="100" w:type="dxa"/>
              <w:bottom w:w="100" w:type="dxa"/>
              <w:left w:w="150" w:type="dxa"/>
              <w:right w:w="150" w:type="dxa"/>
            </w:tcMar>
          </w:tcPr>
          <w:p>
            <w:r>
              <w:rPr>
                <w:rFonts w:ascii="Arial" w:hAnsi="Arial"/>
                <w:sz w:val="20"/>
              </w:rPr>
              <w:t>• Autoservicio automatizado mediante interfaz intuitiva y guías integradas (onboarding).</w:t>
              <w:br/>
              <w:t>• Notificaciones personalizadas, proactivas e inteligentes basadas en sus propios hábitos.</w:t>
              <w:br/>
              <w:t>• Respeto y seguridad estricta en el tratamiento de sus datos personales.</w:t>
            </w:r>
          </w:p>
        </w:tc>
      </w:tr>
      <w:tr>
        <w:tc>
          <w:tcPr>
            <w:tcW w:type="dxa" w:w="4680"/>
            <w:shd w:fill="F5F7F8"/>
            <w:tcMar>
              <w:top w:w="100" w:type="dxa"/>
              <w:bottom w:w="100" w:type="dxa"/>
              <w:left w:w="150" w:type="dxa"/>
              <w:right w:w="150" w:type="dxa"/>
            </w:tcMar>
          </w:tcPr>
          <w:p>
            <w:r>
              <w:rPr>
                <w:rFonts w:ascii="Arial" w:hAnsi="Arial"/>
                <w:sz w:val="20"/>
              </w:rPr>
              <w:t>5. Fuentes de Ingresos</w:t>
            </w:r>
          </w:p>
        </w:tc>
        <w:tc>
          <w:tcPr>
            <w:tcW w:type="dxa" w:w="4680"/>
            <w:shd w:fill="F5F7F8"/>
            <w:tcMar>
              <w:top w:w="100" w:type="dxa"/>
              <w:bottom w:w="100" w:type="dxa"/>
              <w:left w:w="150" w:type="dxa"/>
              <w:right w:w="150" w:type="dxa"/>
            </w:tcMar>
          </w:tcPr>
          <w:p>
            <w:r>
              <w:rPr>
                <w:rFonts w:ascii="Arial" w:hAnsi="Arial"/>
                <w:sz w:val="20"/>
              </w:rPr>
              <w:t>• Modelo Freemium: Acceso gratuito a presupuestos básicos y alertas estándar. Suscripción premium de bajo costo (S/. 5.00/mes) para escaneos ilimitados y analítica avanzada.</w:t>
              <w:br/>
              <w:t>• Convenios universitarios: Venta de licencias corporativas a universidades interesadas en promover el bienestar estudiantil.</w:t>
            </w:r>
          </w:p>
        </w:tc>
      </w:tr>
      <w:tr>
        <w:tc>
          <w:tcPr>
            <w:tcW w:type="dxa" w:w="4680"/>
            <w:tcMar>
              <w:top w:w="100" w:type="dxa"/>
              <w:bottom w:w="100" w:type="dxa"/>
              <w:left w:w="150" w:type="dxa"/>
              <w:right w:w="150" w:type="dxa"/>
            </w:tcMar>
          </w:tcPr>
          <w:p>
            <w:r>
              <w:rPr>
                <w:rFonts w:ascii="Arial" w:hAnsi="Arial"/>
                <w:sz w:val="20"/>
              </w:rPr>
              <w:t>6. Recursos Clave</w:t>
            </w:r>
          </w:p>
        </w:tc>
        <w:tc>
          <w:tcPr>
            <w:tcW w:type="dxa" w:w="4680"/>
            <w:tcMar>
              <w:top w:w="100" w:type="dxa"/>
              <w:bottom w:w="100" w:type="dxa"/>
              <w:left w:w="150" w:type="dxa"/>
              <w:right w:w="150" w:type="dxa"/>
            </w:tcMar>
          </w:tcPr>
          <w:p>
            <w:r>
              <w:rPr>
                <w:rFonts w:ascii="Arial" w:hAnsi="Arial"/>
                <w:sz w:val="20"/>
              </w:rPr>
              <w:t>• Desarrolladores de software (Frontend, Backend, DevOps).</w:t>
              <w:br/>
              <w:t>• Algoritmo propietario SmartScore y modelo de IA para OCR.</w:t>
              <w:br/>
              <w:t>• Infraestructura en la nube (Servidores, bases de datos y almacenamiento de imágenes).</w:t>
            </w:r>
          </w:p>
        </w:tc>
      </w:tr>
      <w:tr>
        <w:tc>
          <w:tcPr>
            <w:tcW w:type="dxa" w:w="4680"/>
            <w:shd w:fill="F5F7F8"/>
            <w:tcMar>
              <w:top w:w="100" w:type="dxa"/>
              <w:bottom w:w="100" w:type="dxa"/>
              <w:left w:w="150" w:type="dxa"/>
              <w:right w:w="150" w:type="dxa"/>
            </w:tcMar>
          </w:tcPr>
          <w:p>
            <w:r>
              <w:rPr>
                <w:rFonts w:ascii="Arial" w:hAnsi="Arial"/>
                <w:sz w:val="20"/>
              </w:rPr>
              <w:t>7. Actividades Clave</w:t>
            </w:r>
          </w:p>
        </w:tc>
        <w:tc>
          <w:tcPr>
            <w:tcW w:type="dxa" w:w="4680"/>
            <w:shd w:fill="F5F7F8"/>
            <w:tcMar>
              <w:top w:w="100" w:type="dxa"/>
              <w:bottom w:w="100" w:type="dxa"/>
              <w:left w:w="150" w:type="dxa"/>
              <w:right w:w="150" w:type="dxa"/>
            </w:tcMar>
          </w:tcPr>
          <w:p>
            <w:r>
              <w:rPr>
                <w:rFonts w:ascii="Arial" w:hAnsi="Arial"/>
                <w:sz w:val="20"/>
              </w:rPr>
              <w:t>• Mantenimiento técnico y optimización de las APIs y de la aplicación móvil.</w:t>
              <w:br/>
              <w:t>• Mejora del entrenamiento del modelo OCR para comprender mejor las boletas peruanas.</w:t>
              <w:br/>
              <w:t>• Gestión y protección de datos e infraestructura cloud.</w:t>
            </w:r>
          </w:p>
        </w:tc>
      </w:tr>
      <w:tr>
        <w:tc>
          <w:tcPr>
            <w:tcW w:type="dxa" w:w="4680"/>
            <w:tcMar>
              <w:top w:w="100" w:type="dxa"/>
              <w:bottom w:w="100" w:type="dxa"/>
              <w:left w:w="150" w:type="dxa"/>
              <w:right w:w="150" w:type="dxa"/>
            </w:tcMar>
          </w:tcPr>
          <w:p>
            <w:r>
              <w:rPr>
                <w:rFonts w:ascii="Arial" w:hAnsi="Arial"/>
                <w:sz w:val="20"/>
              </w:rPr>
              <w:t>8. Socios Clave</w:t>
            </w:r>
          </w:p>
        </w:tc>
        <w:tc>
          <w:tcPr>
            <w:tcW w:type="dxa" w:w="4680"/>
            <w:tcMar>
              <w:top w:w="100" w:type="dxa"/>
              <w:bottom w:w="100" w:type="dxa"/>
              <w:left w:w="150" w:type="dxa"/>
              <w:right w:w="150" w:type="dxa"/>
            </w:tcMar>
          </w:tcPr>
          <w:p>
            <w:r>
              <w:rPr>
                <w:rFonts w:ascii="Arial" w:hAnsi="Arial"/>
                <w:sz w:val="20"/>
              </w:rPr>
              <w:t>• Universidades locales de Piura (UDEP, UNP, UCV) a través de sus oficinas de bienestar estudiantil.</w:t>
              <w:br/>
              <w:t>• Negocios locales (fotocopias, pensiones, cafeterías) para ofrecer cupones de ahorro integrados.</w:t>
              <w:br/>
              <w:t>• Proveedores cloud de infraestructura y APIs de IA (AWS, OpenAI).</w:t>
            </w:r>
          </w:p>
        </w:tc>
      </w:tr>
      <w:tr>
        <w:tc>
          <w:tcPr>
            <w:tcW w:type="dxa" w:w="4680"/>
            <w:shd w:fill="F5F7F8"/>
            <w:tcMar>
              <w:top w:w="100" w:type="dxa"/>
              <w:bottom w:w="100" w:type="dxa"/>
              <w:left w:w="150" w:type="dxa"/>
              <w:right w:w="150" w:type="dxa"/>
            </w:tcMar>
          </w:tcPr>
          <w:p>
            <w:r>
              <w:rPr>
                <w:rFonts w:ascii="Arial" w:hAnsi="Arial"/>
                <w:sz w:val="20"/>
              </w:rPr>
              <w:t>9. Estructura de Costos</w:t>
            </w:r>
          </w:p>
        </w:tc>
        <w:tc>
          <w:tcPr>
            <w:tcW w:type="dxa" w:w="4680"/>
            <w:shd w:fill="F5F7F8"/>
            <w:tcMar>
              <w:top w:w="100" w:type="dxa"/>
              <w:bottom w:w="100" w:type="dxa"/>
              <w:left w:w="150" w:type="dxa"/>
              <w:right w:w="150" w:type="dxa"/>
            </w:tcMar>
          </w:tcPr>
          <w:p>
            <w:r>
              <w:rPr>
                <w:rFonts w:ascii="Arial" w:hAnsi="Arial"/>
                <w:sz w:val="20"/>
              </w:rPr>
              <w:t>• Costos de desarrollo y salarios del equipo técnico.</w:t>
              <w:br/>
              <w:t>• Hosting y almacenamiento de base de datos/imágenes en la nube.</w:t>
              <w:br/>
              <w:t>• Consumos mensuales de API de procesamiento de imágenes con Inteligencia Artificial.</w:t>
            </w:r>
          </w:p>
        </w:tc>
      </w:tr>
    </w:tbl>
    <w:p>
      <w:pPr>
        <w:keepNext/>
        <w:spacing w:before="160" w:after="40"/>
      </w:pPr>
      <w:r>
        <w:rPr>
          <w:rFonts w:ascii="Arial" w:hAnsi="Arial"/>
          <w:b/>
          <w:color w:val="323232"/>
          <w:sz w:val="23"/>
        </w:rPr>
        <w:t>5.2.2.- Modelo de Empatía (Estudiante Universitario de Piura)</w:t>
      </w:r>
    </w:p>
    <w:p>
      <w:pPr>
        <w:pStyle w:val="ListBullet"/>
        <w:spacing w:after="80" w:line="276" w:lineRule="auto"/>
      </w:pPr>
      <w:r>
        <w:rPr>
          <w:rFonts w:ascii="Arial" w:hAnsi="Arial"/>
          <w:b/>
          <w:sz w:val="22"/>
        </w:rPr>
        <w:t xml:space="preserve">¿Qué piensa y siente? </w:t>
      </w:r>
      <w:r>
        <w:rPr>
          <w:rFonts w:ascii="Arial" w:hAnsi="Arial"/>
          <w:sz w:val="22"/>
        </w:rPr>
        <w:t>Le preocupa no tener suficiente dinero para llegar a fin de mes. Siente frustración al ver que gasta su presupuesto diario pero no sabe en qué se le fue el dinero exactamente. Tiene el deseo de ahorrar para comprar sus cosas (tecnología, salidas, viajes), pero siente que es una meta inalcanzable.</w:t>
      </w:r>
    </w:p>
    <w:p>
      <w:pPr>
        <w:pStyle w:val="ListBullet"/>
        <w:spacing w:after="80" w:line="276" w:lineRule="auto"/>
      </w:pPr>
      <w:r>
        <w:rPr>
          <w:rFonts w:ascii="Arial" w:hAnsi="Arial"/>
          <w:b/>
          <w:sz w:val="22"/>
        </w:rPr>
        <w:t xml:space="preserve">¿Qué ve? </w:t>
      </w:r>
      <w:r>
        <w:rPr>
          <w:rFonts w:ascii="Arial" w:hAnsi="Arial"/>
          <w:sz w:val="22"/>
        </w:rPr>
        <w:t>Ve a sus compañeros de la universidad usando billeteras digitales (Yape/Plin) para transferir dinero rápidamente en comidas, transporte y copias. Observa publicidad constante de tarjetas de crédito dirigidas a jóvenes. Ve que los precios de los servicios y alimentación en Piura aumentan constantemente.</w:t>
      </w:r>
    </w:p>
    <w:p>
      <w:pPr>
        <w:pStyle w:val="ListBullet"/>
        <w:spacing w:after="80" w:line="276" w:lineRule="auto"/>
      </w:pPr>
      <w:r>
        <w:rPr>
          <w:rFonts w:ascii="Arial" w:hAnsi="Arial"/>
          <w:b/>
          <w:sz w:val="22"/>
        </w:rPr>
        <w:t xml:space="preserve">¿Qué oye? </w:t>
      </w:r>
      <w:r>
        <w:rPr>
          <w:rFonts w:ascii="Arial" w:hAnsi="Arial"/>
          <w:sz w:val="22"/>
        </w:rPr>
        <w:t>Escucha a sus padres pedirle que rinda cuentas de las remesas que le envían. Oye a amigos quejándose de deudas con tarjetas de tiendas por departamento. Escucha consejos financieros abstractos que no sabe cómo aplicar a su realidad diaria de bajos ingresos.</w:t>
      </w:r>
    </w:p>
    <w:p>
      <w:pPr>
        <w:pStyle w:val="ListBullet"/>
        <w:spacing w:after="80" w:line="276" w:lineRule="auto"/>
      </w:pPr>
      <w:r>
        <w:rPr>
          <w:rFonts w:ascii="Arial" w:hAnsi="Arial"/>
          <w:b/>
          <w:sz w:val="22"/>
        </w:rPr>
        <w:t xml:space="preserve">¿Qué dice y hace? </w:t>
      </w:r>
      <w:r>
        <w:rPr>
          <w:rFonts w:ascii="Arial" w:hAnsi="Arial"/>
          <w:sz w:val="22"/>
        </w:rPr>
        <w:t>Dice que 'va a empezar a ahorrar el próximo ciclo', pero no tiene un plan concreto. Usa Yape o efectivo de forma rápida sin anotar los montos pequeños ('gastos hormiga'). En ocasiones, gasta más de lo presupuestado en salidas de fin de semana.</w:t>
      </w:r>
    </w:p>
    <w:p>
      <w:pPr>
        <w:pStyle w:val="ListBullet"/>
        <w:spacing w:after="80" w:line="276" w:lineRule="auto"/>
      </w:pPr>
      <w:r>
        <w:rPr>
          <w:rFonts w:ascii="Arial" w:hAnsi="Arial"/>
          <w:b/>
          <w:sz w:val="22"/>
        </w:rPr>
        <w:t xml:space="preserve">Esfuerzos (Frustraciones / Miedos): </w:t>
      </w:r>
      <w:r>
        <w:rPr>
          <w:rFonts w:ascii="Arial" w:hAnsi="Arial"/>
          <w:sz w:val="22"/>
        </w:rPr>
        <w:t>Miedo a quedarse sin dinero antes de pagar la pensión o los exámenes de la universidad. Fastidio extremo de tener que anotar a mano cada gasto diario en una libreta. Temor a estar reportado negativamente en Infocorp en el futuro.</w:t>
      </w:r>
    </w:p>
    <w:p>
      <w:pPr>
        <w:pStyle w:val="ListBullet"/>
        <w:spacing w:after="80" w:line="276" w:lineRule="auto"/>
      </w:pPr>
      <w:r>
        <w:rPr>
          <w:rFonts w:ascii="Arial" w:hAnsi="Arial"/>
          <w:b/>
          <w:sz w:val="22"/>
        </w:rPr>
        <w:t xml:space="preserve">Resultados (Deseos / Necesidades): </w:t>
      </w:r>
      <w:r>
        <w:rPr>
          <w:rFonts w:ascii="Arial" w:hAnsi="Arial"/>
          <w:sz w:val="22"/>
        </w:rPr>
        <w:t>Desea una herramienta automática que registre sus gastos simplemente tomándole una foto al ticket. Necesita saber de manera simple si sus finanzas están 'sanas' o en 'peligro' mediante una nota gráfica. Quiere lograr autonomía financiera y alcanzar pequeñas metas de ahorro sin sacrificar su calidad de vida.</w:t>
      </w:r>
    </w:p>
    <w:p>
      <w:pPr>
        <w:keepNext/>
        <w:spacing w:before="240" w:after="80"/>
      </w:pPr>
      <w:r>
        <w:rPr>
          <w:rFonts w:ascii="Arial" w:hAnsi="Arial"/>
          <w:b/>
          <w:color w:val="3572EF"/>
          <w:sz w:val="26"/>
        </w:rPr>
        <w:t>5.3.- Fase 03: Análisis de Riesgos</w:t>
      </w:r>
    </w:p>
    <w:p>
      <w:pPr>
        <w:keepNext/>
        <w:spacing w:before="160" w:after="40"/>
      </w:pPr>
      <w:r>
        <w:rPr>
          <w:rFonts w:ascii="Arial" w:hAnsi="Arial"/>
          <w:b/>
          <w:color w:val="323232"/>
          <w:sz w:val="23"/>
        </w:rPr>
        <w:t>5.3.1.- Matriz de Riesgos de Tecnologías de la Información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02C57"/>
            <w:tcMar>
              <w:top w:w="120" w:type="dxa"/>
              <w:bottom w:w="120" w:type="dxa"/>
              <w:left w:w="150" w:type="dxa"/>
              <w:right w:w="150" w:type="dxa"/>
            </w:tcMar>
          </w:tcPr>
          <w:p>
            <w:pPr>
              <w:jc w:val="center"/>
            </w:pPr>
            <w:r>
              <w:rPr>
                <w:rFonts w:ascii="Arial" w:hAnsi="Arial"/>
                <w:b/>
                <w:color w:val="FFFFFF"/>
                <w:sz w:val="21"/>
              </w:rPr>
              <w:t>ID</w:t>
            </w:r>
          </w:p>
        </w:tc>
        <w:tc>
          <w:tcPr>
            <w:tcW w:type="dxa" w:w="1560"/>
            <w:shd w:fill="102C57"/>
            <w:tcMar>
              <w:top w:w="120" w:type="dxa"/>
              <w:bottom w:w="120" w:type="dxa"/>
              <w:left w:w="150" w:type="dxa"/>
              <w:right w:w="150" w:type="dxa"/>
            </w:tcMar>
          </w:tcPr>
          <w:p>
            <w:pPr>
              <w:jc w:val="center"/>
            </w:pPr>
            <w:r>
              <w:rPr>
                <w:rFonts w:ascii="Arial" w:hAnsi="Arial"/>
                <w:b/>
                <w:color w:val="FFFFFF"/>
                <w:sz w:val="21"/>
              </w:rPr>
              <w:t>Descripción del Riesgo</w:t>
            </w:r>
          </w:p>
        </w:tc>
        <w:tc>
          <w:tcPr>
            <w:tcW w:type="dxa" w:w="1560"/>
            <w:shd w:fill="102C57"/>
            <w:tcMar>
              <w:top w:w="120" w:type="dxa"/>
              <w:bottom w:w="120" w:type="dxa"/>
              <w:left w:w="150" w:type="dxa"/>
              <w:right w:w="150" w:type="dxa"/>
            </w:tcMar>
          </w:tcPr>
          <w:p>
            <w:pPr>
              <w:jc w:val="center"/>
            </w:pPr>
            <w:r>
              <w:rPr>
                <w:rFonts w:ascii="Arial" w:hAnsi="Arial"/>
                <w:b/>
                <w:color w:val="FFFFFF"/>
                <w:sz w:val="21"/>
              </w:rPr>
              <w:t>Prob.</w:t>
            </w:r>
          </w:p>
        </w:tc>
        <w:tc>
          <w:tcPr>
            <w:tcW w:type="dxa" w:w="1560"/>
            <w:shd w:fill="102C57"/>
            <w:tcMar>
              <w:top w:w="120" w:type="dxa"/>
              <w:bottom w:w="120" w:type="dxa"/>
              <w:left w:w="150" w:type="dxa"/>
              <w:right w:w="150" w:type="dxa"/>
            </w:tcMar>
          </w:tcPr>
          <w:p>
            <w:pPr>
              <w:jc w:val="center"/>
            </w:pPr>
            <w:r>
              <w:rPr>
                <w:rFonts w:ascii="Arial" w:hAnsi="Arial"/>
                <w:b/>
                <w:color w:val="FFFFFF"/>
                <w:sz w:val="21"/>
              </w:rPr>
              <w:t>Imp.</w:t>
            </w:r>
          </w:p>
        </w:tc>
        <w:tc>
          <w:tcPr>
            <w:tcW w:type="dxa" w:w="1560"/>
            <w:shd w:fill="102C57"/>
            <w:tcMar>
              <w:top w:w="120" w:type="dxa"/>
              <w:bottom w:w="120" w:type="dxa"/>
              <w:left w:w="150" w:type="dxa"/>
              <w:right w:w="150" w:type="dxa"/>
            </w:tcMar>
          </w:tcPr>
          <w:p>
            <w:pPr>
              <w:jc w:val="center"/>
            </w:pPr>
            <w:r>
              <w:rPr>
                <w:rFonts w:ascii="Arial" w:hAnsi="Arial"/>
                <w:b/>
                <w:color w:val="FFFFFF"/>
                <w:sz w:val="21"/>
              </w:rPr>
              <w:t>Nivel</w:t>
            </w:r>
          </w:p>
        </w:tc>
        <w:tc>
          <w:tcPr>
            <w:tcW w:type="dxa" w:w="1560"/>
            <w:shd w:fill="102C57"/>
            <w:tcMar>
              <w:top w:w="120" w:type="dxa"/>
              <w:bottom w:w="120" w:type="dxa"/>
              <w:left w:w="150" w:type="dxa"/>
              <w:right w:w="150" w:type="dxa"/>
            </w:tcMar>
          </w:tcPr>
          <w:p>
            <w:pPr>
              <w:jc w:val="center"/>
            </w:pPr>
            <w:r>
              <w:rPr>
                <w:rFonts w:ascii="Arial" w:hAnsi="Arial"/>
                <w:b/>
                <w:color w:val="FFFFFF"/>
                <w:sz w:val="21"/>
              </w:rPr>
              <w:t>Plan de Mitigación (Acción Preventiva)</w:t>
            </w:r>
          </w:p>
        </w:tc>
      </w:tr>
      <w:tr>
        <w:tc>
          <w:tcPr>
            <w:tcW w:type="dxa" w:w="1560"/>
            <w:shd w:fill="F5F7F8"/>
            <w:tcMar>
              <w:top w:w="100" w:type="dxa"/>
              <w:bottom w:w="100" w:type="dxa"/>
              <w:left w:w="150" w:type="dxa"/>
              <w:right w:w="150" w:type="dxa"/>
            </w:tcMar>
          </w:tcPr>
          <w:p>
            <w:r>
              <w:rPr>
                <w:rFonts w:ascii="Arial" w:hAnsi="Arial"/>
                <w:sz w:val="20"/>
              </w:rPr>
              <w:t>R01</w:t>
            </w:r>
          </w:p>
        </w:tc>
        <w:tc>
          <w:tcPr>
            <w:tcW w:type="dxa" w:w="1560"/>
            <w:shd w:fill="F5F7F8"/>
            <w:tcMar>
              <w:top w:w="100" w:type="dxa"/>
              <w:bottom w:w="100" w:type="dxa"/>
              <w:left w:w="150" w:type="dxa"/>
              <w:right w:w="150" w:type="dxa"/>
            </w:tcMar>
          </w:tcPr>
          <w:p>
            <w:r>
              <w:rPr>
                <w:rFonts w:ascii="Arial" w:hAnsi="Arial"/>
                <w:sz w:val="20"/>
              </w:rPr>
              <w:t>Sobrecosto por consumo de API de IA (OCR)</w:t>
              <w:br/>
              <w:t>El uso masivo del escaneo de boletas dispara los costos de la API externa (OpenAI).</w:t>
            </w:r>
          </w:p>
        </w:tc>
        <w:tc>
          <w:tcPr>
            <w:tcW w:type="dxa" w:w="1560"/>
            <w:shd w:fill="F5F7F8"/>
            <w:tcMar>
              <w:top w:w="100" w:type="dxa"/>
              <w:bottom w:w="100" w:type="dxa"/>
              <w:left w:w="150" w:type="dxa"/>
              <w:right w:w="150" w:type="dxa"/>
            </w:tcMar>
          </w:tcPr>
          <w:p>
            <w:r>
              <w:rPr>
                <w:rFonts w:ascii="Arial" w:hAnsi="Arial"/>
                <w:sz w:val="20"/>
              </w:rPr>
              <w:t>Medio</w:t>
            </w:r>
          </w:p>
        </w:tc>
        <w:tc>
          <w:tcPr>
            <w:tcW w:type="dxa" w:w="1560"/>
            <w:shd w:fill="F5F7F8"/>
            <w:tcMar>
              <w:top w:w="100" w:type="dxa"/>
              <w:bottom w:w="100" w:type="dxa"/>
              <w:left w:w="150" w:type="dxa"/>
              <w:right w:w="150" w:type="dxa"/>
            </w:tcMar>
          </w:tcPr>
          <w:p>
            <w:r>
              <w:rPr>
                <w:rFonts w:ascii="Arial" w:hAnsi="Arial"/>
                <w:sz w:val="20"/>
              </w:rPr>
              <w:t>Alto</w:t>
            </w:r>
          </w:p>
        </w:tc>
        <w:tc>
          <w:tcPr>
            <w:tcW w:type="dxa" w:w="1560"/>
            <w:shd w:fill="F5F7F8"/>
            <w:tcMar>
              <w:top w:w="100" w:type="dxa"/>
              <w:bottom w:w="100" w:type="dxa"/>
              <w:left w:w="150" w:type="dxa"/>
              <w:right w:w="150" w:type="dxa"/>
            </w:tcMar>
            <w:shd w:fill="FADBD8"/>
          </w:tcPr>
          <w:p>
            <w:r>
              <w:rPr>
                <w:rFonts w:ascii="Arial" w:hAnsi="Arial"/>
                <w:sz w:val="20"/>
              </w:rPr>
              <w:t>Alto</w:t>
            </w:r>
          </w:p>
        </w:tc>
        <w:tc>
          <w:tcPr>
            <w:tcW w:type="dxa" w:w="1560"/>
            <w:shd w:fill="F5F7F8"/>
            <w:tcMar>
              <w:top w:w="100" w:type="dxa"/>
              <w:bottom w:w="100" w:type="dxa"/>
              <w:left w:w="150" w:type="dxa"/>
              <w:right w:w="150" w:type="dxa"/>
            </w:tcMar>
          </w:tcPr>
          <w:p>
            <w:r>
              <w:rPr>
                <w:rFonts w:ascii="Arial" w:hAnsi="Arial"/>
                <w:sz w:val="20"/>
              </w:rPr>
              <w:t>Implementar un sistema de caché de boletas y limitar el número de escaneos diarios permitidos por usuario en la versión gratuita.</w:t>
            </w:r>
          </w:p>
        </w:tc>
      </w:tr>
      <w:tr>
        <w:tc>
          <w:tcPr>
            <w:tcW w:type="dxa" w:w="1560"/>
            <w:tcMar>
              <w:top w:w="100" w:type="dxa"/>
              <w:bottom w:w="100" w:type="dxa"/>
              <w:left w:w="150" w:type="dxa"/>
              <w:right w:w="150" w:type="dxa"/>
            </w:tcMar>
          </w:tcPr>
          <w:p>
            <w:r>
              <w:rPr>
                <w:rFonts w:ascii="Arial" w:hAnsi="Arial"/>
                <w:sz w:val="20"/>
              </w:rPr>
              <w:t>R02</w:t>
            </w:r>
          </w:p>
        </w:tc>
        <w:tc>
          <w:tcPr>
            <w:tcW w:type="dxa" w:w="1560"/>
            <w:tcMar>
              <w:top w:w="100" w:type="dxa"/>
              <w:bottom w:w="100" w:type="dxa"/>
              <w:left w:w="150" w:type="dxa"/>
              <w:right w:w="150" w:type="dxa"/>
            </w:tcMar>
          </w:tcPr>
          <w:p>
            <w:r>
              <w:rPr>
                <w:rFonts w:ascii="Arial" w:hAnsi="Arial"/>
                <w:sz w:val="20"/>
              </w:rPr>
              <w:t>Fallas en la lectura de comprobantes (OCR)</w:t>
              <w:br/>
              <w:t>Boletas arrugadas, con baja luz o formatos no estándar no son interpretados por la IA.</w:t>
            </w:r>
          </w:p>
        </w:tc>
        <w:tc>
          <w:tcPr>
            <w:tcW w:type="dxa" w:w="1560"/>
            <w:tcMar>
              <w:top w:w="100" w:type="dxa"/>
              <w:bottom w:w="100" w:type="dxa"/>
              <w:left w:w="150" w:type="dxa"/>
              <w:right w:w="150" w:type="dxa"/>
            </w:tcMar>
          </w:tcPr>
          <w:p>
            <w:r>
              <w:rPr>
                <w:rFonts w:ascii="Arial" w:hAnsi="Arial"/>
                <w:sz w:val="20"/>
              </w:rPr>
              <w:t>Alto</w:t>
            </w:r>
          </w:p>
        </w:tc>
        <w:tc>
          <w:tcPr>
            <w:tcW w:type="dxa" w:w="1560"/>
            <w:tcMar>
              <w:top w:w="100" w:type="dxa"/>
              <w:bottom w:w="100" w:type="dxa"/>
              <w:left w:w="150" w:type="dxa"/>
              <w:right w:w="150" w:type="dxa"/>
            </w:tcMar>
          </w:tcPr>
          <w:p>
            <w:r>
              <w:rPr>
                <w:rFonts w:ascii="Arial" w:hAnsi="Arial"/>
                <w:sz w:val="20"/>
              </w:rPr>
              <w:t>Medio</w:t>
            </w:r>
          </w:p>
        </w:tc>
        <w:tc>
          <w:tcPr>
            <w:tcW w:type="dxa" w:w="1560"/>
            <w:tcMar>
              <w:top w:w="100" w:type="dxa"/>
              <w:bottom w:w="100" w:type="dxa"/>
              <w:left w:w="150" w:type="dxa"/>
              <w:right w:w="150" w:type="dxa"/>
            </w:tcMar>
            <w:shd w:fill="FCF3CF"/>
          </w:tcPr>
          <w:p>
            <w:r>
              <w:rPr>
                <w:rFonts w:ascii="Arial" w:hAnsi="Arial"/>
                <w:sz w:val="20"/>
              </w:rPr>
              <w:t>Medio</w:t>
            </w:r>
          </w:p>
        </w:tc>
        <w:tc>
          <w:tcPr>
            <w:tcW w:type="dxa" w:w="1560"/>
            <w:tcMar>
              <w:top w:w="100" w:type="dxa"/>
              <w:bottom w:w="100" w:type="dxa"/>
              <w:left w:w="150" w:type="dxa"/>
              <w:right w:w="150" w:type="dxa"/>
            </w:tcMar>
          </w:tcPr>
          <w:p>
            <w:r>
              <w:rPr>
                <w:rFonts w:ascii="Arial" w:hAnsi="Arial"/>
                <w:sz w:val="20"/>
              </w:rPr>
              <w:t>Diseñar una interfaz en Flutter que guíe al usuario a tomar la foto correctamente y habilitar siempre un formulario de edición manual rápida para corregir errores.</w:t>
            </w:r>
          </w:p>
        </w:tc>
      </w:tr>
      <w:tr>
        <w:tc>
          <w:tcPr>
            <w:tcW w:type="dxa" w:w="1560"/>
            <w:shd w:fill="F5F7F8"/>
            <w:tcMar>
              <w:top w:w="100" w:type="dxa"/>
              <w:bottom w:w="100" w:type="dxa"/>
              <w:left w:w="150" w:type="dxa"/>
              <w:right w:w="150" w:type="dxa"/>
            </w:tcMar>
          </w:tcPr>
          <w:p>
            <w:r>
              <w:rPr>
                <w:rFonts w:ascii="Arial" w:hAnsi="Arial"/>
                <w:sz w:val="20"/>
              </w:rPr>
              <w:t>R03</w:t>
            </w:r>
          </w:p>
        </w:tc>
        <w:tc>
          <w:tcPr>
            <w:tcW w:type="dxa" w:w="1560"/>
            <w:shd w:fill="F5F7F8"/>
            <w:tcMar>
              <w:top w:w="100" w:type="dxa"/>
              <w:bottom w:w="100" w:type="dxa"/>
              <w:left w:w="150" w:type="dxa"/>
              <w:right w:w="150" w:type="dxa"/>
            </w:tcMar>
          </w:tcPr>
          <w:p>
            <w:r>
              <w:rPr>
                <w:rFonts w:ascii="Arial" w:hAnsi="Arial"/>
                <w:sz w:val="20"/>
              </w:rPr>
              <w:t>Fuga de datos o intercepción de Tokens JWT</w:t>
              <w:br/>
              <w:t>Acceso no autorizado a las cuentas de los usuarios a través de redes Wi-Fi públicas del campus.</w:t>
            </w:r>
          </w:p>
        </w:tc>
        <w:tc>
          <w:tcPr>
            <w:tcW w:type="dxa" w:w="1560"/>
            <w:shd w:fill="F5F7F8"/>
            <w:tcMar>
              <w:top w:w="100" w:type="dxa"/>
              <w:bottom w:w="100" w:type="dxa"/>
              <w:left w:w="150" w:type="dxa"/>
              <w:right w:w="150" w:type="dxa"/>
            </w:tcMar>
          </w:tcPr>
          <w:p>
            <w:r>
              <w:rPr>
                <w:rFonts w:ascii="Arial" w:hAnsi="Arial"/>
                <w:sz w:val="20"/>
              </w:rPr>
              <w:t>Bajo</w:t>
            </w:r>
          </w:p>
        </w:tc>
        <w:tc>
          <w:tcPr>
            <w:tcW w:type="dxa" w:w="1560"/>
            <w:shd w:fill="F5F7F8"/>
            <w:tcMar>
              <w:top w:w="100" w:type="dxa"/>
              <w:bottom w:w="100" w:type="dxa"/>
              <w:left w:w="150" w:type="dxa"/>
              <w:right w:w="150" w:type="dxa"/>
            </w:tcMar>
          </w:tcPr>
          <w:p>
            <w:r>
              <w:rPr>
                <w:rFonts w:ascii="Arial" w:hAnsi="Arial"/>
                <w:sz w:val="20"/>
              </w:rPr>
              <w:t>Alto</w:t>
            </w:r>
          </w:p>
        </w:tc>
        <w:tc>
          <w:tcPr>
            <w:tcW w:type="dxa" w:w="1560"/>
            <w:shd w:fill="F5F7F8"/>
            <w:tcMar>
              <w:top w:w="100" w:type="dxa"/>
              <w:bottom w:w="100" w:type="dxa"/>
              <w:left w:w="150" w:type="dxa"/>
              <w:right w:w="150" w:type="dxa"/>
            </w:tcMar>
            <w:shd w:fill="FCF3CF"/>
          </w:tcPr>
          <w:p>
            <w:r>
              <w:rPr>
                <w:rFonts w:ascii="Arial" w:hAnsi="Arial"/>
                <w:sz w:val="20"/>
              </w:rPr>
              <w:t>Medio</w:t>
            </w:r>
          </w:p>
        </w:tc>
        <w:tc>
          <w:tcPr>
            <w:tcW w:type="dxa" w:w="1560"/>
            <w:shd w:fill="F5F7F8"/>
            <w:tcMar>
              <w:top w:w="100" w:type="dxa"/>
              <w:bottom w:w="100" w:type="dxa"/>
              <w:left w:w="150" w:type="dxa"/>
              <w:right w:w="150" w:type="dxa"/>
            </w:tcMar>
          </w:tcPr>
          <w:p>
            <w:r>
              <w:rPr>
                <w:rFonts w:ascii="Arial" w:hAnsi="Arial"/>
                <w:sz w:val="20"/>
              </w:rPr>
              <w:t>Implementar protocolos de comunicación segura HTTPS, encriptar el almacenamiento local de tokens en Flutter con almacenamiento seguro nativo y definir tiempos de expiración cortos para el JWT.</w:t>
            </w:r>
          </w:p>
        </w:tc>
      </w:tr>
      <w:tr>
        <w:tc>
          <w:tcPr>
            <w:tcW w:type="dxa" w:w="1560"/>
            <w:tcMar>
              <w:top w:w="100" w:type="dxa"/>
              <w:bottom w:w="100" w:type="dxa"/>
              <w:left w:w="150" w:type="dxa"/>
              <w:right w:w="150" w:type="dxa"/>
            </w:tcMar>
          </w:tcPr>
          <w:p>
            <w:r>
              <w:rPr>
                <w:rFonts w:ascii="Arial" w:hAnsi="Arial"/>
                <w:sz w:val="20"/>
              </w:rPr>
              <w:t>R04</w:t>
            </w:r>
          </w:p>
        </w:tc>
        <w:tc>
          <w:tcPr>
            <w:tcW w:type="dxa" w:w="1560"/>
            <w:tcMar>
              <w:top w:w="100" w:type="dxa"/>
              <w:bottom w:w="100" w:type="dxa"/>
              <w:left w:w="150" w:type="dxa"/>
              <w:right w:w="150" w:type="dxa"/>
            </w:tcMar>
          </w:tcPr>
          <w:p>
            <w:r>
              <w:rPr>
                <w:rFonts w:ascii="Arial" w:hAnsi="Arial"/>
                <w:sz w:val="20"/>
              </w:rPr>
              <w:t>Incompatibilidad en compilación multiplataforma</w:t>
              <w:br/>
              <w:t>Diferencias de rendimiento o fallos visuales entre la versión Web de Flutter y la versión para celulares.</w:t>
            </w:r>
          </w:p>
        </w:tc>
        <w:tc>
          <w:tcPr>
            <w:tcW w:type="dxa" w:w="1560"/>
            <w:tcMar>
              <w:top w:w="100" w:type="dxa"/>
              <w:bottom w:w="100" w:type="dxa"/>
              <w:left w:w="150" w:type="dxa"/>
              <w:right w:w="150" w:type="dxa"/>
            </w:tcMar>
          </w:tcPr>
          <w:p>
            <w:r>
              <w:rPr>
                <w:rFonts w:ascii="Arial" w:hAnsi="Arial"/>
                <w:sz w:val="20"/>
              </w:rPr>
              <w:t>Medio</w:t>
            </w:r>
          </w:p>
        </w:tc>
        <w:tc>
          <w:tcPr>
            <w:tcW w:type="dxa" w:w="1560"/>
            <w:tcMar>
              <w:top w:w="100" w:type="dxa"/>
              <w:bottom w:w="100" w:type="dxa"/>
              <w:left w:w="150" w:type="dxa"/>
              <w:right w:w="150" w:type="dxa"/>
            </w:tcMar>
          </w:tcPr>
          <w:p>
            <w:r>
              <w:rPr>
                <w:rFonts w:ascii="Arial" w:hAnsi="Arial"/>
                <w:sz w:val="20"/>
              </w:rPr>
              <w:t>Medio</w:t>
            </w:r>
          </w:p>
        </w:tc>
        <w:tc>
          <w:tcPr>
            <w:tcW w:type="dxa" w:w="1560"/>
            <w:tcMar>
              <w:top w:w="100" w:type="dxa"/>
              <w:bottom w:w="100" w:type="dxa"/>
              <w:left w:w="150" w:type="dxa"/>
              <w:right w:w="150" w:type="dxa"/>
            </w:tcMar>
            <w:shd w:fill="FCF3CF"/>
          </w:tcPr>
          <w:p>
            <w:r>
              <w:rPr>
                <w:rFonts w:ascii="Arial" w:hAnsi="Arial"/>
                <w:sz w:val="20"/>
              </w:rPr>
              <w:t>Medio</w:t>
            </w:r>
          </w:p>
        </w:tc>
        <w:tc>
          <w:tcPr>
            <w:tcW w:type="dxa" w:w="1560"/>
            <w:tcMar>
              <w:top w:w="100" w:type="dxa"/>
              <w:bottom w:w="100" w:type="dxa"/>
              <w:left w:w="150" w:type="dxa"/>
              <w:right w:w="150" w:type="dxa"/>
            </w:tcMar>
          </w:tcPr>
          <w:p>
            <w:r>
              <w:rPr>
                <w:rFonts w:ascii="Arial" w:hAnsi="Arial"/>
                <w:sz w:val="20"/>
              </w:rPr>
              <w:t>Realizar pruebas continuas de interfaz en emuladores y navegadores reales durante cada sprint de desarrollo y usar layouts responsivos.</w:t>
            </w:r>
          </w:p>
        </w:tc>
      </w:tr>
      <w:tr>
        <w:tc>
          <w:tcPr>
            <w:tcW w:type="dxa" w:w="1560"/>
            <w:shd w:fill="F5F7F8"/>
            <w:tcMar>
              <w:top w:w="100" w:type="dxa"/>
              <w:bottom w:w="100" w:type="dxa"/>
              <w:left w:w="150" w:type="dxa"/>
              <w:right w:w="150" w:type="dxa"/>
            </w:tcMar>
          </w:tcPr>
          <w:p>
            <w:r>
              <w:rPr>
                <w:rFonts w:ascii="Arial" w:hAnsi="Arial"/>
                <w:sz w:val="20"/>
              </w:rPr>
              <w:t>R05</w:t>
            </w:r>
          </w:p>
        </w:tc>
        <w:tc>
          <w:tcPr>
            <w:tcW w:type="dxa" w:w="1560"/>
            <w:shd w:fill="F5F7F8"/>
            <w:tcMar>
              <w:top w:w="100" w:type="dxa"/>
              <w:bottom w:w="100" w:type="dxa"/>
              <w:left w:w="150" w:type="dxa"/>
              <w:right w:w="150" w:type="dxa"/>
            </w:tcMar>
          </w:tcPr>
          <w:p>
            <w:r>
              <w:rPr>
                <w:rFonts w:ascii="Arial" w:hAnsi="Arial"/>
                <w:sz w:val="20"/>
              </w:rPr>
              <w:t>Inestabilidad del entorno de base de datos</w:t>
              <w:br/>
              <w:t>Pérdida de datos de los usuarios debido a problemas de consistencia en el motor MySQL o migraciones fallidas.</w:t>
            </w:r>
          </w:p>
        </w:tc>
        <w:tc>
          <w:tcPr>
            <w:tcW w:type="dxa" w:w="1560"/>
            <w:shd w:fill="F5F7F8"/>
            <w:tcMar>
              <w:top w:w="100" w:type="dxa"/>
              <w:bottom w:w="100" w:type="dxa"/>
              <w:left w:w="150" w:type="dxa"/>
              <w:right w:w="150" w:type="dxa"/>
            </w:tcMar>
          </w:tcPr>
          <w:p>
            <w:r>
              <w:rPr>
                <w:rFonts w:ascii="Arial" w:hAnsi="Arial"/>
                <w:sz w:val="20"/>
              </w:rPr>
              <w:t>Bajo</w:t>
            </w:r>
          </w:p>
        </w:tc>
        <w:tc>
          <w:tcPr>
            <w:tcW w:type="dxa" w:w="1560"/>
            <w:shd w:fill="F5F7F8"/>
            <w:tcMar>
              <w:top w:w="100" w:type="dxa"/>
              <w:bottom w:w="100" w:type="dxa"/>
              <w:left w:w="150" w:type="dxa"/>
              <w:right w:w="150" w:type="dxa"/>
            </w:tcMar>
          </w:tcPr>
          <w:p>
            <w:r>
              <w:rPr>
                <w:rFonts w:ascii="Arial" w:hAnsi="Arial"/>
                <w:sz w:val="20"/>
              </w:rPr>
              <w:t>Alto</w:t>
            </w:r>
          </w:p>
        </w:tc>
        <w:tc>
          <w:tcPr>
            <w:tcW w:type="dxa" w:w="1560"/>
            <w:shd w:fill="F5F7F8"/>
            <w:tcMar>
              <w:top w:w="100" w:type="dxa"/>
              <w:bottom w:w="100" w:type="dxa"/>
              <w:left w:w="150" w:type="dxa"/>
              <w:right w:w="150" w:type="dxa"/>
            </w:tcMar>
            <w:shd w:fill="FCF3CF"/>
          </w:tcPr>
          <w:p>
            <w:r>
              <w:rPr>
                <w:rFonts w:ascii="Arial" w:hAnsi="Arial"/>
                <w:sz w:val="20"/>
              </w:rPr>
              <w:t>Medio</w:t>
            </w:r>
          </w:p>
        </w:tc>
        <w:tc>
          <w:tcPr>
            <w:tcW w:type="dxa" w:w="1560"/>
            <w:shd w:fill="F5F7F8"/>
            <w:tcMar>
              <w:top w:w="100" w:type="dxa"/>
              <w:bottom w:w="100" w:type="dxa"/>
              <w:left w:w="150" w:type="dxa"/>
              <w:right w:w="150" w:type="dxa"/>
            </w:tcMar>
          </w:tcPr>
          <w:p>
            <w:r>
              <w:rPr>
                <w:rFonts w:ascii="Arial" w:hAnsi="Arial"/>
                <w:sz w:val="20"/>
              </w:rPr>
              <w:t>Utilizar Alembic para gestionar de forma estricta las migraciones y automatizar copias de seguridad de la base de datos de manera periódica.</w:t>
            </w:r>
          </w:p>
        </w:tc>
      </w:tr>
    </w:tbl>
    <w:p>
      <w:r>
        <w:br w:type="page"/>
      </w:r>
    </w:p>
    <w:p>
      <w:pPr>
        <w:keepNext/>
        <w:spacing w:before="360" w:after="120"/>
      </w:pPr>
      <w:r>
        <w:rPr>
          <w:rFonts w:ascii="Arial" w:hAnsi="Arial"/>
          <w:b/>
          <w:color w:val="102C57"/>
          <w:sz w:val="32"/>
        </w:rPr>
        <w:t>REFERENCIAS BIBLIOGRÁFICAS</w:t>
      </w:r>
    </w:p>
    <w:p>
      <w:pPr>
        <w:spacing w:after="120" w:line="276" w:lineRule="auto"/>
      </w:pPr>
      <w:r>
        <w:rPr>
          <w:rFonts w:ascii="Arial" w:hAnsi="Arial"/>
          <w:sz w:val="22"/>
        </w:rPr>
        <w:t>Arias, J., &amp; Restrepo, M. (2022). Uso de aplicaciones móviles en la autogestión de finanzas personales en jóvenes universitarios. Revista Colombiana de Tecnologías de la Información, 23(1), 45-58.</w:t>
      </w:r>
    </w:p>
    <w:p>
      <w:pPr>
        <w:spacing w:after="120" w:line="276" w:lineRule="auto"/>
      </w:pPr>
      <w:r>
        <w:rPr>
          <w:rFonts w:ascii="Arial" w:hAnsi="Arial"/>
          <w:sz w:val="22"/>
        </w:rPr>
        <w:t>Docker Inc. (2026). Docker Desktop y Docker Compose: Plataforma de contenerización para el desarrollo consistente de software (Versión 4.x) [Software]. https://www.docker.com/</w:t>
      </w:r>
    </w:p>
    <w:p>
      <w:pPr>
        <w:spacing w:after="120" w:line="276" w:lineRule="auto"/>
      </w:pPr>
      <w:r>
        <w:rPr>
          <w:rFonts w:ascii="Arial" w:hAnsi="Arial"/>
          <w:sz w:val="22"/>
        </w:rPr>
        <w:t>FastAPI. (2026). FastAPI Framework: Documentación oficial para desarrollo rápido de APIs en Python (Versión 0.100+) [Software]. https://fastapi.tiangolo.com/</w:t>
      </w:r>
    </w:p>
    <w:p>
      <w:pPr>
        <w:spacing w:after="120" w:line="276" w:lineRule="auto"/>
      </w:pPr>
      <w:r>
        <w:rPr>
          <w:rFonts w:ascii="Arial" w:hAnsi="Arial"/>
          <w:sz w:val="22"/>
        </w:rPr>
        <w:t>Flutter. (2026). Flutter SDK: Kit de desarrollo de software para aplicaciones multiplataforma de Google (Versión 3.x) [Software]. https://flutter.dev/</w:t>
      </w:r>
    </w:p>
    <w:p>
      <w:pPr>
        <w:spacing w:after="120" w:line="276" w:lineRule="auto"/>
      </w:pPr>
      <w:r>
        <w:rPr>
          <w:rFonts w:ascii="Arial" w:hAnsi="Arial"/>
          <w:sz w:val="22"/>
        </w:rPr>
        <w:t>García, L. (2021). Desarrollo de un aplicativo móvil para el control de finanzas personales en universitarios limeños (Tesis de licenciatura, Universidad Peruana de Ciencias Aplicadas). Repositorio Institucional UPC. https://repositorioacademico.upc.edu.pe/</w:t>
      </w:r>
    </w:p>
    <w:p>
      <w:pPr>
        <w:spacing w:after="120" w:line="276" w:lineRule="auto"/>
      </w:pPr>
      <w:r>
        <w:rPr>
          <w:rFonts w:ascii="Arial" w:hAnsi="Arial"/>
          <w:sz w:val="22"/>
        </w:rPr>
        <w:t>Seminario, R., &amp; Feijóo, S. (2023). Impacto de la inflación y el fenómeno El Niño en la economía familiar de los estudiantes universitarios de la ciudad de Piura (Trabajo de investigación, Universidad Nacional de Piura). Repositorio Digital UNP. http://repositorio.unp.edu.pe/</w:t>
      </w:r>
    </w:p>
    <w:p>
      <w:pPr>
        <w:spacing w:after="120" w:line="276" w:lineRule="auto"/>
      </w:pPr>
      <w:r>
        <w:rPr>
          <w:rFonts w:ascii="Arial" w:hAnsi="Arial"/>
          <w:sz w:val="22"/>
        </w:rPr>
        <w:t>Superintendencia de Banca, Seguros y AFP [SBS]. (2023). Encuesta Nacional de Capacidades Financieras e índices de endeudamiento juvenil en el Perú. Portal de Educación Financiera de la SBS. https://www.sbs.gob.pe/educacion-financiera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