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49E6B2F8"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13CE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A89E2FB"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9840B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153B478E"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685A5419"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0628FC8B"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55F294CE"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2F5AC5DC"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6456C7">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38584632"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C85228">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F23FA15"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50A782E7"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06390BB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68ED6799"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04CD62ED"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21027A6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0E59D4"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4B124731"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6D677376"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21B4E492"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F61902B"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45616EA5" w:rsidR="002124AE" w:rsidRDefault="009A0F3E"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possibly then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3DAC36A2"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2B2C251D"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5AD71D37"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7BBDDAC1"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05B9DE02" w14:textId="77777777" w:rsidR="002C7F6A" w:rsidRDefault="002C7F6A" w:rsidP="002C7F6A">
      <w:pPr>
        <w:spacing w:after="0" w:line="480" w:lineRule="auto"/>
        <w:contextualSpacing/>
        <w:rPr>
          <w:rFonts w:ascii="Times New Roman" w:hAnsi="Times New Roman" w:cs="Times New Roman"/>
          <w:sz w:val="24"/>
          <w:szCs w:val="24"/>
        </w:rPr>
      </w:pPr>
    </w:p>
    <w:p w14:paraId="4DEB31A5" w14:textId="77777777" w:rsidR="005C6DED" w:rsidRDefault="005C6DED" w:rsidP="005C6DED">
      <w:pPr>
        <w:spacing w:after="0" w:line="480" w:lineRule="auto"/>
        <w:ind w:firstLine="720"/>
        <w:contextualSpacing/>
        <w:rPr>
          <w:rFonts w:ascii="Times New Roman" w:hAnsi="Times New Roman" w:cs="Times New Roman"/>
          <w:sz w:val="24"/>
          <w:szCs w:val="24"/>
        </w:rPr>
      </w:pPr>
    </w:p>
    <w:p w14:paraId="74FC8249" w14:textId="77777777" w:rsidR="007D30EA" w:rsidRDefault="007D30EA" w:rsidP="00C53ABA">
      <w:pPr>
        <w:spacing w:after="0" w:line="480" w:lineRule="auto"/>
        <w:contextualSpacing/>
        <w:rPr>
          <w:rFonts w:ascii="Times New Roman" w:hAnsi="Times New Roman" w:cs="Times New Roman"/>
          <w:sz w:val="24"/>
          <w:szCs w:val="24"/>
        </w:rPr>
      </w:pPr>
    </w:p>
    <w:p w14:paraId="6CBB4755" w14:textId="2166B1C0" w:rsidR="005A06B6" w:rsidRPr="003A6D6A" w:rsidRDefault="00EA106B" w:rsidP="003A6D6A">
      <w:pPr>
        <w:pStyle w:val="EndNoteBibliography"/>
        <w:spacing w:after="0" w:line="480" w:lineRule="auto"/>
        <w:ind w:left="720" w:hanging="720"/>
        <w:rPr>
          <w:rFonts w:ascii="Times New Roman" w:hAnsi="Times New Roman" w:cs="Times New Roman"/>
          <w:sz w:val="24"/>
          <w:szCs w:val="24"/>
        </w:rPr>
      </w:pPr>
      <w:r w:rsidRPr="00135343">
        <w:rPr>
          <w:rFonts w:ascii="Times New Roman" w:hAnsi="Times New Roman" w:cs="Times New Roman"/>
          <w:sz w:val="24"/>
          <w:szCs w:val="24"/>
        </w:rPr>
        <w:fldChar w:fldCharType="begin"/>
      </w:r>
      <w:r w:rsidRPr="00135343">
        <w:rPr>
          <w:rFonts w:ascii="Times New Roman" w:hAnsi="Times New Roman" w:cs="Times New Roman"/>
          <w:sz w:val="24"/>
          <w:szCs w:val="24"/>
        </w:rPr>
        <w:instrText xml:space="preserve"> ADDIN EN.REFLIST </w:instrText>
      </w:r>
      <w:r w:rsidRPr="00135343">
        <w:rPr>
          <w:rFonts w:ascii="Times New Roman" w:hAnsi="Times New Roman" w:cs="Times New Roman"/>
          <w:sz w:val="24"/>
          <w:szCs w:val="24"/>
        </w:rPr>
        <w:fldChar w:fldCharType="separate"/>
      </w:r>
      <w:r w:rsidR="005A06B6" w:rsidRPr="003A6D6A">
        <w:rPr>
          <w:rFonts w:ascii="Times New Roman" w:hAnsi="Times New Roman" w:cs="Times New Roman"/>
          <w:sz w:val="24"/>
          <w:szCs w:val="24"/>
        </w:rPr>
        <w:t xml:space="preserve">Formosa, P., Wilson, M., &amp; Richards, D. (2021). A principlist framework for cybersecurity ethics. </w:t>
      </w:r>
      <w:r w:rsidR="005A06B6" w:rsidRPr="003A6D6A">
        <w:rPr>
          <w:rFonts w:ascii="Times New Roman" w:hAnsi="Times New Roman" w:cs="Times New Roman"/>
          <w:i/>
          <w:sz w:val="24"/>
          <w:szCs w:val="24"/>
        </w:rPr>
        <w:t>Computers &amp; Security</w:t>
      </w:r>
      <w:r w:rsidR="005A06B6" w:rsidRPr="003A6D6A">
        <w:rPr>
          <w:rFonts w:ascii="Times New Roman" w:hAnsi="Times New Roman" w:cs="Times New Roman"/>
          <w:sz w:val="24"/>
          <w:szCs w:val="24"/>
        </w:rPr>
        <w:t>,</w:t>
      </w:r>
      <w:r w:rsidR="005A06B6" w:rsidRPr="003A6D6A">
        <w:rPr>
          <w:rFonts w:ascii="Times New Roman" w:hAnsi="Times New Roman" w:cs="Times New Roman"/>
          <w:i/>
          <w:sz w:val="24"/>
          <w:szCs w:val="24"/>
        </w:rPr>
        <w:t xml:space="preserve"> 109</w:t>
      </w:r>
      <w:r w:rsidR="005A06B6" w:rsidRPr="003A6D6A">
        <w:rPr>
          <w:rFonts w:ascii="Times New Roman" w:hAnsi="Times New Roman" w:cs="Times New Roman"/>
          <w:sz w:val="24"/>
          <w:szCs w:val="24"/>
        </w:rPr>
        <w:t xml:space="preserve">. </w:t>
      </w:r>
      <w:hyperlink r:id="rId5" w:history="1">
        <w:r w:rsidR="005A06B6" w:rsidRPr="003A6D6A">
          <w:rPr>
            <w:rStyle w:val="Hyperlink"/>
            <w:rFonts w:ascii="Times New Roman" w:hAnsi="Times New Roman" w:cs="Times New Roman"/>
            <w:sz w:val="24"/>
            <w:szCs w:val="24"/>
          </w:rPr>
          <w:t>https://doi.org/10.1016/j.cose.2021.102382</w:t>
        </w:r>
      </w:hyperlink>
      <w:r w:rsidR="005A06B6" w:rsidRPr="003A6D6A">
        <w:rPr>
          <w:rFonts w:ascii="Times New Roman" w:hAnsi="Times New Roman" w:cs="Times New Roman"/>
          <w:sz w:val="24"/>
          <w:szCs w:val="24"/>
        </w:rPr>
        <w:t xml:space="preserve"> </w:t>
      </w:r>
    </w:p>
    <w:p w14:paraId="34EFF4CB" w14:textId="27AD8FE1" w:rsidR="005A06B6" w:rsidRPr="003A6D6A" w:rsidRDefault="005A06B6" w:rsidP="003A6D6A">
      <w:pPr>
        <w:pStyle w:val="EndNoteBibliography"/>
        <w:spacing w:after="0" w:line="480" w:lineRule="auto"/>
        <w:ind w:left="720" w:hanging="720"/>
        <w:rPr>
          <w:rFonts w:ascii="Times New Roman" w:hAnsi="Times New Roman" w:cs="Times New Roman"/>
          <w:sz w:val="24"/>
          <w:szCs w:val="24"/>
        </w:rPr>
      </w:pPr>
      <w:r w:rsidRPr="003A6D6A">
        <w:rPr>
          <w:rFonts w:ascii="Times New Roman" w:hAnsi="Times New Roman" w:cs="Times New Roman"/>
          <w:sz w:val="24"/>
          <w:szCs w:val="24"/>
        </w:rPr>
        <w:t xml:space="preserve">Holt, T. J. (2018). Regulating Cybercrime through Law Enforcement and Industry Mechanisms. </w:t>
      </w:r>
      <w:r w:rsidRPr="003A6D6A">
        <w:rPr>
          <w:rFonts w:ascii="Times New Roman" w:hAnsi="Times New Roman" w:cs="Times New Roman"/>
          <w:i/>
          <w:sz w:val="24"/>
          <w:szCs w:val="24"/>
        </w:rPr>
        <w:t>The ANNALS of the American Academy of Political and Social Science</w:t>
      </w:r>
      <w:r w:rsidRPr="003A6D6A">
        <w:rPr>
          <w:rFonts w:ascii="Times New Roman" w:hAnsi="Times New Roman" w:cs="Times New Roman"/>
          <w:sz w:val="24"/>
          <w:szCs w:val="24"/>
        </w:rPr>
        <w:t>,</w:t>
      </w:r>
      <w:r w:rsidRPr="003A6D6A">
        <w:rPr>
          <w:rFonts w:ascii="Times New Roman" w:hAnsi="Times New Roman" w:cs="Times New Roman"/>
          <w:i/>
          <w:sz w:val="24"/>
          <w:szCs w:val="24"/>
        </w:rPr>
        <w:t xml:space="preserve"> 679</w:t>
      </w:r>
      <w:r w:rsidRPr="003A6D6A">
        <w:rPr>
          <w:rFonts w:ascii="Times New Roman" w:hAnsi="Times New Roman" w:cs="Times New Roman"/>
          <w:sz w:val="24"/>
          <w:szCs w:val="24"/>
        </w:rPr>
        <w:t xml:space="preserve">(1), 140-157. </w:t>
      </w:r>
      <w:hyperlink r:id="rId6" w:history="1">
        <w:r w:rsidRPr="003A6D6A">
          <w:rPr>
            <w:rStyle w:val="Hyperlink"/>
            <w:rFonts w:ascii="Times New Roman" w:hAnsi="Times New Roman" w:cs="Times New Roman"/>
            <w:sz w:val="24"/>
            <w:szCs w:val="24"/>
          </w:rPr>
          <w:t>https://doi.org/10.1177/0002716218783679</w:t>
        </w:r>
      </w:hyperlink>
      <w:r w:rsidRPr="003A6D6A">
        <w:rPr>
          <w:rFonts w:ascii="Times New Roman" w:hAnsi="Times New Roman" w:cs="Times New Roman"/>
          <w:sz w:val="24"/>
          <w:szCs w:val="24"/>
        </w:rPr>
        <w:t xml:space="preserve"> </w:t>
      </w:r>
    </w:p>
    <w:p w14:paraId="6DF4856D" w14:textId="74001F87" w:rsidR="005A06B6" w:rsidRPr="003A6D6A" w:rsidRDefault="005A06B6" w:rsidP="003A6D6A">
      <w:pPr>
        <w:pStyle w:val="EndNoteBibliography"/>
        <w:spacing w:after="0" w:line="480" w:lineRule="auto"/>
        <w:ind w:left="720" w:hanging="720"/>
        <w:rPr>
          <w:rFonts w:ascii="Times New Roman" w:hAnsi="Times New Roman" w:cs="Times New Roman"/>
          <w:sz w:val="24"/>
          <w:szCs w:val="24"/>
        </w:rPr>
      </w:pPr>
      <w:r w:rsidRPr="003A6D6A">
        <w:rPr>
          <w:rFonts w:ascii="Times New Roman" w:hAnsi="Times New Roman" w:cs="Times New Roman"/>
          <w:sz w:val="24"/>
          <w:szCs w:val="24"/>
        </w:rPr>
        <w:lastRenderedPageBreak/>
        <w:t xml:space="preserve">Khraisat, A., Gondal, I., Vamplew, P., &amp; Kamruzzaman, J. (2019). Survey of intrusion detection systems: techniques, datasets and challenges. </w:t>
      </w:r>
      <w:r w:rsidRPr="003A6D6A">
        <w:rPr>
          <w:rFonts w:ascii="Times New Roman" w:hAnsi="Times New Roman" w:cs="Times New Roman"/>
          <w:i/>
          <w:sz w:val="24"/>
          <w:szCs w:val="24"/>
        </w:rPr>
        <w:t>Cybersecurity</w:t>
      </w:r>
      <w:r w:rsidRPr="003A6D6A">
        <w:rPr>
          <w:rFonts w:ascii="Times New Roman" w:hAnsi="Times New Roman" w:cs="Times New Roman"/>
          <w:sz w:val="24"/>
          <w:szCs w:val="24"/>
        </w:rPr>
        <w:t>,</w:t>
      </w:r>
      <w:r w:rsidRPr="003A6D6A">
        <w:rPr>
          <w:rFonts w:ascii="Times New Roman" w:hAnsi="Times New Roman" w:cs="Times New Roman"/>
          <w:i/>
          <w:sz w:val="24"/>
          <w:szCs w:val="24"/>
        </w:rPr>
        <w:t xml:space="preserve"> 2</w:t>
      </w:r>
      <w:r w:rsidRPr="003A6D6A">
        <w:rPr>
          <w:rFonts w:ascii="Times New Roman" w:hAnsi="Times New Roman" w:cs="Times New Roman"/>
          <w:sz w:val="24"/>
          <w:szCs w:val="24"/>
        </w:rPr>
        <w:t xml:space="preserve">(1), 1-22. </w:t>
      </w:r>
      <w:hyperlink r:id="rId7" w:history="1">
        <w:r w:rsidRPr="003A6D6A">
          <w:rPr>
            <w:rStyle w:val="Hyperlink"/>
            <w:rFonts w:ascii="Times New Roman" w:hAnsi="Times New Roman" w:cs="Times New Roman"/>
            <w:sz w:val="24"/>
            <w:szCs w:val="24"/>
          </w:rPr>
          <w:t>https://doi.org/10.1186/s42400-019-0038-7</w:t>
        </w:r>
      </w:hyperlink>
      <w:r w:rsidRPr="003A6D6A">
        <w:rPr>
          <w:rFonts w:ascii="Times New Roman" w:hAnsi="Times New Roman" w:cs="Times New Roman"/>
          <w:sz w:val="24"/>
          <w:szCs w:val="24"/>
        </w:rPr>
        <w:t xml:space="preserve"> </w:t>
      </w:r>
    </w:p>
    <w:p w14:paraId="23FAA26E" w14:textId="4931E2AD" w:rsidR="005A06B6" w:rsidRPr="003A6D6A" w:rsidRDefault="005A06B6" w:rsidP="003A6D6A">
      <w:pPr>
        <w:pStyle w:val="EndNoteBibliography"/>
        <w:spacing w:after="0" w:line="480" w:lineRule="auto"/>
        <w:ind w:left="720" w:hanging="720"/>
        <w:rPr>
          <w:rFonts w:ascii="Times New Roman" w:hAnsi="Times New Roman" w:cs="Times New Roman"/>
          <w:sz w:val="24"/>
          <w:szCs w:val="24"/>
        </w:rPr>
      </w:pPr>
      <w:r w:rsidRPr="003A6D6A">
        <w:rPr>
          <w:rFonts w:ascii="Times New Roman" w:hAnsi="Times New Roman" w:cs="Times New Roman"/>
          <w:sz w:val="24"/>
          <w:szCs w:val="24"/>
        </w:rPr>
        <w:t xml:space="preserve">Losavio, M., Seigfried-Spellar, K. C., &amp; Sloan Iii, J. J. (2016). Why digital forensics is not a profession and how it can become one [Article]. </w:t>
      </w:r>
      <w:r w:rsidRPr="003A6D6A">
        <w:rPr>
          <w:rFonts w:ascii="Times New Roman" w:hAnsi="Times New Roman" w:cs="Times New Roman"/>
          <w:i/>
          <w:sz w:val="24"/>
          <w:szCs w:val="24"/>
        </w:rPr>
        <w:t>Criminal Justice Studies</w:t>
      </w:r>
      <w:r w:rsidRPr="003A6D6A">
        <w:rPr>
          <w:rFonts w:ascii="Times New Roman" w:hAnsi="Times New Roman" w:cs="Times New Roman"/>
          <w:sz w:val="24"/>
          <w:szCs w:val="24"/>
        </w:rPr>
        <w:t>,</w:t>
      </w:r>
      <w:r w:rsidRPr="003A6D6A">
        <w:rPr>
          <w:rFonts w:ascii="Times New Roman" w:hAnsi="Times New Roman" w:cs="Times New Roman"/>
          <w:i/>
          <w:sz w:val="24"/>
          <w:szCs w:val="24"/>
        </w:rPr>
        <w:t xml:space="preserve"> 29</w:t>
      </w:r>
      <w:r w:rsidRPr="003A6D6A">
        <w:rPr>
          <w:rFonts w:ascii="Times New Roman" w:hAnsi="Times New Roman" w:cs="Times New Roman"/>
          <w:sz w:val="24"/>
          <w:szCs w:val="24"/>
        </w:rPr>
        <w:t xml:space="preserve">(2), 143-162. </w:t>
      </w:r>
      <w:hyperlink r:id="rId8" w:history="1">
        <w:r w:rsidRPr="003A6D6A">
          <w:rPr>
            <w:rStyle w:val="Hyperlink"/>
            <w:rFonts w:ascii="Times New Roman" w:hAnsi="Times New Roman" w:cs="Times New Roman"/>
            <w:sz w:val="24"/>
            <w:szCs w:val="24"/>
          </w:rPr>
          <w:t>https://doi.org/10.1080/1478601X.2016.1170281</w:t>
        </w:r>
      </w:hyperlink>
      <w:r w:rsidRPr="003A6D6A">
        <w:rPr>
          <w:rFonts w:ascii="Times New Roman" w:hAnsi="Times New Roman" w:cs="Times New Roman"/>
          <w:sz w:val="24"/>
          <w:szCs w:val="24"/>
        </w:rPr>
        <w:t xml:space="preserve"> </w:t>
      </w:r>
    </w:p>
    <w:p w14:paraId="6E23B617" w14:textId="78B7B874" w:rsidR="005A06B6" w:rsidRPr="003A6D6A" w:rsidRDefault="005A06B6" w:rsidP="003A6D6A">
      <w:pPr>
        <w:pStyle w:val="EndNoteBibliography"/>
        <w:spacing w:after="0" w:line="480" w:lineRule="auto"/>
        <w:ind w:left="720" w:hanging="720"/>
        <w:rPr>
          <w:rFonts w:ascii="Times New Roman" w:hAnsi="Times New Roman" w:cs="Times New Roman"/>
          <w:sz w:val="24"/>
          <w:szCs w:val="24"/>
        </w:rPr>
      </w:pPr>
      <w:r w:rsidRPr="003A6D6A">
        <w:rPr>
          <w:rFonts w:ascii="Times New Roman" w:hAnsi="Times New Roman" w:cs="Times New Roman"/>
          <w:sz w:val="24"/>
          <w:szCs w:val="24"/>
        </w:rPr>
        <w:t xml:space="preserve">Nodeland, B., Belshaw, S., &amp; Saber, M. (2019). Teaching Cybersecurity to Criminal Justice Majors. </w:t>
      </w:r>
      <w:r w:rsidRPr="003A6D6A">
        <w:rPr>
          <w:rFonts w:ascii="Times New Roman" w:hAnsi="Times New Roman" w:cs="Times New Roman"/>
          <w:i/>
          <w:sz w:val="24"/>
          <w:szCs w:val="24"/>
        </w:rPr>
        <w:t>Journal of Criminal Justice Education</w:t>
      </w:r>
      <w:r w:rsidRPr="003A6D6A">
        <w:rPr>
          <w:rFonts w:ascii="Times New Roman" w:hAnsi="Times New Roman" w:cs="Times New Roman"/>
          <w:sz w:val="24"/>
          <w:szCs w:val="24"/>
        </w:rPr>
        <w:t>,</w:t>
      </w:r>
      <w:r w:rsidRPr="003A6D6A">
        <w:rPr>
          <w:rFonts w:ascii="Times New Roman" w:hAnsi="Times New Roman" w:cs="Times New Roman"/>
          <w:i/>
          <w:sz w:val="24"/>
          <w:szCs w:val="24"/>
        </w:rPr>
        <w:t xml:space="preserve"> 30</w:t>
      </w:r>
      <w:r w:rsidRPr="003A6D6A">
        <w:rPr>
          <w:rFonts w:ascii="Times New Roman" w:hAnsi="Times New Roman" w:cs="Times New Roman"/>
          <w:sz w:val="24"/>
          <w:szCs w:val="24"/>
        </w:rPr>
        <w:t xml:space="preserve">(1), 71-90. </w:t>
      </w:r>
      <w:hyperlink r:id="rId9" w:history="1">
        <w:r w:rsidRPr="003A6D6A">
          <w:rPr>
            <w:rStyle w:val="Hyperlink"/>
            <w:rFonts w:ascii="Times New Roman" w:hAnsi="Times New Roman" w:cs="Times New Roman"/>
            <w:sz w:val="24"/>
            <w:szCs w:val="24"/>
          </w:rPr>
          <w:t>https://doi.org/10.1080/10511253.2018.1439513</w:t>
        </w:r>
      </w:hyperlink>
      <w:r w:rsidRPr="003A6D6A">
        <w:rPr>
          <w:rFonts w:ascii="Times New Roman" w:hAnsi="Times New Roman" w:cs="Times New Roman"/>
          <w:sz w:val="24"/>
          <w:szCs w:val="24"/>
        </w:rPr>
        <w:t xml:space="preserve"> </w:t>
      </w:r>
    </w:p>
    <w:p w14:paraId="029D8DA1" w14:textId="0BD6AB7B" w:rsidR="005A06B6" w:rsidRPr="003A6D6A" w:rsidRDefault="005A06B6" w:rsidP="003A6D6A">
      <w:pPr>
        <w:pStyle w:val="EndNoteBibliography"/>
        <w:spacing w:line="480" w:lineRule="auto"/>
        <w:ind w:left="720" w:hanging="720"/>
        <w:rPr>
          <w:rFonts w:ascii="Times New Roman" w:hAnsi="Times New Roman" w:cs="Times New Roman"/>
          <w:sz w:val="24"/>
          <w:szCs w:val="24"/>
        </w:rPr>
      </w:pPr>
      <w:r w:rsidRPr="003A6D6A">
        <w:rPr>
          <w:rFonts w:ascii="Times New Roman" w:hAnsi="Times New Roman" w:cs="Times New Roman"/>
          <w:sz w:val="24"/>
          <w:szCs w:val="24"/>
        </w:rPr>
        <w:t xml:space="preserve">XiaoLing, W. (2020). Criminal Law Protection of Cybersecurity Considering AI-based Cybercrime. </w:t>
      </w:r>
      <w:r w:rsidRPr="003A6D6A">
        <w:rPr>
          <w:rFonts w:ascii="Times New Roman" w:hAnsi="Times New Roman" w:cs="Times New Roman"/>
          <w:i/>
          <w:sz w:val="24"/>
          <w:szCs w:val="24"/>
        </w:rPr>
        <w:t>Journal of Physics: Conference Series</w:t>
      </w:r>
      <w:r w:rsidRPr="003A6D6A">
        <w:rPr>
          <w:rFonts w:ascii="Times New Roman" w:hAnsi="Times New Roman" w:cs="Times New Roman"/>
          <w:sz w:val="24"/>
          <w:szCs w:val="24"/>
        </w:rPr>
        <w:t>,</w:t>
      </w:r>
      <w:r w:rsidRPr="003A6D6A">
        <w:rPr>
          <w:rFonts w:ascii="Times New Roman" w:hAnsi="Times New Roman" w:cs="Times New Roman"/>
          <w:i/>
          <w:sz w:val="24"/>
          <w:szCs w:val="24"/>
        </w:rPr>
        <w:t xml:space="preserve"> 1533</w:t>
      </w:r>
      <w:r w:rsidRPr="003A6D6A">
        <w:rPr>
          <w:rFonts w:ascii="Times New Roman" w:hAnsi="Times New Roman" w:cs="Times New Roman"/>
          <w:sz w:val="24"/>
          <w:szCs w:val="24"/>
        </w:rPr>
        <w:t xml:space="preserve">(3). </w:t>
      </w:r>
      <w:hyperlink r:id="rId10" w:history="1">
        <w:r w:rsidRPr="003A6D6A">
          <w:rPr>
            <w:rStyle w:val="Hyperlink"/>
            <w:rFonts w:ascii="Times New Roman" w:hAnsi="Times New Roman" w:cs="Times New Roman"/>
            <w:sz w:val="24"/>
            <w:szCs w:val="24"/>
          </w:rPr>
          <w:t>https://doi.org/10.1088/1742-6596/1533/3/032014</w:t>
        </w:r>
      </w:hyperlink>
      <w:r w:rsidRPr="003A6D6A">
        <w:rPr>
          <w:rFonts w:ascii="Times New Roman" w:hAnsi="Times New Roman" w:cs="Times New Roman"/>
          <w:sz w:val="24"/>
          <w:szCs w:val="24"/>
        </w:rPr>
        <w:t xml:space="preserve"> </w:t>
      </w:r>
    </w:p>
    <w:p w14:paraId="4A8AB839" w14:textId="6B0D91C1" w:rsidR="00A5746B" w:rsidRPr="00A5746B" w:rsidRDefault="00EA106B" w:rsidP="00135343">
      <w:pPr>
        <w:spacing w:after="0" w:line="480" w:lineRule="auto"/>
        <w:ind w:firstLine="720"/>
        <w:contextualSpacing/>
        <w:rPr>
          <w:rFonts w:ascii="Times New Roman" w:hAnsi="Times New Roman" w:cs="Times New Roman"/>
          <w:sz w:val="24"/>
          <w:szCs w:val="24"/>
        </w:rPr>
      </w:pPr>
      <w:r w:rsidRPr="00135343">
        <w:rPr>
          <w:rFonts w:ascii="Times New Roman" w:hAnsi="Times New Roman" w:cs="Times New Roman"/>
          <w:sz w:val="24"/>
          <w:szCs w:val="24"/>
        </w:rPr>
        <w:fldChar w:fldCharType="end"/>
      </w:r>
    </w:p>
    <w:sectPr w:rsidR="00A5746B" w:rsidRPr="00A5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K8FAMZojXMtAAAA"/>
    <w:docVar w:name="dgnword-docGUID" w:val="{96FB464E-1035-418D-A9BF-2C22FEEAA66B}"/>
    <w:docVar w:name="dgnword-eventsink" w:val="62410676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9&lt;/item&gt;&lt;/record-ids&gt;&lt;/item&gt;&lt;/Libraries&gt;"/>
  </w:docVars>
  <w:rsids>
    <w:rsidRoot w:val="00A5746B"/>
    <w:rsid w:val="00072223"/>
    <w:rsid w:val="000A52F3"/>
    <w:rsid w:val="000D7C78"/>
    <w:rsid w:val="000E092A"/>
    <w:rsid w:val="000E6138"/>
    <w:rsid w:val="000F043F"/>
    <w:rsid w:val="00113CEC"/>
    <w:rsid w:val="00135343"/>
    <w:rsid w:val="00145C04"/>
    <w:rsid w:val="001725B9"/>
    <w:rsid w:val="0018733B"/>
    <w:rsid w:val="001C199A"/>
    <w:rsid w:val="001C49E1"/>
    <w:rsid w:val="002124AE"/>
    <w:rsid w:val="00233D8A"/>
    <w:rsid w:val="0024045A"/>
    <w:rsid w:val="00252883"/>
    <w:rsid w:val="002C7F6A"/>
    <w:rsid w:val="002D389E"/>
    <w:rsid w:val="002E4560"/>
    <w:rsid w:val="00355466"/>
    <w:rsid w:val="003A63C0"/>
    <w:rsid w:val="003A6D6A"/>
    <w:rsid w:val="00406CBF"/>
    <w:rsid w:val="00417A56"/>
    <w:rsid w:val="00430C51"/>
    <w:rsid w:val="00450EE8"/>
    <w:rsid w:val="00495AA2"/>
    <w:rsid w:val="004C7335"/>
    <w:rsid w:val="0051215F"/>
    <w:rsid w:val="00516EDB"/>
    <w:rsid w:val="0053138F"/>
    <w:rsid w:val="00533F04"/>
    <w:rsid w:val="005443F3"/>
    <w:rsid w:val="0057607F"/>
    <w:rsid w:val="005975DA"/>
    <w:rsid w:val="005A06B6"/>
    <w:rsid w:val="005C6DED"/>
    <w:rsid w:val="005C7B85"/>
    <w:rsid w:val="005E2E13"/>
    <w:rsid w:val="006456C7"/>
    <w:rsid w:val="006774A7"/>
    <w:rsid w:val="006827DD"/>
    <w:rsid w:val="0068358C"/>
    <w:rsid w:val="006B6D84"/>
    <w:rsid w:val="006C5694"/>
    <w:rsid w:val="00705E60"/>
    <w:rsid w:val="00720C0E"/>
    <w:rsid w:val="00757A76"/>
    <w:rsid w:val="00763AC2"/>
    <w:rsid w:val="007740A3"/>
    <w:rsid w:val="007B7180"/>
    <w:rsid w:val="007D30EA"/>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A7133"/>
    <w:rsid w:val="00AD5CD0"/>
    <w:rsid w:val="00AD605E"/>
    <w:rsid w:val="00B63045"/>
    <w:rsid w:val="00BB2DFB"/>
    <w:rsid w:val="00BB46E1"/>
    <w:rsid w:val="00C17EE3"/>
    <w:rsid w:val="00C4732B"/>
    <w:rsid w:val="00C53ABA"/>
    <w:rsid w:val="00C730F2"/>
    <w:rsid w:val="00C85228"/>
    <w:rsid w:val="00CA05DE"/>
    <w:rsid w:val="00CB20AD"/>
    <w:rsid w:val="00CF565B"/>
    <w:rsid w:val="00D237F9"/>
    <w:rsid w:val="00DF0C84"/>
    <w:rsid w:val="00DF282C"/>
    <w:rsid w:val="00E14ABB"/>
    <w:rsid w:val="00E20743"/>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Calibri" w:hAnsi="Calibri" w:cs="Calibri"/>
      <w:noProof/>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Calibri" w:hAnsi="Calibri" w:cs="Calibri"/>
      <w:noProof/>
      <w:color w:val="000000"/>
      <w:sz w:val="24"/>
      <w:szCs w:val="24"/>
    </w:rPr>
  </w:style>
  <w:style w:type="paragraph" w:customStyle="1" w:styleId="EndNoteBibliography">
    <w:name w:val="EndNote Bibliography"/>
    <w:basedOn w:val="Normal"/>
    <w:link w:val="EndNoteBibliographyChar"/>
    <w:rsid w:val="00EA106B"/>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EA106B"/>
    <w:rPr>
      <w:rFonts w:ascii="Calibri" w:hAnsi="Calibri" w:cs="Calibri"/>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78601X.2016.1170281" TargetMode="External"/><Relationship Id="rId3" Type="http://schemas.openxmlformats.org/officeDocument/2006/relationships/settings" Target="settings.xml"/><Relationship Id="rId7" Type="http://schemas.openxmlformats.org/officeDocument/2006/relationships/hyperlink" Target="https://doi.org/10.1186/s42400-019-003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77/0002716218783679" TargetMode="External"/><Relationship Id="rId11" Type="http://schemas.openxmlformats.org/officeDocument/2006/relationships/fontTable" Target="fontTable.xml"/><Relationship Id="rId5" Type="http://schemas.openxmlformats.org/officeDocument/2006/relationships/hyperlink" Target="https://doi.org/10.1016/j.cose.2021.102382" TargetMode="External"/><Relationship Id="rId10" Type="http://schemas.openxmlformats.org/officeDocument/2006/relationships/hyperlink" Target="https://doi.org/10.1088/1742-6596/1533/3/032014" TargetMode="External"/><Relationship Id="rId4" Type="http://schemas.openxmlformats.org/officeDocument/2006/relationships/webSettings" Target="webSettings.xml"/><Relationship Id="rId9" Type="http://schemas.openxmlformats.org/officeDocument/2006/relationships/hyperlink" Target="https://doi.org/10.1080/10511253.2018.1439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17</Pages>
  <Words>10991</Words>
  <Characters>62653</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89</cp:revision>
  <dcterms:created xsi:type="dcterms:W3CDTF">2021-09-17T21:43:00Z</dcterms:created>
  <dcterms:modified xsi:type="dcterms:W3CDTF">2021-09-29T09:59:00Z</dcterms:modified>
</cp:coreProperties>
</file>