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Two and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two equation as defined by ASHRAE:</w:t>
      </w:r>
    </w:p>
    <w:p>
      <w:r>
        <w:drawing>
          <wp:inline xmlns:a="http://schemas.openxmlformats.org/drawingml/2006/main" xmlns:pic="http://schemas.openxmlformats.org/drawingml/2006/picture">
            <wp:extent cx="5486400" cy="976201"/>
            <wp:docPr id="1" name="Picture 1"/>
            <wp:cNvGraphicFramePr>
              <a:graphicFrameLocks noChangeAspect="1"/>
            </wp:cNvGraphicFramePr>
            <a:graphic>
              <a:graphicData uri="http://schemas.openxmlformats.org/drawingml/2006/picture">
                <pic:pic>
                  <pic:nvPicPr>
                    <pic:cNvPr id="0" name="fc2_definition.png"/>
                    <pic:cNvPicPr/>
                  </pic:nvPicPr>
                  <pic:blipFill>
                    <a:blip r:embed="rId9"/>
                    <a:stretch>
                      <a:fillRect/>
                    </a:stretch>
                  </pic:blipFill>
                  <pic:spPr>
                    <a:xfrm>
                      <a:off x="0" y="0"/>
                      <a:ext cx="5486400" cy="976201"/>
                    </a:xfrm>
                    <a:prstGeom prst="rect"/>
                  </pic:spPr>
                </pic:pic>
              </a:graphicData>
            </a:graphic>
          </wp:inline>
        </w:drawing>
      </w:r>
    </w:p>
    <w:p>
      <w:r>
        <w:t>Fault condition three equation as defined by ASHRAE:</w:t>
      </w:r>
    </w:p>
    <w:p>
      <w:r>
        <w:drawing>
          <wp:inline xmlns:a="http://schemas.openxmlformats.org/drawingml/2006/main" xmlns:pic="http://schemas.openxmlformats.org/drawingml/2006/picture">
            <wp:extent cx="5486400" cy="941386"/>
            <wp:docPr id="2" name="Picture 2"/>
            <wp:cNvGraphicFramePr>
              <a:graphicFrameLocks noChangeAspect="1"/>
            </wp:cNvGraphicFramePr>
            <a:graphic>
              <a:graphicData uri="http://schemas.openxmlformats.org/drawingml/2006/picture">
                <pic:pic>
                  <pic:nvPicPr>
                    <pic:cNvPr id="0" name="fc3_definition.png"/>
                    <pic:cNvPicPr/>
                  </pic:nvPicPr>
                  <pic:blipFill>
                    <a:blip r:embed="rId10"/>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2_fans_plot.png"/>
                    <pic:cNvPicPr/>
                  </pic:nvPicPr>
                  <pic:blipFill>
                    <a:blip r:embed="rId11"/>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calculated in dataset: 29 days 23:55:00</w:t>
      </w:r>
    </w:p>
    <w:p>
      <w:pPr>
        <w:pStyle w:val="ListBullet"/>
      </w:pPr>
      <w:r>
        <w:t>Total time in hours calculated in dataset: 719.92</w:t>
      </w:r>
    </w:p>
    <w:p>
      <w:pPr>
        <w:pStyle w:val="ListBullet"/>
      </w:pPr>
      <w:r>
        <w:t>Total time in hours for when FDD flag 2 is True: 18.0</w:t>
      </w:r>
    </w:p>
    <w:p>
      <w:pPr>
        <w:pStyle w:val="ListBullet"/>
      </w:pPr>
      <w:r>
        <w:t>Total time in hours for when FDD flag 3 is True: 22.92</w:t>
      </w:r>
    </w:p>
    <w:p>
      <w:pPr>
        <w:pStyle w:val="ListBullet"/>
      </w:pPr>
      <w:r>
        <w:t>Percent of time in the dataset when the Fault flag 2 is True: 25.83%</w:t>
      </w:r>
    </w:p>
    <w:p>
      <w:pPr>
        <w:pStyle w:val="ListBullet"/>
      </w:pPr>
      <w:r>
        <w:t>Percent of time in the dataset when the Fault flag 3 is True: 6.52%</w:t>
      </w:r>
    </w:p>
    <w:p>
      <w:pPr>
        <w:pStyle w:val="ListBullet"/>
      </w:pPr>
      <w:r>
        <w:t>Percent of time in the dataset when flag 2 is False: 74.17%</w:t>
      </w:r>
    </w:p>
    <w:p>
      <w:pPr>
        <w:pStyle w:val="ListBullet"/>
      </w:pPr>
      <w:r>
        <w:t>Percent of time in the dataset when flag 3 is False: 93.48%</w:t>
      </w:r>
    </w:p>
    <w:p/>
    <w:p>
      <w:pPr>
        <w:pStyle w:val="Heading2"/>
      </w:pPr>
      <w:r>
        <w:t>Time-of-day Histogram Plots</w:t>
      </w:r>
    </w:p>
    <w:p>
      <w:r>
        <w:drawing>
          <wp:inline xmlns:a="http://schemas.openxmlformats.org/drawingml/2006/main" xmlns:pic="http://schemas.openxmlformats.org/drawingml/2006/picture">
            <wp:extent cx="5486400" cy="1755648"/>
            <wp:docPr id="4" name="Picture 4"/>
            <wp:cNvGraphicFramePr>
              <a:graphicFrameLocks noChangeAspect="1"/>
            </wp:cNvGraphicFramePr>
            <a:graphic>
              <a:graphicData uri="http://schemas.openxmlformats.org/drawingml/2006/picture">
                <pic:pic>
                  <pic:nvPicPr>
                    <pic:cNvPr id="0" name="ahu_fc23_histogram.png"/>
                    <pic:cNvPicPr/>
                  </pic:nvPicPr>
                  <pic:blipFill>
                    <a:blip r:embed="rId12"/>
                    <a:stretch>
                      <a:fillRect/>
                    </a:stretch>
                  </pic:blipFill>
                  <pic:spPr>
                    <a:xfrm>
                      <a:off x="0" y="0"/>
                      <a:ext cx="5486400" cy="1755648"/>
                    </a:xfrm>
                    <a:prstGeom prst="rect"/>
                  </pic:spPr>
                </pic:pic>
              </a:graphicData>
            </a:graphic>
          </wp:inline>
        </w:drawing>
      </w:r>
    </w:p>
    <w:p>
      <w:pPr>
        <w:pStyle w:val="ListBullet"/>
      </w:pPr>
      <w:r>
        <w:t>Average mix air temp for when in fault condition 2 is True (mixing temp is LOW outside the ranges of return and outside temp): 72.07 °F</w:t>
      </w:r>
    </w:p>
    <w:p>
      <w:pPr>
        <w:pStyle w:val="ListBullet"/>
      </w:pPr>
      <w:r>
        <w:t>Average mix air temp for when in fault condition 3 is True (mixing temp is HIGH and outside the ranges of return and outside temp): 75.34 °F</w:t>
      </w:r>
    </w:p>
    <w:p/>
    <w:p>
      <w:pPr>
        <w:pStyle w:val="Heading2"/>
      </w:pPr>
      <w:r>
        <w:t>Mix Temp Statistics</w:t>
      </w:r>
    </w:p>
    <w:p>
      <w:pPr>
        <w:pStyle w:val="ListBullet"/>
      </w:pPr>
      <w:r>
        <w:t>count    8639.000000</w:t>
        <w:br/>
        <w:t>mean       72.259440</w:t>
        <w:br/>
        <w:t>std         3.106969</w:t>
        <w:br/>
        <w:t>min        63.200000</w:t>
        <w:br/>
        <w:t>25%        69.900000</w:t>
        <w:br/>
        <w:t>50%        72.400000</w:t>
        <w:br/>
        <w:t>75%        74.400000</w:t>
        <w:br/>
        <w:t>max        81.300000</w:t>
        <w:br/>
        <w:t>Name: mat, dtype: float64</w:t>
      </w:r>
    </w:p>
    <w:p>
      <w:pPr>
        <w:pStyle w:val="Heading2"/>
      </w:pPr>
      <w:r>
        <w:t>Return Temp Statistics</w:t>
      </w:r>
    </w:p>
    <w:p>
      <w:pPr>
        <w:pStyle w:val="ListBullet"/>
      </w:pPr>
      <w:r>
        <w:t>count    8639.000000</w:t>
        <w:br/>
        <w:t>mean       74.300475</w:t>
        <w:br/>
        <w:t>std         1.775012</w:t>
        <w:br/>
        <w:t>min        71.500000</w:t>
        <w:br/>
        <w:t>25%        72.700000</w:t>
        <w:br/>
        <w:t>50%        74.300000</w:t>
        <w:br/>
        <w:t>75%        75.500000</w:t>
        <w:br/>
        <w:t>max        79.200000</w:t>
        <w:br/>
        <w:t>Name: rat, dtype: float64</w:t>
      </w:r>
    </w:p>
    <w:p>
      <w:pPr>
        <w:pStyle w:val="Heading2"/>
      </w:pPr>
      <w:r>
        <w:t>Outside Temp Statistics</w:t>
      </w:r>
    </w:p>
    <w:p>
      <w:pPr>
        <w:pStyle w:val="ListBullet"/>
      </w:pPr>
      <w:r>
        <w:t>count    8639.000000</w:t>
        <w:br/>
        <w:t>mean       70.390439</w:t>
        <w:br/>
        <w:t>std        13.560452</w:t>
        <w:br/>
        <w:t>min        41.000000</w:t>
        <w:br/>
        <w:t>25%        59.500000</w:t>
        <w:br/>
        <w:t>50%        68.000000</w:t>
        <w:br/>
        <w:t>75%        85.000000</w:t>
        <w:br/>
        <w:t>max        91.000000</w:t>
        <w:br/>
        <w:t>Name: oat, dtype: float64</w:t>
      </w:r>
    </w:p>
    <w:p>
      <w:pPr>
        <w:pStyle w:val="Heading2"/>
      </w:pPr>
      <w:r>
        <w:t>Suggestions based on data analysis</w:t>
      </w:r>
    </w:p>
    <w:p>
      <w:pPr>
        <w:pStyle w:val="ListBullet"/>
      </w:pPr>
      <w:r>
        <w:t>The percent True of time in the dataset for when the mixing air temperature is out of theoretical range is very high which indicates hardware problems associated with the HVAC controls. The electronic inputs on the HVAC controller could be corrupt or the sensor may need to be replaced. Mixing temperature sensors are supposed to be a long (often 20’) precisely installed averaging type sensor where it takes a good instalation to get a good actual averaged mixed air temperature reading versus return and discharge air sensors where quite often these are just short probe type sensors installed into the AHU duct work. To troubleshoot sensor values, try in the field to use testing probes inserted into the air stream of the AHU when it is running. Make sure to use high precision calibrated 3rd party tools are higher accuracy than the BAS controller sensors. Good commissioning agents from a A/E firms that specialize in field calibration of BAS can potentially be used to validate sensor readings as well. Another thing to watch out for is control system programming (quite often a service bandage on something broken) can also be utilized to override sensor values of field level device I/O in the cases where data plots look unusual and when high fault flags occur.</w:t>
      </w:r>
    </w:p>
    <w:p>
      <w:r>
        <w:rPr>
          <w:rStyle w:val="Emphasis"/>
        </w:rPr>
        <w:t>Report generated: Mon Dec  5 10:16:17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