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Ten Report</w:t>
      </w:r>
    </w:p>
    <w:p>
      <w:r>
        <w:t>Fault condition ten of ASHRAE Guideline 36 is an AHU economizer + mechanical cooling mode only with an attempt at flagging conditions where the outside air temperature and mixing air temperatures are not approximetely equal when the AHU is in a 100% outside air mode. Fault condition ten equation as defined by ASHRAE:</w:t>
      </w:r>
    </w:p>
    <w:p>
      <w:r>
        <w:drawing>
          <wp:inline xmlns:a="http://schemas.openxmlformats.org/drawingml/2006/main" xmlns:pic="http://schemas.openxmlformats.org/drawingml/2006/picture">
            <wp:extent cx="5486400" cy="820693"/>
            <wp:docPr id="1" name="Picture 1"/>
            <wp:cNvGraphicFramePr>
              <a:graphicFrameLocks noChangeAspect="1"/>
            </wp:cNvGraphicFramePr>
            <a:graphic>
              <a:graphicData uri="http://schemas.openxmlformats.org/drawingml/2006/picture">
                <pic:pic>
                  <pic:nvPicPr>
                    <pic:cNvPr id="0" name="fc10_definition.png"/>
                    <pic:cNvPicPr/>
                  </pic:nvPicPr>
                  <pic:blipFill>
                    <a:blip r:embed="rId9"/>
                    <a:stretch>
                      <a:fillRect/>
                    </a:stretch>
                  </pic:blipFill>
                  <pic:spPr>
                    <a:xfrm>
                      <a:off x="0" y="0"/>
                      <a:ext cx="5486400" cy="82069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3.0</w:t>
      </w:r>
    </w:p>
    <w:p>
      <w:pPr>
        <w:pStyle w:val="ListBullet"/>
      </w:pPr>
      <w:r>
        <w:t>Percent of time in the dataset when the fault flag is True: 0.4%</w:t>
      </w:r>
    </w:p>
    <w:p>
      <w:pPr>
        <w:pStyle w:val="ListBullet"/>
      </w:pPr>
      <w:r>
        <w:t>Percent of time in the dataset when the fault flag is False: 99.6%</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70.33 in °F and the mixing air temperature is 97.92 in °F.</w:t>
      </w:r>
    </w:p>
    <w:p>
      <w:pPr>
        <w:pStyle w:val="Heading1"/>
      </w:pPr>
      <w:r>
        <w:t>Summary Statistics filtered for when the AHU is running</w:t>
      </w:r>
    </w:p>
    <w:p>
      <w:pPr>
        <w:pStyle w:val="Heading3"/>
      </w:pPr>
      <w:r>
        <w:t>Mixing Air Temp</w:t>
      </w:r>
    </w:p>
    <w:p>
      <w:pPr>
        <w:pStyle w:val="ListBullet"/>
      </w:pPr>
      <w:r>
        <w:t>count    1112.000000</w:t>
        <w:br/>
        <w:t>mean       86.273381</w:t>
        <w:br/>
        <w:t>std         8.969741</w:t>
        <w:br/>
        <w:t>min        60.000000</w:t>
        <w:br/>
        <w:t>25%        81.000000</w:t>
        <w:br/>
        <w:t>50%        86.000000</w:t>
        <w:br/>
        <w:t>75%        94.000000</w:t>
        <w:br/>
        <w:t>max       100.000000</w:t>
        <w:br/>
        <w:t>Name: oat, dtype: float64</w:t>
      </w:r>
    </w:p>
    <w:p>
      <w:pPr>
        <w:pStyle w:val="Heading3"/>
      </w:pPr>
      <w:r>
        <w:t>Outside Air Temp</w:t>
      </w:r>
    </w:p>
    <w:p>
      <w:pPr>
        <w:pStyle w:val="ListBullet"/>
      </w:pPr>
      <w:r>
        <w:t>count    1112.000000</w:t>
        <w:br/>
        <w:t>mean       70.627698</w:t>
        <w:br/>
        <w:t>std         5.494443</w:t>
        <w:br/>
        <w:t>min        60.000000</w:t>
        <w:br/>
        <w:t>25%        66.000000</w:t>
        <w:br/>
        <w:t>50%        71.000000</w:t>
        <w:br/>
        <w:t>75%        75.000000</w:t>
        <w:br/>
        <w:t>max        80.000000</w:t>
        <w:br/>
        <w:t>Name: mat,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Thu Feb 23 10:45:45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