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Eleven Report</w:t>
      </w:r>
    </w:p>
    <w:p>
      <w:r>
        <w:t>Fault condition eleven of ASHRAE Guideline 36 is an AHU economizer + mechanical cooling mode only with an attempt at flagging conditions where the outside air temperature is too low for 100% outside air AHU operating mode. Fault condition Eleven equation as defined by ASHRAE:</w:t>
      </w:r>
    </w:p>
    <w:p>
      <w:r>
        <w:drawing>
          <wp:inline xmlns:a="http://schemas.openxmlformats.org/drawingml/2006/main" xmlns:pic="http://schemas.openxmlformats.org/drawingml/2006/picture">
            <wp:extent cx="5486400" cy="931911"/>
            <wp:docPr id="1" name="Picture 1"/>
            <wp:cNvGraphicFramePr>
              <a:graphicFrameLocks noChangeAspect="1"/>
            </wp:cNvGraphicFramePr>
            <a:graphic>
              <a:graphicData uri="http://schemas.openxmlformats.org/drawingml/2006/picture">
                <pic:pic>
                  <pic:nvPicPr>
                    <pic:cNvPr id="0" name="fc11_definition.png"/>
                    <pic:cNvPicPr/>
                  </pic:nvPicPr>
                  <pic:blipFill>
                    <a:blip r:embed="rId9"/>
                    <a:stretch>
                      <a:fillRect/>
                    </a:stretch>
                  </pic:blipFill>
                  <pic:spPr>
                    <a:xfrm>
                      <a:off x="0" y="0"/>
                      <a:ext cx="5486400" cy="93191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249.75</w:t>
      </w:r>
    </w:p>
    <w:p>
      <w:pPr>
        <w:pStyle w:val="ListBullet"/>
      </w:pPr>
      <w:r>
        <w:t>Percent of time in the dataset when the fault flag is True: 33.6%</w:t>
      </w:r>
    </w:p>
    <w:p>
      <w:pPr>
        <w:pStyle w:val="ListBullet"/>
      </w:pPr>
      <w:r>
        <w:t>Percent of time in the dataset when the fault flag is False: 66.4%</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11 is True the average AHU mix air is 53.59 in °F and the supply air temperature is 74.33 in °F.</w:t>
      </w:r>
    </w:p>
    <w:p/>
    <w:p>
      <w:pPr>
        <w:pStyle w:val="Heading2"/>
      </w:pPr>
      <w:r>
        <w:t>Supply Air Temp Setpoint Statistics</w:t>
      </w:r>
    </w:p>
    <w:p>
      <w:pPr>
        <w:pStyle w:val="ListBullet"/>
      </w:pPr>
      <w:r>
        <w:t>count    2976.000000</w:t>
        <w:br/>
        <w:t>mean       71.878696</w:t>
        <w:br/>
        <w:t>std         8.066555</w:t>
        <w:br/>
        <w:t>min        60.000000</w:t>
        <w:br/>
        <w:t>25%        66.000000</w:t>
        <w:br/>
        <w:t>50%        70.000000</w:t>
        <w:br/>
        <w:t>75%        78.000000</w:t>
        <w:br/>
        <w:t>max        90.000000</w:t>
        <w:br/>
        <w:t>Name: satsp, dtype: float64</w:t>
      </w:r>
    </w:p>
    <w:p>
      <w:pPr>
        <w:pStyle w:val="Heading2"/>
      </w:pPr>
      <w:r>
        <w:t>Outside Air Temp Statistics</w:t>
      </w:r>
    </w:p>
    <w:p>
      <w:pPr>
        <w:pStyle w:val="ListBullet"/>
      </w:pPr>
      <w:r>
        <w:t>count    2976.000000</w:t>
        <w:br/>
        <w:t>mean       71.205645</w:t>
        <w:br/>
        <w:t>std        16.524127</w:t>
        <w:br/>
        <w:t>min        36.000000</w:t>
        <w:br/>
        <w:t>25%        57.000000</w:t>
        <w:br/>
        <w:t>50%        75.000000</w:t>
        <w:br/>
        <w:t>75%        83.000000</w:t>
        <w:br/>
        <w:t>max       100.000000</w:t>
        <w:br/>
        <w:t>Name: oat, dtype: float64</w:t>
      </w:r>
    </w:p>
    <w:p>
      <w:pPr>
        <w:pStyle w:val="Heading2"/>
      </w:pPr>
      <w:r>
        <w:t>Suggestions based on data analysis</w:t>
      </w:r>
    </w:p>
    <w:p>
      <w:pPr>
        <w:pStyle w:val="ListBullet"/>
      </w:pPr>
      <w:r>
        <w:t>The percent True metric that represents the amount of time for when the fault flag is True is high indicating temperature sensor error or the heating coil could be leaking potentially creating simultenious heating/cooling scenorio which can be an energy penalty for running the AHU in this fashion. Also visually verify with the AHU off via lock-out-tag-out that the mixing dampers operates effectively. To do this have one person the BAS sending operator override commands to drive the damper back and forth. The other person should put on eyes on the operation of the actuator motor driving the OA dampers 100 percent open and then closed and visually verify the dampers rotate effectively per BAS command where to also visually verify the dampers have a good seal when in the closed position. Also consider looking into BAS programming that may need tuning or parameter adjustments for the staging between OS state changes between AHU modes of operation.</w:t>
      </w:r>
    </w:p>
    <w:p>
      <w:r>
        <w:rPr>
          <w:rStyle w:val="Emphasis"/>
        </w:rPr>
        <w:t>Report generated: Sun Feb 19 10:03:42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