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6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6 is True: 24.0</w:t>
      </w:r>
    </w:p>
    <w:p>
      <w:pPr>
        <w:pStyle w:val="ListBullet"/>
      </w:pPr>
      <w:r>
        <w:t>Percent of time in the dataset when the fault flag 6 is True: 3.23%</w:t>
      </w:r>
    </w:p>
    <w:p>
      <w:pPr>
        <w:pStyle w:val="ListBullet"/>
      </w:pPr>
      <w:r>
        <w:t>Percent of time in the dataset when fault flag 6 is False: 96.77%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6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xxx is 0.71°F and the xxx is 0.71°F. This could possibly help with pin pointing AHU operating conditions for when this fault is True.</w:t>
      </w:r>
    </w:p>
    <w:p/>
    <w:p>
      <w:pPr>
        <w:pStyle w:val="Heading2"/>
      </w:pPr>
      <w:r>
        <w:t>Mix Temp Statistics</w:t>
      </w:r>
    </w:p>
    <w:p>
      <w:pPr>
        <w:pStyle w:val="ListBullet"/>
      </w:pPr>
      <w:r>
        <w:t>count    2976.000000</w:t>
        <w:br/>
        <w:t>mean       66.698253</w:t>
        <w:br/>
        <w:t>std         9.171843</w:t>
        <w:br/>
        <w:t>min        43.000000</w:t>
        <w:br/>
        <w:t>25%        61.000000</w:t>
        <w:br/>
        <w:t>50%        67.000000</w:t>
        <w:br/>
        <w:t>75%        75.000000</w:t>
        <w:br/>
        <w:t>max        80.000000</w:t>
        <w:br/>
        <w:t>Name: mat, dtype: float64</w:t>
      </w:r>
    </w:p>
    <w:p>
      <w:pPr>
        <w:pStyle w:val="Heading2"/>
      </w:pPr>
      <w:r>
        <w:t>Outside Temp Statistics</w:t>
      </w:r>
    </w:p>
    <w:p>
      <w:pPr>
        <w:pStyle w:val="ListBullet"/>
      </w:pPr>
      <w:r>
        <w:t>count    2976.000000</w:t>
        <w:br/>
        <w:t>mean       35.905242</w:t>
        <w:br/>
        <w:t>std        26.251641</w:t>
        <w:br/>
        <w:t>min       -10.000000</w:t>
        <w:br/>
        <w:t>25%        14.000000</w:t>
        <w:br/>
        <w:t>50%        40.000000</w:t>
        <w:br/>
        <w:t>75%        55.000000</w:t>
        <w:br/>
        <w:t>max        82.000000</w:t>
        <w:br/>
        <w:t>Name: oat, dtype: float64</w:t>
      </w:r>
    </w:p>
    <w:p>
      <w:pPr>
        <w:pStyle w:val="Heading2"/>
      </w:pPr>
      <w:r>
        <w:t>Return Temp Statistics</w:t>
      </w:r>
    </w:p>
    <w:p>
      <w:pPr>
        <w:pStyle w:val="ListBullet"/>
      </w:pPr>
      <w:r>
        <w:t>count    2976.000000</w:t>
        <w:br/>
        <w:t>mean       68.411626</w:t>
        <w:br/>
        <w:t>std         6.129986</w:t>
        <w:br/>
        <w:t>min        60.000000</w:t>
        <w:br/>
        <w:t>25%        63.000000</w:t>
        <w:br/>
        <w:t>50%        67.000000</w:t>
        <w:br/>
        <w:t>75%        73.000000</w:t>
        <w:br/>
        <w:t>max        80.000000</w:t>
        <w:br/>
        <w:t>Name: rat, dtype: float64</w:t>
      </w:r>
    </w:p>
    <w:p>
      <w:pPr>
        <w:pStyle w:val="Heading2"/>
      </w:pPr>
      <w:r>
        <w:t>Calculated OA Fraction Statistics</w:t>
      </w:r>
    </w:p>
    <w:p>
      <w:pPr>
        <w:pStyle w:val="ListBullet"/>
      </w:pPr>
      <w:r>
        <w:t>count    2976.000000</w:t>
        <w:br/>
        <w:t>mean             inf</w:t>
        <w:br/>
        <w:t>std              NaN</w:t>
        <w:br/>
        <w:t>min         0.000000</w:t>
        <w:br/>
        <w:t>25%         0.000000</w:t>
        <w:br/>
        <w:t>50%         0.000000</w:t>
        <w:br/>
        <w:t>75%         0.176471</w:t>
        <w:br/>
        <w:t>max              inf</w:t>
        <w:br/>
        <w:t>Name: percent_oa_calc,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Sun Jan 15 15:00:43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