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along the longitudinal axis of the hippocampal formation. Accordingly, a substantial portion of the variance in strong ripple duration (R² = 0.463) is explained by the ripple generation location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Interestingly, the fraction of long-duration ripples is increased in novel contexts, in memory-demanding tasks and during correct recalls {Fernández-Ruiz, 2019 #1121}. Reducing ripple duration artificially causes a degraded working memory performance {Jadhav, 2012 #1135} and, on the contrary, prolongation has a beneficial effect {Fernández-Ruiz, 2019 #1121}. Ripple duration is directly proportional to ripple amplitude {Patel, 2013 #1133}, therefore, these results point at a specific role of 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(Supplementary Figure 2b). Clear ripples were observed uniquely in the hippocampal formation (CA1, CA2, CA3, DG, SUB, ProS). Likewise, ripple-induced voltage deflections (RIVD, integral of the unfiltered LFP envelope) were also noticeably stronger in hippocampal areas (Supplementary Figure 2c-f). Ripple strength was noticeably irregular in single sessions both across time and space, even within the CA1 region (Supplementary Figure 2c).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strength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3.56e-01, Mann-Whitney u test), we did, however, found differences in firing rate, waveform duration, and waveform shape (recovery slope and peak-through ratio, Supplementary Figure 11). Firing rate and waveform duration exhibited respectively a left- and right-shifted distribution in the lateral section, reflecting lower firing rate and slower action potentials.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electrophysiological features we found some differences in the waveform shape and duration. We can hypothesize that slower action potentials and, consequentially, longer refractory periods hinder the ability to sustain protracted high frequency spiking. Accordingly, we found an increased firing rate and a smaller waveform duration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 0.015 s and &lt; 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