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 Anisotropy</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Using an open access database of large-scale electrophysiological recordings in 49 mice we extensively analyzed ripple propagation in the septal half of the hippocampal formation. Strong ripples propagate differentially in the septal and temporal direction along the hippocampal longitudinal axis, the hippocampus is therefore anisotropic in relation to ripple propagation. Hippocampal anisotropy is explained by the ability of the septal hippocampal pole to generate longer strong ripples that engage more neurons and elicit spiking activity for an extended time along the entire septal half of the hippocampal formation.</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they play a crucial role in memory processes such as consolidation and retrieval {Buzsáki, 2015 #1110;Diba, 2007 #1111;Foster, 2006 #1112;Xu, 2019 #1113;Takahashi, 2015 #1114;Jadhav, 2012 #1115;Davidson, 2009 #1116;Pfeiffer, 2015 #1117;Dragoi, 2011 #1118;Girardeau, 2009 #1120}. We studied ripple propagation along the hippocampal longitudinal axis in an open-access dataset provided by the Allen Institute {Siegle, 2021 #1127}.</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analyzed the LFP signals across the visual cortex, hippocampal formation and brain stem (Supplementary Figure 1) simultaneous to ripples detected in the CA1 of 49 animals (average session duration = 9877.4 ± 43.1 seconds, average ripple incidence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propagation along the hippocampal longitudinal axis is anisotropic.</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anisotropy along the hippocampal longitudinal axis, the property of exhibiting direction-dependent qualities. To understand the mechanism underlying such variability in propagation we examined the location of the seed for each ripple in sessions in which ripples were clearly detected in every hippocampal section (n sessions = 25). In common ripples, regardless of the reference location, the majority of ripples started from the lateral section (Figure 3A). On the other hand, strong ripples displayed a more heterogenous picture.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medial=36.83 ± 2.66%, mean lateral = 20.55 ± 2.04%, p-value = 3e-05). Strong and common ripples had significantly different seed location profiles only in the medial and central section, not in the lateral section (Figure 3B). These seed location profiles explain the propagation anisotropy,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propagation is anisotropic along the hippocampal longitudinal axis. This anisotropy can be explained by a specific ability of the hippocampal septal (medial) pole to produce longer strong ripples that better entrain the hippocampal network and spread across the M-L axis.  Long duration ripples has been shown to be of particular importance in situations of high-memory demand {Fernández-Ruiz, 2019 #1121}, these results suggest a possible distinctive role of the hippocampal septal pole in these situations. This is consistent with previous studies that highlighted the role of the septal hippocampus in memory tasks and information processing {Hock, 1998 #1122;Moser, 1993 #1123;Moser, 1995 #1124;Steffenach, 2005 #1128;Kheirbek, 2013 #1126;McGlinchey, 2018 #1125;Fanselow, 2010 #1129;Maras, 2014 #1130;Bradfield, 2020 #1131;Qin, 2020 #1132}.</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work was supported by the Bundesministerium for Bildung und Forschung (SFB1315-327654276) grant.  We thank J.T. Tukker, N. Maier for feedback on an early version of the manuscript and the members of the Schmitz lab for scientific discussion. We thank Willy Schiegel and Tiziano Zito for technical expertise in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sections.(F) Regression plot between M-L location and ripple duration in common and strong ripples. Horizontal dashed lines represent the spatial limits of the hippocampal sections.(G)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