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modulation of individual neurons in different hippocampal subfields, even before the onset of the ripple. This finding suggests that the ripple generation location plays a crucial role in shaping the neural activity in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both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0.85 ± 0.59 %, TH: 0.0 ± 0.0 %), with baseline spiking rate explaining nearly all the variance in spiking rate during ripples. In contrast, only a small fraction of cortical neurons were modulated (Isocortex: 5.26 ± 0.97 %))  while the majority of hippocampal (HPF) neurons showed ripple modulation (HPF: 88.57 ± 1.03 %). In both cases the baseline spiking rate explained a big portion of the variance in spiking rate during ripples (Figure 5A).Neurons in the cortex that were both modulated by medial and lateral ripples were generally found in deeper layers, whereas neurons modulated more strongly by medial ripples were also found in more superficial layers. Only a small number of cortical neurons exhibited greater engagement in association with lateral ripples (Supplementary Figure 14).  The relationship between baseline spiking and spiking during ripples was similar in medial and lateral ripples (Supplementary Figure 15). This similarity accounted for most of the variability observed in all cases. We found a significant difference in modulation of hippocampal neurons by medial and lateral ripples within a 120 ms window after the start of the ripple event. However, the effect size was modest (Figure 5B). A stronger effect was observed in the 50-120 ms window, here medial ripples had a notably stronger modulatory effect (Supplementary Figure 16A). Significant differences were also observed in cortical neurons and in TH, with medial ripples inducing stronger modulation (Supplementary Figure 16B). To understand the mechanism underlying these differences between medial and lateral ripples we focused on modulation in the early (0-50 ms) and late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subfields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11.39 %).Additionally, we found that prior to the onset of ripples, medial ripples induced stronger modulation in ProS and SUB, and weaker modulation in CA3 and DG when compared to lateral ripples (Figure 5E). In this window, the M-L position explained only a minimal proportion of the variance in ProS (0.1 %), SUB (2.91 %) and CA3 (0.92 %) but a substantial proportion in DG (9.15 %). In both the early and late ripple phases (Supplementary Figure 17), medial ripples elicited significantly stronger modulation across multiple cortical regions.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While the M-L position did explain some of the variance in modulation in certain subfields, such as CA1 and DG, it only accounted for a small proportion of the variance in others, like CA3 and SUB.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even before the onset of ripples, these functional differences can be observed. These results indicate that lateral ripples show significant engagement of CA3, which aligns with the traditional view that CA3 is the primary generator of ripples {Buzsáki, 1986 #1196, Buzsáki, 1989 #1197, Csicsvari, 2000 #1195}. On the other hand, medial ripples demonstrate stronger engagement of ProS and SUB subfields, supporting the more recent hypothesis that output structures in the hippocampus are also capable of generating ripples {Imbrosci, 2021 #1194}.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Additionally, the finding that lateral ripples exhibit stronger engagement of CA3 before the onset of ripples suggests that CA3 may play a more critical role in initiating lateral ripples. In contrast, the stronger engagement of ProS and SUB subfields before medial ripple onset suggests that these structures may be involved in the initiation of medial ripples.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Wilcoxon signed-rank test or Student's t-test (if normality established). (E) Ripple modulation in response to lateral and medial ripples before ripple start (20 ms).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