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septal half of the hippocampal formation in an open access dataset provided by the Allen Institute. Surprisingly, strong ripples propagate differentially in the septal and temporal direction along the hippocampal longitudinal axis. The septal hippocampal pole is able to generate longer ripples that engage more neurons and elicit spiking activity for an extended time along the entire septal half of the hippocampal formation. Ripples generated septally have therefore higher chances of retaining their strength while travelling within the hippocampus. Moreover, a substantial portion of the variance in strong ripple duration (R² = 0.463) is explained solely by the ripple generation point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(&gt;100 ms). Interestingly, the fraction of long-duration ripples is increased in novel contexts, in memory-demanding tasks and during correct recalls {Fernández-Ruiz, 2019 #1121}. Reducing ripple duration artificially causes a degraded working memory performance {Jadhav, 2012 #1135} and, on the contrary, prolongation has a beneficial effect {Fernández-Ruiz, 2019 #1121}. Ripple duration is directly proportional to ripple amplitude {Patel, 2013 #1133}, therefore, these results point at a specific role of 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integral of the unfiltered LFP envelope)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11).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therefore we could not answer this question.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likelihood in the intermediate section and lowest in the septal pole. Strong ripples, on the other hand, are generated mostly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