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Most strong ripples are always generated locally, moreover,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A substantial portion of the variance in strong ripple duration (R² = 0.463) is explained solely by the ripple generation point on the longitudinal axis. Our results suggest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ripples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gene expression as well exhibits both gradual and discrete transitions along the same axis {Vogel, 2020 #1151; Strange, 2014 #1158}, as a consequence, the hippocampus is considered to be functionally segmented.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neuron subpopulations downstream, even in the same brain area {Sosa, 2020 #1154}. Consequentially, an heterogeneous ripple generation chance along the longitudinal axis most probably has an impact on the frequency with which different downstream brain areas and neurons subgroups are activated.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one reported regarding propagation between opposite poles (~3.7%),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Notably,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possible duration gradient along the longitudinal axis, the temporal hippocampus has been shown to produce shorter ripples both in awake and sleep conditions {Sosa, 2020 #1154}. </w:t>
        <w:br/>
        <w:t xml:space="preserve">What is the reason that enables the septal pole to generate longer ripples? There might for example be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Long duration ripples have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explain the specific role of septal hippocampus in memory tasks with its ability of generating particularly long ripples that are able to strongly engage networks in the entire top half of the hippocampal formation for an extended time.Ripples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strong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