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(Figure 5A). Only a small fraction of cortical neurons were modulated (Isocortex: 5.26 ± 0.97 %), in contrast,  the majority of hippocampal (HPF) neurons showed ripple modulation (HPF: 88.57 ± 1.03 %). The relationship between baseline spiking and spiking during ripples was similar in medial and lateral ripples, accounting for most of the observed variability (Supplementary Figure 14). We found a modest difference in modulation of hippocampal neurons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neurons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 Additionally, we found that prior to the onset of ripples, medial ripples induced stronger modulation in ProS and SUB, weaker modulation in DG and substantially weaker modulation in CA3 when compared to lateral ripples (Figure 5E). In this window, the M-L position explained only a minimal proportion of the variance in ProS (0.1 %), SUB (2.91 %) and CA3 (0.92 %) but a substantial proportion in DG (9.15 %).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(with absolute modulation of at least 50%).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before ripple start medial ripples demonstrate stronger engagement of ProS and SUB subfields,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as.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presence_ratio_thr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in hippocampal neurons.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