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Interestingly, the fraction of long-duration ripples is increased in novel contexts, in memory-demanding tasks and during correct recalls {Fernández-Ruiz, 2019 #1121}. Reducing ripple duration artificially causes a degraded working memory performance {Jadhav, 2012 #1135} and, on the contrary, prolongation has a beneficial effect {Fernández-Ruiz, 2019 #1121}. Ripple duration is directly proportional to ripple amplitude {Patel, 2013 #1133}, therefore, these results point at a specific role of 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integral of the unfiltered LFP envelope)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11).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 0.015 s and &lt; 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