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analysed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corresponds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Strange, 2014 #1158; Vogel, 2020 #1151; Fanselow, 2010 #1150},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 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amount of ripples detected in each hippocampal section (p-value = 0.55, Kruskal-Wallis test), we observed differences regarding ripple generation. In common ripples, regardless of the reference location, the majority of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propagates differentially along the hippocampal longitudinal axis. This propagation idiosyncrasy can be explained by a specific ability of the hippocampal septal (medial) pole to produce longer ripples that better entrain the hippocampal network and spread across the longitudinal axis. It was previously observed that ripples located at the septal and temporal pole are generated indipendently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pairscloser to each other. The effect of distance was also apparent on the ripple chance of propagation, only half of the ripples generated in the septal pole were detected additionally in the intermediate hippocampus (corresponding to the lateral section in our analysis). This chance is much higher compared to the one reported regarding propagation between opposite poles (~3.7%), it would be interesting to understand whether the temporal pole is also able to entrain the intermediate hippocampusin similar fashion or it is a peculiarity of the septal pole. Notably, the dataset we employed is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generation followed a gradient with higher likelihood in the intermediate section and lowest in the septal pole.Strong ripples, on the other hand, are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Consistenly, thetemporal hippocampus has been shown to produce shorter ripples booth in awake and sleep {Sosa, 2020 #1154}.Long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longripples that are able to strongly engage networks in the entire top half of the hippocampal formation for an extended time. What is the reason that enables the septal pole to generate longer ripples? There might for example be underlying electrophyisiological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pole.We can also speculate that the neuromodulatory inputs gradient, monoamine fibers have been shown to be stronger in the ventral part {Strange, 2014 #1105}, might influence neurons responses. Serotonin {ul Haq, 2016 #1165, Wang, 2015 #1170}}, noradrenaline {Ul Haq, 2012 #1166,Novitskaya,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#1129} we hypothesize that ripple generated at different points of the hippocampal longitudinal axis might as well have functional differences, with the strong ripples generated septally possibly able to combine the different kind of informatiosn processed in the distinct hippocampal sections and further relaying the intgrated information back to the neocortex in acccordance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