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medio-lateral (M-L) axis, as no such gradient was observed (R² = 0.0012, Supplementary Figure 8). Curiously, ripple amplitude showed a weak trend in the opposite direction (r = 0.25, p-value = 7.21e-04),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13).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