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Our results are consistent with a possible distinctive role of the hippocampal septal pole in conditions of high memory demand.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Interestingly, the fraction of long-duration ripples is increased in novel contexts, in memory-demanding tasks and during correct recalls {Fernández-Ruiz, 2019 #1121}. Reducing ripple duration artificially causes a degraded working memory performance {Jadhav, 2012 #1135} and, on the contrary, prolongation has a beneficial effect {Fernández-Ruiz, 2019 #1121}. Ripple duration is directly proportional to ripple amplitude {Patel, 2013 #1133}, therefore, these results point at a specific role of stronger ripples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(Supplementary Figure 2B). Clear ripples were observed uniquely in the hippocampal formation (CA1, CA2, CA3, DG, SUB, ProS). Likewise, ripple-induced voltage deflections (RIVD, integral of the unfiltered LFP envelope) were also noticeably stronger in hippocampal areas (Supplementary Figure 2C-F). Ripple strength was noticeably irregular in single sessions both across time and space, even within the CA1 region (Supplementary Figure 2C).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mean lateral = 20.55 ± 2.04%,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strength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(medial = 74.73, lateral = 79.8, p-value = 3.56e-01, Mann-Whitney U test), we did, however, found differences in firing rate, waveform duration, and waveform shape (recovery slope and peak-through ratio, Supplementary Figure 11). Firing rate and waveform duration exhibited respectively a left- and right-shifted distribution in the lateral section, reflecting lower firing rate and slower action potentials.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Looking at units electrophysiological features we found some differences in the waveform shape and duration. We can hypothesize that slower action potentials and, consequentially, longer refractory periods hinder the ability to sustain protracted high frequency spiking. Accordingly, we found an increased firing rate and a smaller waveform duration in the septal pole. This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 0.015 s and &lt; 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and features calculations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