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either medial or lateral ripples. We found that clusters located in the thalamus (TH) and midbrain (MB) were hardly modulated (MB: 0.85 ± 0.71 %, TH: 0.0 ± 0.0 %), with baseline spiking rate explaining nearly all the variance in spiking rate during ripples (Figure 5A). Only a small fraction of cortical clusters were modulated (Isocortex: 5.26 ± 0.97 %), in contrast,  the majority of hippocampal (HPF) clusters showed ripple modulation (HPF: 88.57 ± 1.03 %). The relationship between baseline spiking and spiking during ripples was similar in medial and lateral ripples, accounting for most of the observed variability (Supplementary Figure 14). We found a modest difference in modulation of hippocampal clusters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clusters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 Additionally, we found that prior to the onset of ripples (20 ms window), medial ripples induced stronger modulation in ProS and SUB, weaker modulation in DG and substantially weaker modulation in CA3 when compared to lateral ripples (Figure 5E). In this window, the M-L position explained only a minimal proportion of the variance in ProS (0.1 %), SUB (2.91 %) and CA3 (0.92 %) but a substantial proportion in DG (9.15 %).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clusters that exhibited at least a two-fold modulation difference for either medial or lateral ripples (with absolute modulation of at least 50%). Our analysis revealed that the majority of clusters did not display a strong preference (84.29 %), whereas 10.4 % of clusters responded preferentially to lateral ripples and 5.31 % to medial ripples (Figure 5F). Interestingly, our analysis also revealed that these preferences for lateral or medial ripples varied considerably across hippocampal subfields, with striking differences observed between the different subfields. Specifically, DG exhibited the highest proportion (28.15 %) of neurons responsive to lateral ripples. In contrast, SUB displayed the highest proportion (11.68 %) of neurons responsive to medial ripples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 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medial ripples demonstrate stronger engagement of ProS and SUB subfields before ripple start,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Differences in ripple initiation and engagement patterns can provide valuable insights into the mechanisms that underlie the dynamics of the hippocampal network.  Gaining a better understanding of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0.1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Spiking rates were calculated as the mean between responses to lateral and medial ripples.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in hippocampal clusters. Dashed black line represents absence of difference and two-fold differences in both directions. Right: Pie chart representing hippocampal clusters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