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Only a small fraction of cortical neurons were modulated (Isocortex: 5.26 ± 0.97 %), in contrast,  the majority of hippocampal (HPF) neurons showed ripple modulation (HPF: 88.57 ± 1.03 %). In both cases the baseline spiking rate explained a big portion of the variance in spiking rate during ripples (Figure 5A).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(with absolute modulation of at least 50%).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before ripple start medial ripples demonstrate stronger engagement of ProS and SUB subfields,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as.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neurons.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