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and it remains an open question whether their propagation differ from common ripples.We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A substantial portion of the variance in strong ripple duration (R² = 0.463) is explained solely by the ripple generation point on the longitudinal axis. Our results suggest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tasks memory-demanding and during correct recalls {Fernández-Ruiz, 2019 #1121}.  Reducing ripple duration artificially causes degraded working memory performance {Jadhav, 2012 #1135}, on the contrary, prolongation has a beneficial effect {Fernández-Ruiz, 2019 #1121}. Ripple duration is directly proportional to ripple amplitude {Patel, 2013 #1133}, therefore, these results point at a specific role of long-duration/stronger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ripples subgroup.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gene expression as well exhibits both gradual and discrete transitions along the same axis {Vogel, 2020 #1151; Strange, 2014 #1158}, as a consequence, the hippocampus is considered to be functionally segmented. The different cortical connectivity contributes to explain the functional organization gradient between a predominantly spatio-visual (septal pole) and emotional (temporal pole) processing. Additionally, monoamine neuromodulators show stronger projections to ventral regions of the hippocampus. Ripples generated in the septal and temporal hippocampal pole has already been shown to be temporally independent and able to engage different neuron subpopulations downstream, even in the same brain area {Sosa, 2020 #1154}. Consequentially, an heterogeneous ripple generation chance along the longitudinal axis most probably has an impact on the frequency with which different downstream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were detected on the CA1 channel with the strongest ripple activity (n ripples = 120462).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with strong ripples generated rarely laterally to the reference point.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0.35648456988992505, Mann-Whitney U test), we did, however, found differences in firing rate, waveform duration, and waveform shape (recovery slope and peak-through ratio). Firing rate and waveform duration exhibited respectively a left- and right-shifted distribution in the lateral section, reflecting higher firing rate and shorter action potentials in the medial section.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one reported regarding propagation between opposite poles (~3.7%),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sizable chance of propagate longitudinally and still be in the top 10% in terms of ripple strength. Notably,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possible duration gradient along the longitudinal axis, the temporal hippocampus has been shown to produce shorter ripples both in awake and sleep conditions {Sosa, 2020 #1154}. </w:t>
        <w:br/>
        <w:t xml:space="preserve">What is the reason that enables the septal pole to generate longer ripples? There might for example be underlying electrophysiological differences between the septal and intermediate hippocampus. Looking at units features we found some differences in the waveform shape and duration. We can hypothesize that longer action potentials and, consequentially, longer refractory periods hinder the ability to sustain protracted high frequency spiking. Accordingly, we found an increased firing rate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Long duration ripples have been shown to be of particular importance in situations of high-memory demand {Fernández-Ruiz, 2019 #1121},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explain the specific role of septal hippocampus in memory tasks with its ability of generating particularly long ripples that are able to strongly engage networks in the entire top half of the hippocampal formation for an extended time.Ripples can be subdivided in different types according to the relationship between the hippocampal LFP and the ripple itself {Ramirez-Villegas, 2015 #1168}.Intriguingly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strong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