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extensively ripple propagation within the septal half of the hippocampal formation in an open access dataset provided by the Allen Institute. Surprisingly, strong ripples propagate differentially in the septal and temporal direction along the hippocampal longitudinal axis. The majority of strong ripples is always generated locally, however, the septal hippocampal pole is able to generate longer ripples that engage more neurons and elicit spiking activity for an extended time along the entire septal half of the hippocampal formation. Septally-generated ripples have therefore higher chances of retaining their strength while travelling within the hippocampus. A substantial portion of the variance in strong ripple duration (R² = 0.463) is explained solely by the ripple starting position on the longitudinal axis.  Our results suggest a possible distinctive role of the hippocampal septal pole in conditions of high memory demands.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tasks memory-demanding and during correct recalls {Fernández-Ruiz, 2019 #1121}.  Reducing ripple duration artificially causes degraded working memory performance {Jadhav, 2012 #1135}, on the contrary, prolongation has a beneficial effect {Fernández-Ruiz, 2019 #1121}. Ripple duration is directly proportional to ripple amplitude {Patel, 2013 #1133}, therefore, these results point at a specific role of long-duration/stronger ripples in situations of high mnemonic demand and are consistent with a possible power law distribution where a minority of ripples is responsible for a substantial part of memory requirements. It is therefore of interest to identify the possible electro-physiological peculiarities of this ripple subgroup.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Connectivity with cortical and sub-cortical areas varies  along the longitudinal axis of the hippocampus {Moser, 1998 #1149; Strange, 2014 #1158; Vogel, 2020 #1151; Fanselow, 2010 #1150}, the different cortical connectivity contributes to explain the functional organization gradient between a predominantly spatio-visual (septal pole) and emotional (temporal pole) processing. Additionally, monoamine neuromodulators show stronger projections to ventral regions of the hippocampus. Ripples generated in the septal and temporal hippocampal pole has already been shown to be temporally independent and able to engage different networks downstream {Sosa, 2020 #1154}. Consequentially, an inhomogeneous generation chance along the longitudinal axis might have an impact on the identity of the neurons contacted downstream by different ripples subgroups. Our work is based on the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was noticeably irregular in single sessions both across time and space, even between different CA1 locations (Supplementary Figure 2C). We focused on the variability in ∫Ripple across pairs of CA1 recording locations with clear ripple activity (n CA1 pairs = 303, n sessions = 46). Correlation of ∫Ripple across different CA1 regions was highly variable (Figure 1A-B-C) with a lower and upper quartiles of 0.66 and 0.87 (mean = 0.76, SEM = 0.01). Distance between recording location could explain the majority (57.6%) of this variability (Figure 1B) with the top and bottom quartiles of ∫Ripple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with strong ripples generated rarely laterally to the reference point.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0.35648456988992505, Mann-Whitney U test), we did, however, found differences in firing rate, waveform duration, and waveform shape (recovery slope and peak-through ratio). Firing rate and waveform duration exhibited respectively a left- and right-shifted distribution in the lateral section, reflecting higher firing rate and shorter action potentials in the medial section.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work shows for the first time that strong ripples propagate differentially along the hippocampal longitudinal axis. This propagation idiosyncrasy can be explained by a specific ability of the hippocampal septal (medial) pole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power correlation confirming a previous study {Nitzan, 2022 #1157}: we observed a strong effect of spatial distance on ripple power correlation confirming a previous study {Nitzan, 2022 #1157}: the power correlation, predictably, was higher in CA1 pairs closer to each other. The effect of distance was also apparent on the ripple chance of propagation, only half of the ripples generated in the septal pole were detected additionally in the intermediate hippocampus (corresponding to the lateral section in our analysis). This chance is much higher compared to the one reported regarding propagation between opposite poles (~3.7%), it would be interesting to understand whether the temporal pole is also able to entrain the intermediate hippocampus in similar fashion or it is a peculiarity of the septal pole. Notably, the dataset we employed is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generation followed a gradient with higher likelihood in the intermediate section and lowest in the septal pole. Strong ripples, on the other hand, are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sizable chance of propagate longitudinally and still be in the top 10% in terms of ripple strength. Ripples generated in the septal pole and in the intermediate hippocampus have a significantly different ability of engaging the hippocampal networks in the 50-120 ms window post ripple start, ripples generated in the septal pole activate more neurons, both excitatory and inhibitory, and, moreover, can elicit an higher spiking rate per neuron. This is reflected by the fact that the position on the longitudinal axis explains 13.3% and 46.3% of the variability in ripple duration in common and strong ripples respectively. Consistently, the temporal hippocampus has been shown to produce shorter ripples booth in awake and sleep {Sosa, 2020 #1154}. Long duration ripples has been shown to be of particular importance in situations of high-memory demand {Fernández-Ruiz, 2019 #1121}, previous studies highlighted the role of septal hippocampus in memory tasks and information processing {Hock, 1998 #1122;Moser, 1993 #1123;Moser, 1995 #1124;Steffenach, 2005 #1128;Kheirbek, 2013 #1126;McGlinchey, 2018 #1125;Fanselow, 2010 #1129;Maras, 2014 #1130;Bradfield, 2020 #1131;Qin, 2020 #1132}.Ripple generation seems to be homogeneous across the hippocampal longitudinal axis {Patel, 2013 #1133}. Our results can explain the specific role of septal hippocampus in memory tasks with its ability of generating particularly long ripples that are able to strongly engage networks in the entire top half of the hippocampal formation for an extended time. What is the reason that enables the septal pole to generate longer ripples? There might for example be underlying electrophysiological differences between the septal and intermediate hippocampus. Looking at units features we found some differences in the waveform shape and duration. We can hypothesize that longer action potentials and, consequentially, longer refractory periods hinder the ability to sustain protracted high frequency spiking. Accordingly, we found an increased firing rate in the septal pole. This might contribute to explain the prolonged ripples observed in the septal pole. We can also speculate that the neuromodulatory inputs gradient, monoamine fibers have been shown to be stronger in the ventral part {Strange, 2014 #1105},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Ripples can be subdivided in different types according to the relationship between the hippocampal LFP and the ripple itself {Ramirez-Villegas, 2015 #1168}.Intriguingly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#1129} we hypothesize that ripple generated at different points of the hippocampal longitudinal axis might as well have functional differences, with the strong ripples generated septally possibly able to combine the different kind of informations processed in the distinct hippocampal sections and further relaying the integrated information back to the neocortex in accordance with the two-stage memory hypothesis {Diekelmann, 2010 #1172; Marr, 1971 #1173;Buzsáki, 1989 #1174; Rasch, 2007 #1175; McClelland, 1995 #1176}.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