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extensively ripple propagation within the septal half of the hippocampal formation in an open access dataset provided by the Allen Institute. Surprisingly, strong ripples propagate differentially in the septal and temporal direction along the hippocampal longitudinal axis. Most strong ripples are always generated locally, however,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A substantial portion of the variance in strong ripple duration (R² = 0.463) is explained solely by the ripple generation point on the longitudinal axis.  Our results suggest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It is therefore of interest to identify the possible electro-physiological peculiarities of this ripple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Connectivity with cortical and sub-cortical areas varies  along the longitudinal axis of the hippocampus {Moser, 1998 #1149; Strange, 2014 #1158; Vogel, 2020 #1151; Fanselow, 2010 #1150},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networks downstream {Sosa, 2020 #1154}. Consequentially, an inhomogeneous generation chance along the longitudinal axis might have an impact on the identity of the neurons contacted downstream by different ripples subgroups. Our work is based on the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propagate differentially along the hippocampal longitudinal axis. This propagation idiosyncrasy can be explained by a specific ability of the hippocampal septal (medial)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we observed a strong effect of spatial distance on ripple power correlation confirming a previous study {Nitzan, 2022 #1157}: the power correlation, predictably, was higher in CA1 pairs closer to each other. The effect of distance was also apparent on the ripple chance of propagation, only half of the ripples generated in the septal pole were detected additionally in the intermediate hippocampus (corresponding to the lateral section in our analysis). This chance is much higher compared to the one reported regarding propagation between opposite poles (~3.7%), it would be interesting to understand whether the temporal pole is also able to entrain the intermediate hippocampus in similar fashion or it is a peculiarity of the septal pole. Notably, the dataset we employed is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generation followed a gradient with higher likelihood in the intermediate section and lowest in the septal pole. Strong ripples, on the other hand, are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Ripples generated in the septal pole and in the intermediate hippocampus have a significantly different ability of engaging the hippocampal networks in the 50-120 ms window post ripple start, ripples generated in the septal pole activate more neurons, both excitatory and inhibitory, and, moreover, can elicit an higher spiking rate per neuron. This is reflected by the fact that the position on the longitudinal axis explains 13.3% and 46.3% of the variability in ripple duration in common and strong ripples respectively. Consistently, the temporal hippocampus has been shown to produce shorter ripples booth in awake and sleep {Sosa, 2020 #1154}. Long duration ripples has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#1129;Maras, 2014 #1130;Bradfield, 2020 #1131;Qin, 2020 #1132}.Ripple generation seems to be homogeneous across the hippocampal longitudinal axis {Patel, 2013 #1133}. Our results can explain the specific role of septal hippocampus in memory tasks with its ability of generating particularly long ripples that are able to strongly engage networks in the entire top half of the hippocampal formation for an extended time. What is the reason that enables the septal pole to generate longer ripples? There might for example be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#1105},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#1129} we hypothesize that ripple generated at different points of the hippocampal longitudinal axis might as well have functional differences, with the strong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