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r    0.8715</w:t>
        <w:br/>
        <w:t xml:space="preserve">dtype: float64 ± r    0.0047</w:t>
        <w:br/>
        <w:t xml:space="preserve">dtype: float64, Supplementary Figure 2). Notably ripple strength correlates significantly better with the hippocampal population spiking rate on a ripple-to-ripple basis compared to ripple duration alone ((p = 4.31e-11), Supplementary Figure 3).Clear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medio-lateral (M-L) axis, as no such gradient was observed (R² = 0.0012, Supplementary Figure 8). Curiously, ripple amplitude showed a weak trend in the opposite direction (r = 0.25, p-value = 7.21e-04),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13).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