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septal half of the hippocampal formation in an open access dataset provided by the Allen Institute. Surprisingly, strong ripples propagate differentially in the septal and temporal direction along the hippocampal longitudinal axis. The septal hippocampal pole is able to generate longer ripples that engage more neurons and elicit spiking activity for an extended time along the entire septal half of the hippocampal formation. Ripples generated septally have therefore higher chances of retaining their strength while travelling within the hippocampus. Moreover, a substantial portion of the variance in strong ripple duration (R² = 0.463) is explained solely by the ripple generation point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memory-demanding tasks and during correct recalls {Fernández-Ruiz, 2019 #1121}. Reducing ripple duration artificially causes a degraded working memory performance {Jadhav, 2012 #1135} and, on the contrary, prolongation has a beneficial effect {Fernández-Ruiz, 2019 #1121}. Ripple duration is directly proportional to ripple amplitude {Patel, 2013 #1133}, therefore, these results point at a specific role of 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(Supplementary Figure 2B). Clear ripples were observed uniquely in the hippocampal formation (CA1, CA2, CA3, DG, SUB, ProS). Likewise, ripple-induced voltage deflections (RIVD, integral of the unfiltered LFP envelope) were also noticeably stronger in hippocampal areas (Supplementary Figure 2C-F). Ripple strength was noticeably irregular in single sessions both across time and space, even within the CA1 region (Supplementary Figure 2C).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strength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Supplementary Figure 11). Firing rate and waveform duration exhibited respectively a left- and right-shifted distribution in the lateral section, reflecting lower firing rate and slower action potentials.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therefore we could not answer this question.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likelihood in the intermediate section and lowest in the septal pole. Strong ripples, on the other hand, are generated mostly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