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spiking rate modulation of different hippocampal subfields, even before the onset of the ripple. This finding suggests that ripple generation location plays a crucial role in shaping the neural activity across the hippocampus.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CA1 subfield (medial = 74.16, lateral = 69.66, p-value = 9.48e-01, Mann-Whitney U test), we did, however, found differences in firing rate, waveform duration, and waveform shape (recovery slope and peak-through ratio, Supplementary Figure 13) in putative excitatory neurons. Firing rate and waveform duration in putative excitatory neurons exhibited respectively a left- and right-shifted distribution in the lateral section, reflecting lower firing rate and slower action potentials. Putative inhibitory interneurons in the lateral section showed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ripples. We found that clusters located in the thalamus (TH) and midbrain (MB) were hardly modulated (MB: 0.85 ± 0.71 %, TH: 0.0 ± 0.0 %), with baseline spiking rate explaining nearly all the variance in spiking rate during ripples. Only a small fraction of cortical neurons were modulated (Isocortex: 5.26 ± 0.97 %), in contrast,  the majority of hippocampal (HPF) neurons showed ripple modulation (HPF: 88.57 ± 1.03 %). In both cases the baseline spiking rate explained a big portion of the variance in spiking rate during ripples (Figure 5A). The relationship between baseline spiking and spiking during ripples was similar in medial and lateral ripples, accounting for most of the observed variability (Supplementary Figure 14). We found a modest difference in modulation of hippocampal neurons by medial and lateral ripples within a 120 ms window after the start of the ripple event (Figure 5B). A stronger effect was observed when isolating early and late phase. For example, in the 50-120 ms window medial ripples showed a notably stronger modulatory effect (Supplementary Figure 15A). Significant differences were also observed in cortical neurons and in TH, with medial ripples inducing stronger modulation (Supplementary Figure 15B). It is worth noting that the magnitude of this modulation is much smaller compared to the modulation observed in HPF. Clusters in the cortex that were modulated (by at least 25%, n=123/1240) by medial and lateral ripples were generally found in deeper layers, 32 clusters were modulated only by medial ripples and 25 only by lateral ripples (Supplementary Figure 16). To understand the mechanism underlying the differences in modulation between medial and lateral ripples we focused on the early (0-50 ms) and late ripple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 We observed that during the early and late phases, the M-L position explained a substantial proportion of the variance in modulation in CA1 (early: 14.51 %, late: 20.8 %), but only a small proportion in CA3 (early: 1.39 %, late: 0.28 %) ProS (late: 4.05 %) and SUB (early: 1.47 %, late: 0.13 %). In the DG subfield, the situation was mixed, with a notably greater impact of M-L position observed during the late phase (early: 3.23 %, late: 11.39 %). Additionally, we found that prior to the onset of ripples, medial ripples induced stronger modulation in ProS and SUB, weaker modulation in DG and substantially weaker modulation in CA3 when compared to lateral ripples (Figure 5E). In this window, the M-L position explained only a minimal proportion of the variance in ProS (0.1 %), SUB (2.91 %) and CA3 (0.92 %) but a substantial proportion in DG (9.15 %). In both the early and late ripple phases, medial ripples elicited significantly more modulation across multiple cortical regions (Supplementary Figure 17). This effect was also observed before the onset of ripples (Supplementary Figure 18). Furthermore, we investigated whether neurons exhibit a preference for medial or lateral ripples. To address this question, we identified neurons that exhibited at least a two-fold modulation difference for either medial or lateral ripples (with absolute modulation of at least 50%). Our analysis revealed that the majority of neurons did not display a strong preference (84.29 %), whereas 10.4 % of neurons responded preferentially to lateral ripples and 5.31 % to medial ripples (Figure 5F). Hippocampal subfield, however, exhibited striking differences, specifically, SUB had a small proportion of neurons exhibiting a preference for medial ripples, while DG exhibited the opposite pattern (Supplementary Figure 19).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these functional differences can be observed even before the onset of ripples. Our analysis revealed that DG, CA1, and CA3 subfields of the hippocampus were more strongly engaged during the early phasein response to medial ripples, the opposite was true for SUB. In the late phase, all subfields, including ProS, showed stronger modulation in response to medial ripples. Moreover, the analysis of pre-ripple activity showed that ProS and SUB exhibited stronger modulation in response to medial ripples, while DG and, especially, CA3 displayed weaker modulation compared to lateral ripples.  These results indicate that CA3 may play a more critical role in initiating lateral ripples, in accordance  with the traditional view that CA3 is the primary generator of ripples {Buzsáki, 1986 #1196, Buzsáki, 1989 #1197, Csicsvari, 2000 #1195}. On the other hand, before ripple start medial ripples demonstrate stronger engagement of ProS and SUB subfields, supporting the more recent hypothesis that output structures in the hippocampus are also capable of generating ripples {Imbrosci, 2021 #1194}. The subicular complex has been suggested to play a role in the transfer of information from the hippocampus to other brain regions, such as the cortex {Aggleton, 2015 #1199, Naber, 1998 #1200}. It is possible that the weaker engagement of the subiculum during lateral ripples may reflect a more localized processing of information within the hippocampus, while the stronger engagement of the subiculum during medial ripples may reflect a more global transfer of information to other brain regions, as. These functional differences may have important implications for our understanding of hippocampal network dynamics and their contribution to memory processing. The fact that different subfields are preferentially engaged during different types of ripples suggests that different ripple patterns may play distinct roles in memory processing. These differences in ripple initiation and engagement patterns provide insights into the underlying mechanisms of hippocampal network dynamics and their potential role in memory processing. Understanding these differences may shed light on the functional significance of ripples in the brain and their role in memory consolidation and retrieval. </w:t>
        <w:br/>
        <w:t xml:space="preserve"/>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of head-fixed recordings in awake mice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Each recording session had a length of ~3 hour. In each experiment a series of visual stimuli were presented in front of the animal (gabors, drifting gratings, static gratings, natural images, movies, flashes). Mice did not undergo any training associated with these stimuli.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electrophisiological features calculations and ripple modulation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Ripple modulation was calculated only for sessions with at least one recording in both the lateral and medial section (n=24) and only in clusters with firing rate &gt; presence_ratio_thr spikes/s. Ripple modulation was calculated as ('ripple spiking rate' - 'baseline spiking rate') / 'baseline spiking rate'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CLES=commn-language effect size.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Errorbar represents the standard error of the mean. Wilcoxon signed-rank test or Student's t-test (if normality established). (E) Ripple modulation in response to lateral and medial ripples before ripple start (20 ms).  Errorbar represents the standard error of the mean. Wilcoxon signed-rank test or Student's t-test (if normality established). (F) Left: Relationship between modulation by lateral and medial ripples. Dashed black line represents absence of difference and two-fold differences in both directions. Right: Pie chart representing hippocampal neurons preference in ripple engagement.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