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ripples. We found that clusters located in the thalamus (TH) and midbrain (MB) were hardly modulated (MB: 0.85 ± 0.71 %, TH: 0.0 ± 0.0 %), with baseline spiking rate explaining nearly all the variance in spiking rate during ripples. Only a small fraction of cortical neurons were modulated (Isocortex: 5.26 ± 0.97 %), in contrast,  the majority of hippocampal (HPF) neurons showed ripple modulation (HPF: 88.57 ± 1.03 %). In both cases the baseline spiking rate explained a big portion of the variance in spiking rate during ripples (Figure 5A). The relationship between baseline spiking and spiking during ripples was similar in medial and lateral ripples, accounting for most of the observed variability (Supplementary Figure 14). We found a modest difference in modulation of hippocampal neurons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neurons and in TH, with medial ripples inducing stronger modulation (Supplementary Figure 15B). It is worth noting that the magnitude of this modulation is much smaller compared to the modulation observed in HPF. Clusters in the cortex that were modulated (by at least 25%, n=123/1240) by medial and lateral ripples were generally found in deeper layers, 32 clusters were modulated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 Additionally, we found that prior to the onset of ripples, medial ripples induced stronger modulation in ProS and SUB, weaker modulation in DG and substantially weaker modulation in CA3 when compared to lateral ripples (Figure 5E). In this window, the M-L position explained only a minimal proportion of the variance in ProS (0.1 %), SUB (2.91 %) and CA3 (0.92 %) but a substantial proportion in DG (9.15 %). In both the early and late ripple phases, medial ripples elicited significantly more modulation across multiple cortical regions (Supplementary Figure 17).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(with absolute modulation of at least 50%).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small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even before the onset of ripples, these functional differences can be observed. Our analysis revealed that the dentate gyrus (DG), CA1, and CA3 subfields of the hippocampus were more strongly engaged during the early phase of ripples in comparison to the subiculum (SUB). In the late phase, all subfields, including the prosubiculum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before ripple start medial ripples demonstrate stronger engagement of ProS and SUB subfields,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presence_ratio_thr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