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septal half of the hippocampal formation in an open access dataset provided by the Allen Institute. Surprisingly, strong ripples propagate differentially in the septal and temporal direction along the hippocampal longitudinal axis.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Moreover, a substantial portion of the variance in strong ripple duration (R² = 0.463) is explained solely by the ripple generation point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memory-demanding tasks and during correct recalls {Fernández-Ruiz, 2019 #1121}. Reducing ripple duration artificially causes a degraded working memory performance {Jadhav, 2012 #1135} and, on the contrary, prolongation has a beneficial effect {Fernández-Ruiz, 2019 #1121}. Ripple duration is directly proportional to ripple amplitude {Patel, 2013 #1133}, therefore, these results point at a specific role of 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integral of the unfiltered LFP envelope)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11).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therefore we could not answer this question.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