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modulation of individual neurons in different hippocampal subfields, even before the onset of the ripple. This finding suggests that the ripple generation location plays a crucial role in shaping the neural activity in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entire hippocampal formation (medial = 74.73, lateral = 79.8, p-value = 3.56e-01, Mann-Whitney U test), we did, however, found differences in firing rate, waveform duration, and waveform shape (recovery slope and peak-through ratio, Supplementary Figure 13). Firing rate and waveform duration in putative excitatory neurons exhibited respectively a left- and right-shifted distribution in the lateral section, reflecting lower firing rate and slower action potentials. Putative inhibitory interneurons in the lateral section showed both a slower action potential and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0.8499999999999943 ± 0.59 %, TH: 0.0 ± 0.0 %), with baseline spiking rate explaining nearly all the variance in spiking rate during ripples. In contrast, only a small fraction of cortical neurons were modulated (Isocortex: 5.26 ± 0.97 %))  while the majority of hippocampal (HPF) neurons showed ripple modulation. In both cases the baseline spiking rate explained a big portion of the variance in spiking rate during ripples (Figure 5A).(HPF: 88.57 ± 1.03 %). Neurons in the cortex that were both modulated by medial and lateral ripples were generally found in deeper layers, whereas neurons modulated more strongly by medial ripples were also found in more superficial layers. Only a small number of cortical neurons exhibited greater engagement in association with lateral ripples (Supplementary Figure 14).  The relationship between baseline spiking and spiking during ripples was similar in medial and lateral ripples (Supplementary Figure 15). This similarity accounted for most of the variability observed in all cases. There was a significant difference in modulation of hippocampal neurons by medial and lateral ripples within a 120 ms window after the start of the ripple event. However, the effect size was modest. A stronger effect was observed in the 50-120 ms window, here medial ripples had a notably stronger modulatory effect (Supplementary Figure 16A). Significant differences were also observed in cortical neurons and in TH, with medial ripples inducing stronger modulation (Supplementary Figure 16B). To understand the mechanism underlying these differences between medial and lateral ripples we focused on modulation in the early (0-50 ms) and late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subfields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11.39 %).Additionally, we found that prior to the onset of ripples, medial ripples induced stronger modulation in ProS and SUB, and weaker modulation in CA3 and DG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stronger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negligible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While the M-L position did explain some of the variance in modulation in certain subfields, such as CA1 and DG, it only accounted for a small proportion of the variance in others, like CA3 and SUB.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Wilcoxon signed-rank test or Student's t-test (if normality established). (E) Ripple modulation in response to lateral and medial ripples before ripple start (20 ms).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