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clusters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15.91 %, late: 20.77 %), but only a small proportion in CA3 (early: 0.48 %, late: 0.34 %), ProS (late: 4.03 %) and SUB (early: 2.55 %, late: 0.54 %). In the DG subfield, the situation was mixed, with a notably greater impact of M-L position observed during the late phase (early: 0.76 %, late: 10.93 %).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(0.14 %), SUB (2.65 %) and CA3 (0.81 %) but a substantial proportion in DG (8.68 %).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