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Spatial coordinates of all recorded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Correlation between ripple duration and strength per session.</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Red line represents linear regression with confidence interval of 95% estimated via bootstrap. *** means p &lt; 0.0005.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Comparison between correlation of ripple strength and duration with underlying spiking.</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Ripple strength correlates significantly better with the underlying ripple spiking activity. * means p &lt; 0.0005.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 (C)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Hippocampal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Variance explained between 3D distances and distance on each spatial axis across CA1 recording locations. (B) Histogram showing the three sections across the M-L axis, the hippocampus was divided in order to have an equal number of recordings in each section. (C)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Spatio-temporal lag maps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Spatio-temporal profiles are symmetrical, strong indication of similar propagation speed regardless of seed position. (A)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Grand average of the differences between medial and lateral ripples induced spiking activity in putative excitatory (left) and inhibitory neurons (right). Putative excitatory and inhibitory neurons show similiar spiking patterns in lateral and medial ripples. (B) Grand average of the differences between common and strong ripples induced spiking activity in medial (left) and lateral ripples (right). Strong ripples are not associated with more spiking activity in the early phase post ripple start (0-50 ms).(C) Grand average of the differences between medial and lateral ripples induced spiking activity in common (left) and strong ripples (right). Strong ripples are associated with considerable differences between medial and lateral ripples.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&lt; 0.05, Student's t-test.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12. Spiking rate and fraction of active neurons are increased in the late phase post-ripple 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 &lt; 0.05, ANOVA with pairwise Tukey post-hoc test. (B) Fraction of active neurons per ripple in early (left) and late (right) phase post-ripple start grouped by ripple seed location and putative neuron identity. Asterisks mean p &lt; 0.05, ANOVA with pairwise Tukey post-hoc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13. Units features in medial and lateral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Kernel density estimate plot of waveform duration (p-value=5.50e-05), firing rate (p-value=6.17e-18), waveform amplitude (p-value=1.69e-02), waveform repolarization slope (p-value=6.71e-02), waveform recovery slope (p-value=1.77e-02) and waveform peak-through ratio (p-value=1.89e-01) grouped by hippocampal section.Asterisks mean p&lt;0.05, Mann-Whitney U test. (B) Cumulative distribution plot of waveform duration (p-value=4.37e-04), firing rate (p-value=5.25e-14), waveform amplitude (p-value=1.26e-01), waveform repolarization slope (p-value=1.27e-01), waveform recovery slope (p-value=1.73e-02) and waveform peak-through ratio (p-value=1.66e-01) grouped by hippocampal section.Asterisks mean p &lt; 0.05, Kolgomorov-Smirnov test.(C) Kernel density estimate plot of waveform duration (p-value=8.18e-78), firing rate (p-value=1.29e-09), waveform amplitude (p-value=2.91e-02), waveform repolarization slope (p-value=1.95e-01), waveform recovery slope (p-value=1.51e-16) and waveform peak-through ratio (p-value=1.18e-08) grouped by hippocampal section.Asterisks mean p&lt;0.05, Mann-Whitney U test. (D) Cumulative distribution plot of waveform duration (p-value=5.92e-100), firing rate (p-value=1.74e-06), waveform amplitude (p-value=1.61e-03), waveform repolarization slope (p-value=1.44e-02), waveform recovery slope (p-value=1.19e-14) and waveform peak-through ratio (p-value=2.10e-08) grouped by hippocampal section.Asterisks mean p &lt; 0.05, Kolgomorov-Smirnov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14. Cortical clusters showing ripple engagement</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In pink clusters showing medial ripples engagement, in purple clusters showing lateral ripples engagement and in red clusters showing engagement both in medial and lateral ripples.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15. Cortical clusters showing ripple engagement</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Relationship between baseline (120 ms before ripple start) and medial ripple (0-120 ms) firing rate for clusters recorded in  HPF, Isocortex, MB and TH. Dashed black line represents absence of any influence, dashed red line represents a 50% increased spiking rate. (B) Relationship between baseline (120 ms before ripple start) and lateral ripple (0-120 ms) firing rate for clusters recorded in  HPF, Isocortex, MB and TH. Dashed black line represents absence of any influence, dashed red line represents a 50% increased spiking rate.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16. 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Left: Early (0-50 ms) ripple modulation of hippocampal clusters in response to lateral and medial ripples. Dashed black line represents absence of any influence, dashed red line represents a 50% increased spiking rate. Wilcoxon signed-rank test. Right: Late (50-120 ms) ripple modulation of hippocampal clusters in response to lateral and medial ripples. Dashed black line represents absence of any influence, dashed red line represents a 50% increased spiking rate. Wilcoxon signed-rank test. (B) Ripple modulation of cortical (left), MB (middle) and TH (right) clusters in response to lateral and medial ripples. Dashed black line represents absence of any influence, dashed red line represents a 50% increased spiking rate. Wilcoxon signed-rank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17. 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Ripple modulation in response to lateral and medial ripples during the early  ripple phase in cortical (top), MB (middle) and TH (bottom) clusters. Wilcoxon signed-rank test or Student's t-test (if normality established). (B) Ripple modulation in response to lateral and medial ripples during the late  ripple phase in cortical (top), MB (middle) and TH (bottom) clusters. Wilcoxon signed-rank test or Student's t-test (if normality established).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18. Pre-ripple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Pre-ripple modulation in response to lateral and medial ripples during the early  ripple phase in cortical clusters. Wilcoxon signed-rank test or Student's t-test (if normality established). (B) Ripple modulation in response to lateral and medial ripples during the late  ripple phase in MB clusters. Wilcoxon signed-rank test or Student's t-test (if normality established). (C) Ripple modulation in response to lateral and medial ripples during the late  ripple phase in TH clusters. Wilcoxon signed-rank test or Student's t-test (if normality established).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19. Clusters preference in ripple engagement by hippocampal subfields.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Preference in ripple engagement in CA1, CA3, DG, ProS and SUB.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