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Correlation between ripple duration and strength per session.</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Comparison between correlation of ripple strength and duration with underlying spiking.</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12.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13.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p&lt;0.05, Mann-Whitney U test. (B)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 &lt; 0.05, Kolgomorov-Smirnov test.(C)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p&lt;0.05, Mann-Whitney U test. (D)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 &lt; 0.05, Kolgomorov-Smirnov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14. Spiking rate modulation in medial and lateral ripples across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Relationship between baseline (120 ms before ripple start) and medial ripple (0-50 ms) firing rate for clusters recorded in  HPF, Isocortex, MB and TH. In the Isocortex and MB plot we excluded the minority of neurons showing modulation &gt;50% in response to either lateral or medial ripples(grey dots). Dashed black line represents absence of any influence, dashed red line represents a 50% increased spiking rate. (B) Relationship between baseline (120 ms before ripple start) and lateral ripple (0-50 ms) firing rate for clusters recorded in  HPF, Isocortex, MB and TH. In the Isocortex and MB plot we excluded the minority of neurons showing modulation &gt;50% in response to either lateral or medial ripples (grey dots). Dashed black line represents absence of any influence, dashed red line represents a 50% increased spiking rate.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15.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(B) Ripple modulation of cortical (left), MB (middle) and TH (right) clusters in response to lateral and medial ripples. Dashed black line represents absence of any influence, dashed red line represents a 50% increased spiking rate. Wilcoxon signed-rank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16. Cortical clusters showing ripple engagement</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In pink clusters showing medial ripples engagement, in purple clusters showing lateral ripples engagement and in red clusters showing engagement both in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17.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(B) Ripple modulation in response to lateral and medial ripples during the late  ripple phase in cortical (top), MB (middle) and TH (bottom)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18. Pre-ripple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(B) Ripple modulation in response to lateral and medial ripples during the late  ripple phase in MB clusters. Wilcoxon signed-rank test or Student's t-test (if normality established). (C) Ripple modulation in response to lateral and medial ripples during the late  ripple phase in TH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19. Clusters preference in ripple engagement by hippocampal subfields.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Preference in ripple engagement in CA1, CA3, DG, ProS and SUB.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