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Correlation between ripple duration and strength per session.</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Red line represents linear regression with confidence interval of 95% estimated via bootstrap.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Comparison between correlation of ripple strength and duration with underlying spiking.</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Ripple strength correlates significantly better with the underlying ripple spiking activity.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Variance explained between 3D distances and distance on each spatial axis across CA1 recording locations. (B) Histogram showing the three sections across the M-L axis, the hippocampus was divided in order to have an equal number of recordings in each section. (C)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Spatio-temporal profiles are symmetrical, strong indication of similar propagation speed regardless of seed position. (A)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Grand average of the differences between medial and lateral ripples induced spiking activity in putative excitatory (left) and inhibitory neurons (right). Putative excitatory and inhibitory neurons show similiar spiking patterns in lateral and medial ripples. (B) Grand average of the differences between common and strong ripples induced spiking activity in medial (left) and lateral ripples (right). Strong ripples are not associated with more spiking activity in the early phase post ripple start (0-50 ms).(C) Grand average of the differences between medial and lateral ripples induced spiking activity in common (left) and strong ripples (right). Strong ripples are associated with considerable differences between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12.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13.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(p-value=5.50e-05), firing rate (p-value=6.17e-18), waveform amplitude (p-value=1.69e-02), waveform repolarization slope (p-value=6.71e-02), waveform recovery slope (p-value=1.77e-02) and waveform peak-through ratio (p-value=1.89e-01) grouped by hippocampal section.Asterisks mean p&lt;0.05, Mann-Whitney U test. (B) Cumulative distribution plot of waveform duration (p-value=4.37e-04), firing rate (p-value=5.25e-14), waveform amplitude (p-value=1.26e-01), waveform repolarization slope (p-value=1.27e-01), waveform recovery slope (p-value=1.73e-02) and waveform peak-through ratio (p-value=1.66e-01) grouped by hippocampal section.Asterisks mean p &lt; 0.05, Kolgomorov-Smirnov test.(C) Kernel density estimate plot of waveform duration (p-value=8.18e-78), firing rate (p-value=1.29e-09), waveform amplitude (p-value=2.91e-02), waveform repolarization slope (p-value=1.95e-01), waveform recovery slope (p-value=1.51e-16) and waveform peak-through ratio (p-value=1.18e-08) grouped by hippocampal section.Asterisks mean p&lt;0.05, Mann-Whitney U test. (D) Cumulative distribution plot of waveform duration (p-value=5.92e-100), firing rate (p-value=1.74e-06), waveform amplitude (p-value=1.61e-03), waveform repolarization slope (p-value=1.44e-02), waveform recovery slope (p-value=1.19e-14) and waveform peak-through ratio (p-value=2.10e-08) grouped by hippocampal section.Asterisks mean p &lt; 0.05, Kolgomorov-Smirnov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14. Spiking rate modulation in medial and lateral ripples across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Relationship between baseline (120 ms before ripple start) and medial ripple (0-50 ms) firing rate for clusters recorded in  HPF, Isocortex, MB and TH. In the Isocortex and MB plot we excluded the minority of clusters showing modulation &gt;50% in response to either lateral or medial ripples(grey dots). Dashed black line represents absence of any influence, dashed red line represents a 50% increased spiking rate. (B) Relationship between baseline (120 ms before ripple start) and lateral ripple (0-50 ms) firing rate for clusters recorded in  HPF, Isocortex, MB and TH. In the Isocortex and MB plot we excluded the minority of clusters showing modulation &gt;50% in response to either lateral or medial ripples (grey dots). Dashed black line represents absence of any influence, dashed red line represents a 50% increased spiking rate.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15. 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Left: Early (0-50 ms) ripple modulation of hippocampal clusters in response to lateral and medial ripples. Dashed black line represents absence of any influence, dashed red line represents a 50% increased spiking rate. Wilcoxon signed-rank test. Right: Late (50-120 ms) ripple modulation of hippocampal clusters in response to lateral and medial ripples. Dashed black line represents absence of any influence, dashed red line represents a 50% increased spiking rate. Wilcoxon signed-rank test. (B) Ripple modulation of cortical (left), MB (middle) and TH (right) clusters in response to lateral and medial ripples. Dashed black line represents absence of any influence, dashed red line represents a 50% increased spiking rate. Wilcoxon signed-rank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16. Cortical clusters showing ripple engagement</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In pink clusters showing medial ripples engagement, in purple clusters showing lateral ripples engagement and in red clusters showing engagement both in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17. 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Ripple modulation in response to lateral and medial ripples during the early  ripple phase in cortical (top), MB (middle) and TH (bottom) clusters. Wilcoxon signed-rank test or Student's t-test (if normality established). (B) Ripple modulation in response to lateral and medial ripples during the late  ripple phase in cortical (top), MB (middle) and TH (bottom)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18. Pre-ripple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Pre-ripple modulation in response to lateral and medial ripples during the early  ripple phase in cortical clusters. Wilcoxon signed-rank test or Student's t-test (if normality established). (B) Ripple modulation in response to lateral and medial ripples during the late  ripple phase in MB clusters. Wilcoxon signed-rank test or Student's t-test (if normality established). (C) Ripple modulation in response to lateral and medial ripples during the late  ripple phase in TH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19. Clusters preference in ripple engagement by hippocampal subfields.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Preference in ripple engagement in CA1, CA3, DG, ProS and SUB.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