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≈7% of the totality of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scalability and depth of profiling, enabling detailed mapping of each Htr's trancription patterns. Such precision enhances our understanding of 5-HT´s functions, setting the stage for more accurate and nuanced insights into its impact on neural circuits. To elucidate the complexities of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passing quality control. The 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36.54%. Reflecting the correlation analysis, the confusion matrix showed that Sero and Chol were among the groups with higher true positive (TP) rate (Sero=80.82%, Chol=42.82%). Cells not transcribing any neurotranmitter, not exhibiting a low r beforehand, were, nonetheless, identified even more successfully (81.14%). Moreover, Noradrenaline (Nora) and glycine (GABA-Glyc) releasing neurons were identified at considerable levels (Nora=45.16% and GABA-Glyc=49.41%).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51.84%. The model could differentiate best the NN-IMN-GC, TH-EPI-Glut and Pallium-Glut groups (NN-IMN-GC=73.86%, TH-EPI-Glut=66.05% and Pallium-Glut=57.19%,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6 groups could be identified with a TP rate &gt;40%: 04 DG-IMN Glut, 05 OB-IMN GABA, 09 CNU-LGE GABA, 18 TH Glut, 22 MB-HB Sero, and 25 Pineal Glut (Supplementary Figure 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13.45%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online visualizer, 'Overview genes by class'). To pinpoint the spatial location, we first identified in the 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of this receptor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receptors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(Supplementary Figure 11c).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online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hosted on Github at https://github.com/RobertoDF/Transcriptomics-5-HT. 'Figure_1.ipynb' and 'Figure_2.ipynb' notebooks reproduce all figures contained in the paper.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accessible online on the Hugging Face portal  .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