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Corresponding author and lead contact: </w:t>
      </w:r>
      <w:r>
        <w:rPr>
          <w:rFonts w:ascii="Helvetica Neue" w:hAnsi="Helvetica Neue" w:asciiTheme="minorHAnsi" w:hAnsiTheme="minorHAnsi"/>
          <w:sz w:val="21"/>
          <w:szCs w:val="21"/>
        </w:rPr>
        <w:t xml:space="preserve">roberto.de-filippo@bccn-berlin.de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regulation{Dayan, 2009 #1401}, memory{Teixeira, 2018 #924}, sleep{Oikonomou, 2019 #347}, feeding{Lee, 2010 #1406} and decision-making{Homberg, 2012 #1407}. This broad spectrum of influence is remarkably orchestrated by a limited number of 5-HT releasing neurons located in the raphe nuclei, which extend their projections across the entire brain{Descarries, 2010 #937}. The intricacy of the 5-HT system is amplified by the extensive repertoire of Htrs, most of them metabotropic receptors linked to different intracellular pathways, resulting in varied and sometimes opposing effects on neuronal excitability{Marin,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question{Vilaró, 2020 #2939; Hawrylycz, 2012 #2940}. These methodologies have provided foundational insights into the brain-wide effects of 5-HT, contributing significantly to our current understanding{Salvan,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Institute{Yao, 2023 #2886}, incorporating the associated hierarchical clustering of cells at four nested levels. Spatial distribution data was obtained from a MERFISH dataset by Harvard University{Zhang,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previously{Yao,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previously{Tanaka, 2012 #2965},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channels{Sharp, 2020 #2888; McCorvy, 2015 #2889}. </w:t>
        <w:br/>
        <w:t xml:space="preserve">Some Htr1a agonists are currently used as anxiolytics{Parks, 1998 #2950, Smith, 2023 #2958} and antidepressant{Harmer, 2017 #2953; Yohn, 2017 #2954; Cowen, 2015 #2955}, the link between 5-HT imbalances, 5-HT1A activation and depression is, however, controversial and has been called in question{Moncrieff, 2023 #2951}. Htr1b and Htr1d agonists, like triptans, are effective in treating migraines{Goadsby, 2007 #2957}. Htr1a RNA has a stable prevalence of ≈10% across neighborhoods in the scRNA-seq dataset, with virtual absence in the TH-EPI-Glut group (Figure 2A). This receptor seems to play a role in learning and cognitive flexibility{Conn,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waves{Winson, 1978 #2908} and containing Chol neurons, contributed substantially to the transcription in PAL. Notably, all these results confirms previous reports of Htr1a expression in the raphe{Haj-Dahmane, 1991 #2924;Sprouse, 1987 #2923}, ENTm{Schmitz, 1995 #2925; de Filippo, 2021 #1086} and MS{Kia, 1996 #2926}. Levels of transcription were stable across the anterior-posterior axis like in most other Htrs (Figure 2E-F). Htr1b is involved in social memory in mouse{Wu,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immunohistochemistry{Bruinvels, 1994 #2929}. The broad transcription of Htr1f observed in the scRNA-seq dataset across the entire telencephalon is in line with earlier reports{Vila-Pueyo,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disorders{He, 2022 #2942; Yao, 2021 #2943}. Htr2a, instrumental in mediating the effects of psychedelics{Nichols, 2016 #854} and involved in learning and memory{Morici,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disease{Huang, 2023 #2915}, and memory{Roy, 2017 #2916}. CLA and the EPd showed the highest absolute prevalence. Interestingly, CLA has been proposed to play an important role in mediating the effects of psychedelic compounds{Doss, 2022 #2917}. Prevalence in the STR was driven by the small bed nucleus (BA), a structure important for the integration of limbic and environmental informations{Lebow, 2016 #2931}. Htr2a transcription in CLA and mammillary complex is in line with a previous report in monkey{López-Giménez,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Gs{McCorvy, 2015 #2889}, leading to increasing cellular levels of cAMP. Htr4 modulation in HPF has been found to bidirectionally influence memory formation in mice{Teixeira, 2018 #924}. Htr4, similarly to Htr2C, showed highest prevalence (&gt;40%) in the MB-HB-Glut-Sero-Dopa and Hy-EA-Glut-Gaba groups (Figure 7A). Htr4 has been linked to mood control and anxiety{Karayol,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channel{Maricq, 1991 #2918} and can form functional homopentameric receptors {Walstab, 2010 #2919}. Heteromeric receptors containing Htr3b have an increased channel conductance and different selectivity{Davies,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by{Yao, 2023 #2886} and{Zhang,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neurotransmission{Hjorth, 1991 #2932; Haj-Dahmane, 1991 #2924}. Our exploration of the Htrs landscape represents a substantial advancement, contributing to our understanding of the 5-HT system's role in brain function and behavior. </w:t>
      </w:r>
      <w:r>
        <w:br w:type="page"/>
      </w:r>
    </w:p>
    <w:p>
      <w:pPr>
        <w:pStyle w:val="Heading1"/>
        <w:rPr/>
      </w:pPr>
      <w:r>
        <w:rPr>
          <w:rFonts w:eastAsia="Arial Unicode MS" w:cs="Arial Unicode MS"/>
          <w:b/>
          <w:bCs/>
          <w:color w:val="000000"/>
          <w:kern w:val="0"/>
          <w:sz w:val="28"/>
          <w:szCs w:val="28"/>
          <w:u w:val="none" w:color="000000"/>
          <w:lang w:val="en-US" w:eastAsia="en-GB" w:bidi="ar-SA"/>
        </w:rPr>
        <w:t xml:space="preserve">Experimental procedures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and code availability</w:t>
      </w:r>
    </w:p>
    <w:p>
      <w:pPr>
        <w:pStyle w:val="Normal"/>
        <w:spacing w:lineRule="auto" w:line="360" w:before="0" w:after="360"/>
        <w:jc w:val="both"/>
        <w:rPr>
          <w:rFonts w:ascii="Helvetica Neue" w:hAnsi="Helvetica Neue"/>
        </w:rPr>
      </w:pPr>
      <w:r>
        <w:rPr>
          <w:rFonts w:ascii="Helvetica Neue" w:hAnsi="Helvetica Neue"/>
        </w:rPr>
        <w:t xml:space="preserve">The entire analysis is hosted on Github at https://github.com/RobertoDF/Transcriptomics-5-HT and 10.6084/m9.figshare.26325505 {De Filippo, 2024 #2966}. For data analysis and visualization we employed mainly pandas, numpy, matplotlib, scikit-learn, panel, holoviews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Author contributions</w:t>
      </w:r>
    </w:p>
    <w:p>
      <w:pPr>
        <w:pStyle w:val="Normal"/>
        <w:spacing w:lineRule="auto" w:line="360" w:before="0" w:after="840"/>
        <w:jc w:val="both"/>
        <w:rPr>
          <w:rFonts w:ascii="Helvetica Neue" w:hAnsi="Helvetica Neue" w:eastAsia="Helvetica Neue" w:cs="Helvetica Neue"/>
          <w:lang w:val="en-US"/>
        </w:rPr>
      </w:pPr>
      <w:r>
        <w:rPr>
          <w:rFonts w:eastAsia="Helvetica Neue" w:cs="Helvetica Neue" w:ascii="Helvetica Neue" w:hAnsi="Helvetica Neue"/>
          <w:lang w:val="en-US"/>
        </w:rPr>
        <w:t xml:space="preserve">Conceptualization, data curation, formal analysis, investigation, visualization, supervision: RDF. Writing - original draft: RDF. Writing - review &amp; editing: RDF. Funding acquisition &amp; resources: DS.</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D</w:t>
      </w:r>
      <w:r>
        <w:rPr>
          <w:rFonts w:eastAsia="Arial Unicode MS" w:cs="Arial Unicode MS"/>
          <w:b/>
          <w:bCs/>
          <w:color w:val="000000"/>
          <w:kern w:val="0"/>
          <w:sz w:val="28"/>
          <w:szCs w:val="28"/>
          <w:u w:val="none" w:color="000000"/>
          <w:lang w:val="en-US" w:eastAsia="en-GB" w:bidi="ar-SA"/>
        </w:rPr>
        <w:t xml:space="preserve">eclaration of interests</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authors declare that they have no conflicts of interest.</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set at log(CPM)&gt;3.5 and same color-coding.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scRNA-seq and MERFISH dataset. On the right, violin plots representing the amount of Htr1a RNA detected using scRNA-seq (top) and MERFISH (bottom). (B) Amount of colocalization with each Htrs by cells expressing Htr1a RNA in the scRNAseq dataset (left). Number of Htrs RNA detected in cells expressing Htr1a RNA in the scRNAseq dataset  (right). (C) Prevalence of Htr1a RNA across all classes of cells in scRNA-seq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scRNA-seq and MERFISH dataset. On the right, violin plots representing the amount of Htr1b RNA detected using scRNA-seq (top) and MERFISH (bottom). (B) Amount of colocalization with each Htrs by cells expressing Htr1b RNA in the scRNAseq dataset (left). Number of Htrs RNA detected in cells expressing Htr1b RNA in the scRNAseq dataset  (right). (C) Prevalence of Htr1b RNA across all classes of cells in scRNA-seq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scRNA-seq and MERFISH dataset. On the right, violin plots representing the amount of Htr1f RNA detected using scRNA-seq (top) and MERFISH (bottom). (B) Amount of colocalization with each Htrs by cells expressing Htr1f RNA in the scRNAseq dataset (left). Number of Htrs RNA detected in cells expressing Htr1f RNA in the scRNAseq dataset  (right). (C) Prevalence of Htr1f RNA across all classes of cells in scRNA-seq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scRNA-seq and MERFISH dataset. On the right, violin plots representing the amount of Htr2a RNA detected using scRNA-seq (top) and MERFISH (bottom). (B) Amount of colocalization with each Htrs by cells expressing Htr2a RNA in the scRNAseq dataset (left). Number of Htrs RNA detected in cells expressing Htr2a RNA in the scRNAseq dataset  (right). (C) Prevalence of Htr2a RNA across all classes of cells in scRNA-seq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scRNA-seq and MERFISH dataset. On the right, violin plots representing the amount of Htr2c RNA detected using scRNA-seq (top) and MERFISH (bottom). (B) Amount of colocalization with each Htrs by cells expressing Htr2c RNA in the scRNAseq dataset (left). Number of Htrs RNA detected in cells expressing Htr2c RNA in the scRNAseq dataset  (right). (C) Prevalence of Htr2c RNA across all classes of cells in scRNA-seq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scRNA-seq and MERFISH dataset. On the right, violin plots representing the amount of Htr4 RNA detected using scRNA-seq (top) and MERFISH (bottom). (B) Amount of colocalization with each Htrs by cells expressing Htr4 RNA in the scRNAseq dataset (left). Number of Htrs RNA detected in cells expressing Htr4 RNA in the scRNAseq dataset  (right). (C) Prevalence of Htr4 RNA across all classes of cells in scRNA-seq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scRNA-seq and MERFISH dataset. On the right, violin plots representing the amount of Htr7 RNA detected using scRNA-seq (top) and MERFISH (bottom). (B) Amount of colocalization with each Htrs by cells expressing Htr7 RNA in the scRNAseq dataset (left). Number of Htrs RNA detected in cells expressing Htr7 RNA in the scRNAseq dataset  (right). (C) Prevalence of Htr7 RNA across all classes of cells in scRNA-seq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scRNA-seq and MERFISH dataset. On the right, violin plots representing the amount of Htr3a RNA detected using scRNA-seq (top) and MERFISH (bottom). (B) Amount of colocalization with each Htrs by cells expressing Htr3a RNA in the scRNAseq dataset (left). Number of Htrs RNA detected in cells expressing Htr3a RNA in the scRNAseq dataset  (right). (C) Prevalence of Htr3a RNA across all classes of cells in scRNA-seq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ascii="Times New Roman" w:hAnsi="Times New Roman" w:eastAsia="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eastAsia="Arial Unicode MS" w:cs="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ascii="Times New Roman" w:hAnsi="Times New Roman" w:eastAsia="Arial Unicode MS" w:cs="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ascii="Times New Roman" w:hAnsi="Times New Roman" w:eastAsia="Arial Unicode MS" w:cs="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eastAsia="Arial Unicode MS" w:cs="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eastAsia="Arial Unicode MS" w:cs="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ascii="Times New Roman" w:hAnsi="Times New Roman" w:eastAsia="Arial Unicode MS" w:cs="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ascii="Times New Roman" w:hAnsi="Times New Roman" w:eastAsia="Helvetica Neue"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Application>LibreOffice/6.4.7.2$Linux_X86_64 LibreOffice_project/40$Build-2</Application>
  <Pages>6</Pages>
  <Words>108</Words>
  <Characters>579</Characters>
  <CharactersWithSpaces>661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2024-07-23T11:10:17Z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