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transcription of Htrs RNA across approximately 4 million brain cells. The scRNA-seq dataset comprehensively encompassed all known 14 Htr subtypes. 65.84% of cells expressed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found in more cells also tended to be expressed more at the single cell level. Beside the prevalence and amount of transcription, also the distributionacross the brain was considerably different. This is exemplified by looking at the distribution of the Htr1 and Htr2 families on the uniform manifold approximations and projection (UMAP, Figure 1b). The UMAP was color-coded according to neighborhood metadata. Neighborhoods were defined both by location and neurotransmitter (Supplementary Figure 1b, Table 1). When looking at the UMAP distributions for individual Htr, considerable differences were present also within each family of receptors (Supplementary Figure 2). We analyzed these differences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Pearson correlation coefficient (r=0.6±0.03). Sero and cholinergic neurons (Chol) showed the most distinct patterns of transcription with respectively r=0.32±0.04 and r=0.37±0.05 (Figure 1c). To better evaluate the uniqueness of Htrs RNA transcription per group we employed a Random Forest Classifier aiming at decoding the grouping variable from the Htrs transcription. Overall accuracy of the model was 36.39%. Reflecting the correlation analysis, the confusion matrix showed that Sero and Chol were among the groups with higher true positive (TP) rate (Sero=78.08%, Chol=37.4%). Cells not expressing any neurotranmitter were also identified succesfully (81.0%). Moreover, Noradrenaline (Nora) and glycine (GABA-Glyc) releasing neurons were identified at considerable levels (Nora=29.03% and GABA-Glyc=46.94%). To understand the contribution of each Htr in each prediction we calculated the mean absolute SHAP (SHapley Additive exPlanations) values for each receptor and neurotransmitter {Lundberg, 2017 #2921; Lundberg, 2020 #2922}. The SHAP values in association with the mean prevalence enable us to understand the defining features of each group. Here we can see, for example, that the identification of Sero neurons is determined mainly by transcription of Htr1a and Chol neurons by Htr4 and Htr5b. Crucially, absence of transcription can also contribute to the classification, e.g., Cells not expressing any neurotransmitter are identified mainly by absence of any Htr. When looking at different neighborhoods the accuracy of the model was 51.68%. The model could differentiate best the NN-IMN-GC, TH-EPI-Glut and Pallium-Glut groups (NN-IMN-GC=73.69%, TH-EPI-Glut=66.75% and Pallium-Glut=56.93%, Supplementary Figure 3a). NN-IMN-GC includes all the cells not releasing any neurotransmitter, their classification is therefore predictably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more striking (Figure 1d). 7 groups could be identified with a TP rate &gt;40%: 04 DG-IMN Glut, 05 OB-IMN GABA, 09 CNU-LGE GABA, 18 TH Glut, 22 MB-HB Sero, 25 Pineal Glut, and 32 OEC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charachterized by high levels of Htr1a; at last, 34 Immune cells were identified by absence of any Htr transcription. The use of only Htrs transcription reached a unexpected 13.6% accuracy in decoding classes. 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Htr4-Htr7. To explore the underlying causes of the correlations we analyzed colocalization between Htrs using the same stringent threshold used by the original authors to determine neurotransmitter transcription {Yao, 2023 #2828}. Across the entire dataset we observed that the most expressed genes, Htr1f and Htr2c, were often colocalized with other genes (Figure 1g). This was a driving factor for correlation. Looking more in detail across neighboroods, also here we noticed important differences, mainly explainable by differential prevalence. 86.41±1.69% of cells indeed expressed at least 2 Htrs (Figure 1f), therefore, only rarely a cell was found to express uniquely one Htr. Surprisingly, 22.88±1.9% of cells expressed at least 5 Htrs. The extensive transcription across different Htr classes and the considerable cotranscription within cells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principal pathway activated by 5-HT by analyzing the amount of RNA for each Htr and, afterwards, we grouped cells across different neighborhoods (Figure 1h). Ht3 were present only in a small minority of cortical inhibitory neurons. In the telencephalon, the absolute majority of both Pallium-Glut and Subpallium-Gaba cells were linked to Htr1/5, and around one quarter of cells instead featured Htr2 as primary effector. Subcortical cells exhibited a more balanced partition without any absolute majority and a considerable presence of Htr4/6/7.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(excluding non-neuronal cells and immature neurons), with virtual absence in the TH-EPI-Glut group (Figure 2a). Htr1a co-localized most frequently with Htr1f, Htr2c and Htr2a (Figure 2b) and only in a minority of cases was expressed alone (&lt;10%). transcription across classes was highly correlated between the RNA-seq and MERFISH datasets (Figure 2a) and show an almost perfect proportional relationship. Highest transcription was found in 5-HT neurons of the mid- and hindbrain (class 22 MB-HB Sero, Figure 2c), nonetheless, cortical excitatory neurons (01 IT-ET Glut) had the higher absolute number of cells expressing Ht1a. To pinpoint the spatial location we first identified the clusters highly enriched with Htr1a RNA with a threshold of 70%, i.e., to be classified as enriched at least 70% of cells in a cluster must express the receptor. Only 6.52% of Htr1a expressing cells were contained in enriched clusters, pointing at a relatively low importance in the clustering algorithm. Looking at the spatial distribution across divisions, the highest prevalence was found in the pallidum (PAL) and hippocampus (HPF), two telencephalic regions (Figure 2d). At a more granular level, the highest prevalence was observed in the dorsal raphe (DR). DR transcription is reflection of the high prevalence in Sero neurons outlined above, DR contains a substantial proportion of Sero neurons. The hippocampal structure exhibiting the higher prevalence was medial entorhinal cortex (ENTm) while the medial septum nucleus (MS) and the diagonal band nucleus (NDB), two structures linked to generation of theta waves {Winson, 1978 #2908}, contributed substantially to the transcription in PAL. Levels of of transcription were stable across the anterior-posterior axis like in most other Htrs (Figure 2e-f). </w:t>
        <w:br/>
        <w:t xml:space="preserve">Htr1b exhibited a more diverse pattern of transcription across neighboroods (Figure 3a) ranging from 10 to 30%. Highest prevalence was observed in the MB-HB-Glut-Sero-Dopa group, i.e., glutamatergic, serotonergic and dopaminergic neurons located in midbrain and hindbrain. Colocalization showed a similar pattern compared to Htr1a (Figure 3b) and also here only a minority of cells expressed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and similarly to the majority of Htrs, 01 IT-ET Glut exhibited the highest absolute number of Htr1b expessing cells. 17.48% of Htr1b expressing cells belonged to highly enriched clusters and the striatum (STR) showed by far the highest prevalence with &gt;30% (Figure 3d). Caudoputamen (CP), Nucleus accumbens (ACB), olfactory tubercle (OT), lateral septal nucleus (LSc) and the parabigeminal nucleus (PBG) all exhibited a prevalence of &gt;30%. Distribution across the antero-posterior axes reflected the high prevalence in STR (Figure 3e-f). </w:t>
        <w:br/>
        <w:t xml:space="preserve">Htr1d was expressed at a much lower level, never exceeding 7% prevalence in any neighborhood (Supplementary Figure 5a). It colocalized at highest levels with Htr2c and Htr1f (Supplementary Figure 5b) and only rarely was expressed alone (&lt;5%). Similarly to Htr1b, transcription was highest in 09 CNU-LGE GABA and 22 MB-HB Sero (Supplementary Figure 5c). Notably, 09 CNU-LGE GABA exhibited the highest absolute number of cells surpassing 01 IT-ET Glut. Only a small minority of Htr1d expressing cells belonged to enriched clusters (2.08%). The paraventricular nucleus of the thalamus (PT and PVT) showed the highest prevalence at &gt;4% (Supplementary Figure 5d-e-f). </w:t>
        <w:br/>
        <w:t xml:space="preserve">Htr1f showed the highest transcription of all 5-HT receptors in the RNA-seq dataset. Higher prevalence was found in the Pallium and Subpallium groups (Figure 4a), reaching ≈50%. Other groups showed a prevalence of 30-40% with TH-EPI-Glut at ≈20% (Figure 4a). Htr1f was found to colocalize the most with Htr2a and Htr2c (Figure 4b). In 30% of cases Htr1f was the only Htr expressed in a cell and colocalization decreased linearly with the number of coexpressed Htrs (Figure 4b). Notably, the slope of the linear regression between values provided by RNA-seq and MERFISH was significantly lower (Figure 4c). The two datasets are, however, still highly correlated, with 66% of shared variability. Htr1f was broadly expressed across almost all classes, including some non-neuronal cells, pineal gland cells were a notable exception. In absolute numbers, cortical glutamatergic cells showed the highest transcription. Spatial distribution showed a peculiarly asymettric pattern with transcription concentrated in the most anterior regions. Highest transcription was observed in STR, olfactory areas (OLF) and the cortical subplate (CTXsp) reaching &gt;20% (Figure 4d). Specifically, highest transcription was observed in nucleus accumbens (ACB) and olfactory tract (OT), similarly to Htr1b. The accessory olfactory bulb (AOB) was the OLF structure with the highest prevalence. Claustrum (CLA), on the other hand, was the CTXsp structure exhibiting the highest prevalence. Level of transcription were not linear, with a clear peak in the frontal olfactory areas (Figure 4e-f). </w:t>
        <w:br/>
        <w:t xml:space="preserve">Both Htr5a and Htr5b were not included in the MERFISH dataset, therefore we do not have any direct spatial visualization of their transcription. Htr5a was expressed at 8-16% prevalence across all neighborhoods (Supplementary Figure 6a) and colocalized the most with Htr1f, Htr2c and Htr2a (Supplementary Figure 6b). transcription was broadly distributed across many classes, altough only at lower levels compared to other Htrs (Supplementary Figure 6c). Only one cluster was considered enriched with Htr5a in the entire RNA-seq dataset, 3453 PAG-PPN Pax5 Sox21 Gaba. This cluster was located mainly in the midbrain reticular nucleus (RR, Supplementary Figure 6d-e).Htr5b was expressed at a much lower level (Supplementary Figure 7a), with a maximum of ≈%5 in TH-EPI-Glut. Surprisingly, even if its overall prevalence was much lower then Htr5a, 10 clusters were found to be enriched in Htr5b. This receptor was expressed at considerable levels only in the 17 MH-LH Glut class (≈50% prevalence). This was caused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a structure strongly linked to cerbellar Purkinje cells {Loyola, 2023 #2914}. This transcription was driven by a single supertype, 253 IO Fgl2 Glut.</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telencephalic neighborhoods, Pallium-Glut and Subpallium-GABA (Figure 5a). Colocalization was highest with Htr1f and Htr2c (Figure 5b). Considerable transcription (≈40%) was found in 01 IT-ET Glut, 07 CTX-MGE GABA and 16 HY-MM Glut classes (Figure 5c). Htr2a was also prevalent across many other classes across the whole brain. Similarly to Htr1f, also here the MERFISH dataset hinted at a lower overall transcription when compared to RNA-seq. Shared variability between the two was, nonetheless very high. CTXsp showed the highest prevalence, reaching &gt;12% (Figure 5d). Isocortex and STR exhibited both ≈5% prevalence. At a structure level, surprisingly, two structures belonging to the mammillary complex (dorsal premammillary nucleus, PMd and tuberomammillary nucleus,TMd) were in the top ten. The mammillary complex has been linked to Alzheimer´s disease {Huang, 2023 #2915}, and memory {Roy, 2017 #2916}. CLA and the endopiriform nucleus (EPd) showed the highest absolute prevalence. Interestingly, CLA has been proposed to play an important role in mediating the effects of psychedelic compounds {Doss, 2022 #2917}. transcription of Htr2a was highest in frontal regions of the brain, decaying linearly to virtula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(Supplementary Figure 8c). </w:t>
        <w:br/>
        <w:t xml:space="preserve">Htr2c was found at highest prevalence in the MB-HB-Glut-Sero-Dopa and Hy-EA-Glut-Gaba groups (Figure 6a). With the exception of Pallium-Glut, its prevalence was always &gt;40%. Colocalization was highest with Htr1f, Htr4 and Htr7 (Figure 6b). In similar fashion to Htr2a and Htr1f, also here there were discrepancies between the RNA-seq and MERFISH methods(Figure 6c). transcription was broadly distributed across many different classes, also subcortically, with the exception of pineal gland cells. Many classes exhibited a prevalence &gt;60%. The majority of cells expressing Htr2c belonged to enriched clusters. Highest prevalence was found in STR. Similarly to Htr1b, ACB, CP and OT exhibited the highest prevalence (Figure 6d-e-f).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and excitation. Htr4, similarly to Htr2c, showed highest prevalence (&gt;40%) in the MB-HB-Glut-Sero-Dopa and Hy-EA-Glut-Gaba groups (Figure 7a). It colocalized the most with Htr2c and Htr1f (Figure 8b). Discrepancies in amount of transcription between RNA-seq and MERFISH were present also here (Figure 7c). This did not affect significantly, however, the correlation between the two datasets. transcription across classes was broadly distributed, with many classes showing a prevalence &gt;40%. In absolute numbers, transcription in excitatory cortical neurons was comparable to other classes.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the main driver of the high prevalence. </w:t>
        <w:br/>
        <w:t xml:space="preserve">We do not have MERFISH information about the rarely expressed Htr6 and no enriched cluster was present in the RNA-seq dataset. The 09 NU-LGE GABA class exhibited the highest prevalence with 7.73, still, the absolute majority of neurons expressing this gene were excitatory cortical neurons (Supplementry Figure 11c). </w:t>
        <w:br/>
        <w:t xml:space="preserve">Conversely, Htr7 was expressed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tr1f and Htr4. Htr7 was broadly expressed across classes, especially in subcortical structures. Peak prevalence was found in 10 LSX GABA and 16 y MM Glut with &gt;60%.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expressed almost uniquely in the Subpallium-Gaba neighborood, with a prevalence of ≈8% (Supplementary Figure 10a), specifically in the 06 CTX-CGE GABA class (Supplementary Figure 10c). It is one of the few Htr, together with Htr3b and Htr1d, that is not expressed the most in absolute numbers in 01 IT-ET glut. It colocalizes mainly with Htr2c and Htr7 (Supplementary Figure 10b). This Htr was mainly expressed in OLF, CTXsp, HPF and Isocortex (Supplementary Figure 10d) and is most prevalent in the anterior part of the brain, altough, puzzingly, with slightly lower level of transcription (Supplementary Figure 10e-f). Htr3b was not included in the MERFISH dataset and no cluster was found to be enriched with this receptor. Htr3b was the least expressed Htr gene in the entire dataset. Similarly to Htr3a, its transcription was delimited to the 06 CTX-CGE GABA class (Supplementary Figure 11c).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pre-computed data structures can be downloaded at 10.6084/m9.figshare.20209913.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Heatmap showing absolutwe number of cells expressing each Htrs. Inset shows the same information in percentage of the total. (B) UMAP representation color-coded by neighborhood metadata (left), Htr1 (middle) and Htr2 (right) expression.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Percentage of cells expressing the gene on x axis expressing at least another Htrs gene (top)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Htr1a prevalence across neighborhoods with squared Pearson correlation coefficient (R²) between RNA-seq and MERFISH dataset.. On the right,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Prevalence of Htr1a RNA across divisions (left) and structures (right). Inset represents the proportion of cells expressing Htr1a RNA that belongs to enriched clusters. (E) Prevalence (top) and average amount of RNA expression across the antero-posteroir axis.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Htr1b prevalence across neighborhoods with squared Pearson correlation coefficient (R²) between RNA-seq and MERFISH dataset.. On the right,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Prevalence of Htr1b RNA across divisions (left) and structures (right). Inset represents the proportion of cells expressing Htr1b RNA that belongs to enriched clusters. (E) Prevalence (top) and average amount of RNA expression across the antero-posteroir axis.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across the antero-posteroir axis.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Htr1f prevalence across neighborhoods with squared Pearson correlation coefficient (R²) between RNA-seq and MERFISH dataset.. On the right,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Prevalence of Htr1f RNA across divisions (left) and structures (right). Inset represents the proportion of cells expressing Htr1f RNA that belongs to enriched clusters. (E) Prevalence (top) and average amount of RNA expression across the antero-posteroir axis.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Htr2a prevalence across neighborhoods with squared Pearson correlation coefficient (R²) between RNA-seq and MERFISH dataset.. On the right,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Prevalence of Htr2a RNA across divisions (left) and structures (right). Inset represents the proportion of cells expressing Htr2a RNA that belongs to enriched clusters. (E) Prevalence (top) and average amount of RNA expression across the antero-posteroir axis.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Prevalence of Htr2b RNA across divisions (left) and structures (right). Inset represents the proportion of cells expressing Htr2b RNA that belongs to enriched clusters. (E) Prevalence (top) and average amount of RNA expression across the antero-posteroir axis.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Htr2c prevalence across neighborhoods with squared Pearson correlation coefficient (R²) between RNA-seq and MERFISH dataset.. On the right,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Prevalence of Htr2c RNA across divisions (left) and structures (right). Inset represents the proportion of cells expressing Htr2c RNA that belongs to enriched clusters. (E) Prevalence (top) and average amount of RNA expression across the antero-posteroir axis.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across the antero-posteroir axis.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Prevalence of Htr3b RNA across divisions (left) and structures (right). Inset represents the proportion of cells expressing Htr3b RNA that belongs to enriched clusters. (E) Prevalence (top) and average amount of RNA expression across the antero-posteroir axis.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Htr4 prevalence across neighborhoods with squared Pearson correlation coefficient (R²) between RNA-seq and MERFISH dataset.. On the right,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Prevalence of Htr4 RNA across divisions (left) and structures (right). Inset represents the proportion of cells expressing Htr4 RNA that belongs to enriched clusters. (E) Prevalence (top) and average amount of RNA expression across the antero-posteroir axis.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across the antero-posteroir axis.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across the antero-posteroir axis.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Prevalence of Htr6 RNA across divisions (left) and structures (right). Inset represents the proportion of cells expressing Htr6 RNA that belongs to enriched clusters. (E) Prevalence (top) and average amount of RNA expression across the antero-posteroir axis.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Htr7 prevalence across neighborhoods with squared Pearson correlation coefficient (R²) between RNA-seq and MERFISH dataset.. On the right,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Prevalence of Htr7 RNA across divisions (left) and structures (right). Inset represents the proportion of cells expressing Htr7 RNA that belongs to enriched clusters. (E) Prevalence (top) and average amount of RNA expression across the antero-posteroir axis.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