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transcription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We show that the majority of Htr-transcribing cells 7.4% contain RNA of at least one other Htr, underscoring the complexity of the 5-HT system even at the single-cell dimension. To aid the exploration of Htrs transcription in the datasets we provide an interactive visualizer available online (https://rdef654875678597657-5-ht-transcriptomics.hf.space).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{threshold_enriched_clusters}% of cells in a givena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and antidepressant {Harmer, 2017 #2953; Yohn, 2017 #2954; Cowen, 2015 #2955}, the link between 5-HT imbalances, 5-HT1A activity and depression is, however, controversial and has been called in question {Moncrieff, 2023 #2951}. Htr1b and Htr1d agonists, like triptans, are effective in treating migraines {Ferrari, 2002 #2956}. Htr1a RNA has a stable prevalence of ≈10% across neighborhoods in the scRNA-seq dataset, with virtual absence in the TH-EPI-Glut group (Figure 2A).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persistaence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(https://alleninstitute.github.io/abc_atlas_access/intro.html).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4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Data source for each dashboard is annotated in the title between parentheses. 'Spatial MERFISH': 5 interactive controls enable the selections of different datasets from {Zhang, 2023 #2887}, brain section, gene, class and subclass. The datasets available are 2 coronal (Zhuang-ABCA-1/2) and 2 sagittal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 grouped at different levels of detail: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4 interactive controls enable the selections of data source, division, neurotransmitter and sorting.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we identify enriched clusters in the scRNA-seq dataset then we look at the proportion of cells belonging to enriched clusters over the total number of cells per region. This creates a problem in the cases where a 5-HT receptor was not deemed important by the clustering algorithm, in these cases most cells will be ignored not belonging to enriched clusters. To solve this we created a 'Data Source Selecto'r to enable the possibility to bypass scRNA-seq and look at MERRFISH data only. 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Concise 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