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uthors"/>
        <w:spacing w:before="0" w:after="480"/>
        <w:ind w:left="567" w:right="567" w:hanging="0"/>
        <w:rPr>
          <w:rFonts w:ascii="Helvetica Neue" w:hAnsi="Helvetica Neue" w:eastAsia="Helvetica Neue" w:cs="Helvetica Neue"/>
          <w:b/>
          <w:b/>
          <w:bCs/>
          <w:sz w:val="40"/>
          <w:szCs w:val="40"/>
        </w:rPr>
      </w:pPr>
      <w:r>
        <w:rPr>
          <w:rFonts w:ascii="Helvetica Neue" w:hAnsi="Helvetica Neue"/>
          <w:b/>
          <w:bCs/>
          <w:sz w:val="40"/>
          <w:szCs w:val="40"/>
        </w:rPr>
        <w:t xml:space="preserve">Transcriptomic Mapping of the 5-HT Receptor Landscape</w:t>
      </w:r>
    </w:p>
    <w:p>
      <w:pPr>
        <w:pStyle w:val="Authors"/>
        <w:spacing w:before="0" w:after="480"/>
        <w:ind w:left="567" w:right="567" w:hanging="0"/>
        <w:rPr>
          <w:rFonts w:ascii="Helvetica Neue" w:hAnsi="Helvetica Neue" w:eastAsia="Helvetica Neue" w:cs="Helvetica Neue"/>
        </w:rPr>
      </w:pPr>
      <w:r>
        <w:rPr>
          <w:rFonts w:ascii="Helvetica Neue" w:hAnsi="Helvetica Neue"/>
          <w:b/>
          <w:bCs/>
        </w:rPr>
        <w:t xml:space="preserve">Roberto De Filippo¹ and Dietmar Schmitz¹²³⁴⁵</w:t>
      </w:r>
    </w:p>
    <w:p>
      <w:pPr>
        <w:pStyle w:val="Footnote"/>
        <w:spacing w:before="0" w:after="120"/>
        <w:ind w:left="567" w:right="567" w:hanging="0"/>
        <w:jc w:val="left"/>
        <w:rPr>
          <w:rFonts w:ascii="Helvetica Neue" w:hAnsi="Helvetica Neue"/>
          <w:sz w:val="20"/>
          <w:szCs w:val="20"/>
          <w:lang w:val="en-DE"/>
        </w:rPr>
      </w:pPr>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pPr>
        <w:pStyle w:val="Paragraph"/>
        <w:spacing w:before="0" w:after="0"/>
        <w:ind w:left="567" w:right="567" w:hanging="0"/>
        <w:jc w:val="both"/>
        <w:rPr>
          <w:rStyle w:val="Hyperlink0"/>
        </w:rPr>
      </w:pPr>
      <w:r>
        <w:rPr>
          <w:rFonts w:ascii="Helvetica Neue" w:hAnsi="Helvetica Neue"/>
          <w:sz w:val="20"/>
          <w:szCs w:val="20"/>
        </w:rPr>
        <w:t xml:space="preserve">* Correspondence to: </w:t>
      </w:r>
      <w:r>
        <w:rPr>
          <w:rFonts w:ascii="Helvetica Neue" w:hAnsi="Helvetica Neue" w:asciiTheme="minorHAnsi" w:hAnsiTheme="minorHAnsi"/>
          <w:sz w:val="21"/>
          <w:szCs w:val="21"/>
        </w:rPr>
        <w:t xml:space="preserve">roberto.de-filippo@charite.de</w:t>
      </w:r>
    </w:p>
    <w:p>
      <w:pPr>
        <w:pStyle w:val="Paragraph"/>
        <w:spacing w:before="720" w:after="0"/>
        <w:ind w:right="567" w:hanging="0"/>
        <w:jc w:val="both"/>
        <w:rPr>
          <w:rStyle w:val="Link"/>
          <w:rFonts w:ascii="Helvetica Neue" w:hAnsi="Helvetica Neue" w:eastAsia="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pPr>
        <w:pStyle w:val="Heading1"/>
        <w:rPr>
          <w:rFonts w:ascii="Helvetica Neue" w:hAnsi="Helvetica Neue" w:cs="Arial Unicode MS"/>
          <w:b/>
          <w:b/>
          <w:bCs/>
          <w:color w:val="000000"/>
          <w:sz w:val="28"/>
          <w:szCs w:val="28"/>
          <w:u w:val="none" w:color="000000"/>
          <w:lang w:val="en-US"/>
        </w:rPr>
      </w:pPr>
      <w:r>
        <w:rPr>
          <w:rFonts w:cs="Arial Unicode MS"/>
          <w:b/>
          <w:bCs/>
          <w:color w:val="000000"/>
          <w:sz w:val="28"/>
          <w:szCs w:val="28"/>
          <w:u w:val="none" w:color="000000"/>
          <w:lang w:val="en-US"/>
        </w:rPr>
        <w:t>Summary</w:t>
      </w:r>
    </w:p>
    <w:p>
      <w:pPr>
        <w:pStyle w:val="AbstractSummary"/>
        <w:spacing w:lineRule="auto" w:line="360"/>
        <w:jc w:val="both"/>
        <w:rPr/>
      </w:pPr>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covering ≈4 million cells across the whole adult mouse brain, utilizing single-cell RNA sequencing (scRNA-seq) data from the Allen Institute. We report on the differential transcription patterns of all 14 known Htr subtypes, revealing a wide diversity in their prevalence and distribution across cell classes.  Remarkably, we found that 65.84% of cells transcribe RNA of at least one Htr, and co-transcription of multiple Htrs within single cells was frequently observed. The transcription patterns of Htrs can accurately inform a random forest classifier to identify specific classes and types of neurotransmitter-releasing cells with surprising success. Leveraging a multiplexed error-robust fluorescence in situ hybridization (MERFISH) dataset provided by Harvard University of ≈10 million cells found in a mouse brain, we analyzed the spatial distribution of each Htr confirming previous findings and uncovering novel patterns of transcription at an unprecedented level of detail.  We show that the majority of Htr-transcribing cells 7.4% contain RNA of at least one other Htr, underscoring the complexity of the 5-HT system even at the single-cell dimension. To aid the exploration of Htrs transcription in the datasets we provide an interactive visualizer available online (https://rdef654875678597657-5-ht-transcriptomics.hf.space). This tool enables in-depth analysis at various levels of granularity. </w:t>
      </w:r>
      <w:r>
        <w:br w:type="page"/>
      </w:r>
    </w:p>
    <w:p>
      <w:pPr>
        <w:pStyle w:val="Heading1"/>
        <w:rPr/>
      </w:pPr>
      <w:r>
        <w:rPr/>
        <w:t>Introduction</w:t>
      </w:r>
    </w:p>
    <w:p>
      <w:pPr>
        <w:pStyle w:val="Normal"/>
        <w:spacing w:lineRule="auto" w:line="360"/>
        <w:jc w:val="both"/>
        <w:rPr>
          <w:rFonts w:ascii="Helvetica Neue" w:hAnsi="Helvetica Neue" w:eastAsia="Helvetica Neue" w:cs="Helvetica Neue"/>
          <w:lang w:val="en-US"/>
        </w:rPr>
      </w:pPr>
      <w:r>
        <w:rPr>
          <w:rFonts w:ascii="Helvetica Neue" w:hAnsi="Helvetica Neue"/>
          <w:lang w:val="en-US"/>
        </w:rPr>
        <w:t xml:space="preserve">5-HT stands as a pivotal neuromodulator within the brain, orchestrating a diverse array of behaviors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most of them metabotropic receptors linked to different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 {Yao, 2023 #2886}, incorporating the associated hierarchical clustering of cells at four nested levels. Spatial distribution data was obtained from a MERFISH dataset by Harvard University {Zhang, 2023 #2887}.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pPr>
        <w:pStyle w:val="Heading1"/>
        <w:rPr>
          <w:sz w:val="40"/>
          <w:szCs w:val="40"/>
        </w:rPr>
      </w:pPr>
      <w:r>
        <w:rPr/>
        <w:t xml:space="preserve">Results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Htrs transcription overview</w:t>
      </w:r>
    </w:p>
    <w:p>
      <w:pPr>
        <w:pStyle w:val="Normal"/>
        <w:spacing w:lineRule="auto" w:line="360" w:before="0" w:after="360"/>
        <w:jc w:val="both"/>
        <w:rPr>
          <w:rFonts w:ascii="Helvetica Neue" w:hAnsi="Helvetica Neue"/>
        </w:rPr>
      </w:pPr>
      <w:r>
        <w:rPr>
          <w:rFonts w:ascii="Helvetica Neue" w:hAnsi="Helvetica Neue"/>
        </w:rPr>
        <w:t xml:space="preserve">We analyzed the single-cell scRNA-seq dataset provided by the Allen Institute {Yao, 2023 #2886}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 {Yao, 2023 #2886}.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#2886},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in {Yao, 2023 #2886})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identified by absence of any Htr transcription. The exclusive use of Htrs transcription pattern reached an impressive 17.85% accuracy in decoding classes (chance level=2.941176470588235%).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exhibited at least 2 Htrs ,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 (see {Zhang, 2023 #2887}),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Htr1 &amp; Htr5</w:t>
      </w:r>
    </w:p>
    <w:p>
      <w:pPr>
        <w:pStyle w:val="Normal"/>
        <w:spacing w:lineRule="auto" w:line="360" w:before="0" w:after="360"/>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w:t>
        <w:br/>
        <w:t xml:space="preserve">Some Htr1a agonists are currently used as anxiolytics {Parks, 1998 #2950, Smith, 2023 #2958} and antidepressant {Harmer, 2017 #2953; Yohn, 2017 #2954; Cowen, 2015 #2955}, the link between 5-HT imbalances, 5-HT1A activation and depression is, however, controversial and has been called in question {Moncrieff, 2023 #2951}. Htr1b and Htr1d agonists, like triptans, are effective in treating migraines {Goadsby, 2007 #2957}. Htr1a RNA has a stable prevalence of ≈10% across neighborhoods in the scRNA-seq dataset, with virtual absence in the TH-EPI-Glut group (Figure 2A). This receptor seems to play a role in learning and cognitive flexibility {Conn, 2024 #2959}.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 {Yao, 2023 #2886}.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containing Chol neurons, contributed substantially to the transcription in PAL. Notably, all these results confirms previous reports of Htr1a expression in the raphe {Haj-Dahmane, 1991 #2924;Sprouse, 1987 #2923}, ENTm {Schmitz, 1995 #2925; de Filippo, 2021 #1086} and MS {Kia, 1996 #2926}. Levels of transcription were stable across the anterior-posterior axis like in most other Htrs (Figure 2E-F). Htr1b is involved in social memory in mouse {Wu, 2021 #2945}.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 {Maroteaux, 1992 #2928; 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scRNA-seq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{Chou, 2016 #2913; Soria-Gomez, 2015 #2910; Winson, 1978 #2908;Yamaguchi, 2013 #2909}.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br/>
        <w:t xml:space="preserv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Htr2</w:t>
      </w:r>
    </w:p>
    <w:p>
      <w:pPr>
        <w:pStyle w:val="Normal"/>
        <w:spacing w:lineRule="auto" w:line="360" w:before="0" w:after="360"/>
        <w:jc w:val="both"/>
        <w:rPr>
          <w:rFonts w:ascii="Helvetica Neue" w:hAnsi="Helvetica Neue"/>
        </w:rPr>
      </w:pPr>
      <w:r>
        <w:rPr>
          <w:rFonts w:ascii="Helvetica Neue" w:hAnsi="Helvetica Neue"/>
        </w:rPr>
        <w:t xml:space="preserve">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 {He, 2022 #2942; Yao, 2021 #2943}. Htr2a, instrumental in mediating the effects of psychedelics {Nichols, 2016 #854} and involved in learning and memory {Morici, 2018 #2960; de Quervain, 2003 #2961},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 {De Filippo, 2024 #2904}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environmental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Interestingly, neurons belonging to the Pineal Glut class showed the highest prevalence at 7.34% (Figure S8C). </w:t>
        <w:br/>
        <w:t xml:space="preserve">Htr2c plays a role in feeding and impulsive behavior {Humby, 2019 #2962}.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Htr4, Htr6 and Htr7</w:t>
      </w:r>
    </w:p>
    <w:p>
      <w:pPr>
        <w:pStyle w:val="Normal"/>
        <w:spacing w:lineRule="auto" w:line="360" w:before="0" w:after="360"/>
        <w:jc w:val="both"/>
        <w:rPr>
          <w:rFonts w:ascii="Helvetica Neue" w:hAnsi="Helvetica Neue"/>
        </w:rPr>
      </w:pPr>
      <w:r>
        <w:rPr>
          <w:rFonts w:ascii="Helvetica Neue" w:hAnsi="Helvetica Neue"/>
        </w:rPr>
        <w:t xml:space="preserve">These receptors are all connected to Gs {McCorvy, 2015 #2889}, leading to increasing cellular levels of cAMP. Htr4 modulation in HPF has been found to bidirectionally influence memory formation in mice {Teixeira, 2018 #924}. Htr4, similarly to Htr2C, showed highest prevalence (&gt;40%) in the MB-HB-Glut-Sero-Dopa and Hy-EA-Glut-Gaba groups (Figure 7A). Htr4 has been linked to mood control and anxiety {Karayol, 2021 #2963}.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br/>
        <w:t xml:space="preserve">Conversely, Htr7 was transcribed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Htr3</w:t>
      </w:r>
    </w:p>
    <w:p>
      <w:pPr>
        <w:pStyle w:val="Normal"/>
        <w:spacing w:lineRule="auto" w:line="360" w:before="0" w:after="360"/>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pPr>
        <w:pStyle w:val="Heading1"/>
        <w:rPr>
          <w:lang w:val="en-DE"/>
        </w:rPr>
      </w:pPr>
      <w:r>
        <w:rPr>
          <w:lang w:val="en-DE"/>
        </w:rPr>
        <w:t>Discussion</w:t>
      </w:r>
    </w:p>
    <w:p>
      <w:pPr>
        <w:pStyle w:val="Teaser"/>
        <w:spacing w:lineRule="auto" w:line="360" w:before="0" w:after="0"/>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#2886} and {Zhang, 2023 #2887}.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pPr>
        <w:pStyle w:val="Heading1"/>
        <w:rPr/>
      </w:pPr>
      <w:r>
        <w:rPr/>
        <w:t xml:space="preserve">Materials and Methods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Jupyter notebooks structure</w:t>
      </w:r>
    </w:p>
    <w:p>
      <w:pPr>
        <w:pStyle w:val="Normal"/>
        <w:spacing w:lineRule="auto" w:line="360" w:before="0" w:after="360"/>
        <w:jc w:val="both"/>
        <w:rPr>
          <w:rFonts w:ascii="Helvetica Neue" w:hAnsi="Helvetica Neue"/>
        </w:rPr>
      </w:pPr>
      <w:r>
        <w:rPr>
          <w:rFonts w:ascii="Helvetica Neue" w:hAnsi="Helvetica Neue"/>
        </w:rPr>
        <w:t xml:space="preserve">The entire analysis is contained in 2 jupyter notebooks hosted on Github at https://github.com/RobertoDF/Transcriptomics-5-HT. For data analysis and visualization we employed mainly pandas, numpy, matplotlib, scikit-learn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(https://alleninstitute.github.io/abc_atlas_access/intro.html).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preparation</w:t>
      </w:r>
    </w:p>
    <w:p>
      <w:pPr>
        <w:pStyle w:val="Normal"/>
        <w:spacing w:lineRule="auto" w:line="360" w:before="0" w:after="360"/>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br/>
        <w:t xml:space="preserve">The MERFISH dataset was loaded in a similar fashion (see 'Load data MERFISH' in 'Figure_2.ipynb'). This dataset is split in 4 different dataframes ('Zhuang-ABCA-1', 'Zhuang-ABCA-2',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{Yao, 2023 #2886}.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Overview figure</w:t>
      </w:r>
    </w:p>
    <w:p>
      <w:pPr>
        <w:pStyle w:val="Normal"/>
        <w:spacing w:lineRule="auto" w:line="360" w:before="0" w:after="360"/>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br/>
        <w:t xml:space="preserve">In panel B we used the precomputed UMAP coordinates available in the 'joined' dataframe to create a scatterplot and plotted on the color axis information about the most transcribed gene per selected family (either Ht1 or Ht2). </w:t>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Receptor figure</w:t>
      </w:r>
    </w:p>
    <w:p>
      <w:pPr>
        <w:pStyle w:val="Normal"/>
        <w:spacing w:lineRule="auto" w:line="360" w:before="0" w:after="360"/>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br/>
        <w:t xml:space="preserve">In panel C on the left we repeat the same computation of panel A but using 'class' as grouping variable. On the right, we plotted the raw number of cells transcribing the selected gene across 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br/>
        <w:t xml:space="preserve">In panel D we plotted the prevalence of the selected gene in brain regions at two different hierarchical levels, 'division' and 'structure'. Here we take advantage of the high-confidence label integration between the scRNA-seq and MERFISH dataset {Zhang, 2023 #2887}. Each cell of the MERFISH dataset is assigned a cell-type label ('class', 'subclass', 'supertype' and 'cluster') from the clustering of the scRNA-seq {Yao, 2023 #2886}.To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br/>
        <w:t xml:space="preserve">Panel E: We calculated the percentage of cells within each cluster that expressed the target 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Data Visualizer</w:t>
      </w:r>
    </w:p>
    <w:p>
      <w:pPr>
        <w:pStyle w:val="Normal"/>
        <w:spacing w:lineRule="auto" w:line="360" w:before="0" w:after="360"/>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structure' are associated with the MERFISH dataset, remaining tabs are associated with the scRNA-seq dataset. Each dashboard's data source is annotated in the title.. 'Spatial MERFISH': Five interactive controls enable the selections of different datasets from {Zhang, 2023 #2887},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Selector' is used to bypass scRNA-seq data and use MERRFISH data directly.In this case we look directly at the ratio of cells transcribing each gene over the total number of cells per region.  </w:t>
      </w:r>
    </w:p>
    <w:p>
      <w:pPr>
        <w:pStyle w:val="Heading1"/>
        <w:rPr/>
      </w:pPr>
      <w:r>
        <w:rPr/>
        <w:t>Acknowledgements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We thank members of Schmitz lab for discussion. The authors declare that they have no competing interests. </w:t>
      </w:r>
    </w:p>
    <w:p>
      <w:pPr>
        <w:pStyle w:val="Heading1"/>
        <w:rPr/>
      </w:pPr>
      <w:r>
        <w:rPr/>
        <w:t>Data and materials availability</w:t>
      </w:r>
    </w:p>
    <w:p>
      <w:pPr>
        <w:pStyle w:val="Normal"/>
        <w:spacing w:lineRule="auto" w:line="360" w:before="0" w:after="840"/>
        <w:jc w:val="both"/>
        <w:rPr>
          <w:rFonts w:ascii="Helvetica Neue" w:hAnsi="Helvetica Neue"/>
          <w:lang w:val="en-US"/>
        </w:rPr>
      </w:pPr>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pPr>
        <w:pStyle w:val="Heading1"/>
        <w:rPr/>
      </w:pPr>
      <w:r>
        <w:rPr/>
        <w:t>Contributions</w:t>
      </w:r>
    </w:p>
    <w:p>
      <w:pPr>
        <w:pStyle w:val="Normal"/>
        <w:spacing w:lineRule="auto" w:line="360" w:before="0" w:after="840"/>
        <w:jc w:val="both"/>
        <w:rPr>
          <w:rFonts w:ascii="Helvetica Neue" w:hAnsi="Helvetica Neue" w:eastAsia="Helvetica Neue" w:cs="Helvetica Neue"/>
          <w:lang w:val="en-US"/>
        </w:rPr>
      </w:pPr>
      <w:r>
        <w:rPr>
          <w:rFonts w:ascii="Helvetica Neue" w:hAnsi="Helvetica Neue"/>
          <w:lang w:val="en-US"/>
        </w:rPr>
        <w:t xml:space="preserve">Conceptualization, data curation, formal analysis, investigation, visualization, supervision: RDF. Writing - original draft: RDF. Writing - review &amp; editing: RDF, DS. Funding acquisition &amp; resources: DS.</w:t>
      </w:r>
      <w:r>
        <w:br w:type="page"/>
      </w:r>
    </w:p>
    <w:p>
      <w:pPr>
        <w:pStyle w:val="Heading1"/>
        <w:rPr/>
      </w:pPr>
      <w:r>
        <w:rPr/>
        <w:t xml:space="preserve">Figures</w:t>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1. Overview of Htrs translation.</w:t>
        <w:tab/>
      </w:r>
    </w:p>
    <w:p>
      <w:pPr>
        <w:pStyle w:val="Normal"/>
        <w:spacing w:lineRule="auto" w:line="360"/>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2. Htr1a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RNA-seq and MERFISH dataset. On the right, violin plots representing the amount of Htr1a RNA detected using RNA-seq (top) and MERFISH (bottom). (B) Amount of colocalization with each Htrs by cells expressing Htr1a RNA in the scRNAseq dataset (left). Number of Htrs RNA detected in cells expressing Htr1a RNA in the scRNAseq dataset  (right). (C) Prevalence of Htr1a RNA across all classes of cells in 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3. Htr1b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RNA-seq and MERFISH dataset. On the right, violin plots representing the amount of Htr1b RNA detected using RNA-seq (top) and MERFISH (bottom). (B) Amount of colocalization with each Htrs by cells expressing Htr1b RNA in the scRNAseq dataset (left). Number of Htrs RNA detected in cells expressing Htr1b RNA in the scRNAseq dataset  (right). (C) Prevalence of Htr1b RNA across all classes of cells in 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4. Htr1f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RNA-seq and MERFISH dataset. On the right, violin plots representing the amount of Htr1f RNA detected using RNA-seq (top) and MERFISH (bottom). (B) Amount of colocalization with each Htrs by cells expressing Htr1f RNA in the scRNAseq dataset (left). Number of Htrs RNA detected in cells expressing Htr1f RNA in the scRNAseq dataset  (right). (C) Prevalence of Htr1f RNA across all classes of cells in 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5. Htr2a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RNA-seq and MERFISH dataset. On the right, violin plots representing the amount of Htr2a RNA detected using RNA-seq (top) and MERFISH (bottom). (B) Amount of colocalization with each Htrs by cells expressing Htr2a RNA in the scRNAseq dataset (left). Number of Htrs RNA detected in cells expressing Htr2a RNA in the scRNAseq dataset  (right). (C) Prevalence of Htr2a RNA across all classes of cells in 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6. Htr2c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RNA-seq and MERFISH dataset. On the right, violin plots representing the amount of Htr2c RNA detected using RNA-seq (top) and MERFISH (bottom). (B) Amount of colocalization with each Htrs by cells expressing Htr2c RNA in the scRNAseq dataset (left). Number of Htrs RNA detected in cells expressing Htr2c RNA in the scRNAseq dataset  (right). (C) Prevalence of Htr2c RNA across all classes of cells in 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7. Htr4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RNA-seq and MERFISH dataset. On the right, violin plots representing the amount of Htr4 RNA detected using RNA-seq (top) and MERFISH (bottom). (B) Amount of colocalization with each Htrs by cells expressing Htr4 RNA in the scRNAseq dataset (left). Number of Htrs RNA detected in cells expressing Htr4 RNA in the scRNAseq dataset  (right). (C) Prevalence of Htr4 RNA across all classes of cells in 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8. Htr7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RNA-seq and MERFISH dataset. On the right, violin plots representing the amount of Htr7 RNA detected using RNA-seq (top) and MERFISH (bottom). (B) Amount of colocalization with each Htrs by cells expressing Htr7 RNA in the scRNAseq dataset (left). Number of Htrs RNA detected in cells expressing Htr7 RNA in the scRNAseq dataset  (right). (C) Prevalence of Htr7 RNA across all classes of cells in 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Teaser"/>
        <w:tabs>
          <w:tab w:val="clear" w:pos="720"/>
          <w:tab w:val="left" w:pos="1892" w:leader="none"/>
        </w:tabs>
        <w:spacing w:lineRule="auto" w:line="360" w:before="0" w:after="120"/>
        <w:jc w:val="both"/>
        <w:rPr>
          <w:rFonts w:ascii="Helvetica Neue" w:hAnsi="Helvetica Neue"/>
          <w:b/>
          <w:b/>
          <w:bCs/>
          <w:lang w:val="en-DE"/>
        </w:rPr>
      </w:pPr>
      <w:r>
        <w:rPr>
          <w:rFonts w:ascii="Helvetica Neue" w:hAnsi="Helvetica Neue"/>
          <w:b/>
          <w:bCs/>
          <w:lang w:val="en-DE"/>
        </w:rPr>
        <w:t xml:space="preserve">Figure 9. Htr3a transcription</w:t>
        <w:tab/>
      </w:r>
    </w:p>
    <w:p>
      <w:pPr>
        <w:pStyle w:val="Normal"/>
        <w:spacing w:lineRule="auto" w:line="360"/>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RNA-seq and MERFISH dataset. On the right, violin plots representing the amount of Htr3a RNA detected using RNA-seq (top) and MERFISH (bottom). (B) Amount of colocalization with each Htrs by cells expressing Htr3a RNA in the scRNAseq dataset (left). Number of Htrs RNA detected in cells expressing Htr3a RNA in the scRNAseq dataset  (right). (C) Prevalence of Htr3a RNA across all classes of cells in 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Normal"/>
        <w:rPr>
          <w:rFonts w:ascii="Helvetica Neue" w:hAnsi="Helvetica Neue"/>
        </w:rPr>
      </w:pPr>
      <w:r>
        <w:rPr>
          <w:rFonts w:ascii="Helvetica Neue" w:hAnsi="Helvetica Neue"/>
        </w:rPr>
      </w:r>
      <w:r>
        <w:br w:type="page"/>
      </w:r>
    </w:p>
    <w:p>
      <w:pPr>
        <w:pStyle w:val="Normal"/>
        <w:spacing w:lineRule="auto" w:line="360"/>
        <w:jc w:val="both"/>
        <w:rPr>
          <w:rFonts w:ascii="Helvetica Neue" w:hAnsi="Helvetica Neue"/>
        </w:rPr>
      </w:pPr>
      <w:r>
        <w:rPr>
          <w:rFonts w:ascii="Helvetica Neue" w:hAnsi="Helvetica Neue"/>
        </w:rPr>
      </w:r>
    </w:p>
    <w:p>
      <w:pPr>
        <w:pStyle w:val="Heading1"/>
        <w:rPr/>
      </w:pPr>
      <w:r>
        <w:rPr/>
        <w:t xml:space="preserve">Supplementary Figures</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 Htrs transcription and hierarchical clustering visualization.</w:t>
      </w:r>
    </w:p>
    <w:p>
      <w:pPr>
        <w:pStyle w:val="Normal"/>
        <w:spacing w:lineRule="auto" w:line="360"/>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 plots showing distribution of intracellular amount of expression for each Htrs. (B) Heatmaps showing relationship between neurotransmitter, class and neighborhoods. (C) Bar plots representing the size of each group when cells are categorized by neurotransmitter (top), neighborhood (middle) and class (botttom).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S2. UMAP distribution of each Htr</w:t>
      </w:r>
    </w:p>
    <w:p>
      <w:pPr>
        <w:pStyle w:val="Normal"/>
        <w:spacing w:lineRule="auto" w:line="360"/>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S3. Htrs features across neighborhoods and classes</w:t>
      </w:r>
    </w:p>
    <w:p>
      <w:pPr>
        <w:pStyle w:val="Normal"/>
        <w:spacing w:lineRule="auto" w:line="360"/>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S4. Correlation and co-localization patterns across neighborhoods</w:t>
      </w:r>
    </w:p>
    <w:p>
      <w:pPr>
        <w:pStyle w:val="Normal"/>
        <w:spacing w:lineRule="auto" w:line="360"/>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S5. Htr1d transcription</w:t>
      </w:r>
    </w:p>
    <w:p>
      <w:pPr>
        <w:pStyle w:val="Normal"/>
        <w:spacing w:lineRule="auto" w:line="360"/>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the right, absolute number of cells expressing Htr1d RNA by class ranked in descending order (top ten). (D) Prevalence of Htr1d RNA across divisions (left) and structures (right). Inset represents the proportion of cells expressing Htr1d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Htr1d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S6. Htr5a transcription</w:t>
      </w:r>
    </w:p>
    <w:p>
      <w:pPr>
        <w:pStyle w:val="Normal"/>
        <w:spacing w:lineRule="auto" w:line="360"/>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the right, absolute number of cells expressing Htr5a RNA by class ranked in descending order (top ten). (D) Prevalence of Htr5a RNA across divisions (left) and structures (right). Inset represents the proportion of cells expressing Htr5a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S7. Htr5b transcription</w:t>
      </w:r>
    </w:p>
    <w:p>
      <w:pPr>
        <w:pStyle w:val="Normal"/>
        <w:spacing w:lineRule="auto" w:line="360"/>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the right, absolute number of cells expressing Htr5b RNA by class ranked in descending order (top ten). (D) Prevalence of Htr5b RNA across divisions (left) and structures (right). Inset represents the proportion of cells expressing Htr5b RNA that belongs to enriched clusters. (E) Prevalence of cells from enriched clusters across the antero-posterior axis, identified in the scRNA-seq dataset and cross-referenced in the MERFISH dataset.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Supplementary Figure S8. Htr2b transcription</w:t>
      </w:r>
    </w:p>
    <w:p>
      <w:pPr>
        <w:pStyle w:val="Normal"/>
        <w:spacing w:lineRule="auto" w:line="360"/>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the right, absolute number of cells expressing Htr2b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S9. Htr6 transcription</w:t>
      </w:r>
    </w:p>
    <w:p>
      <w:pPr>
        <w:pStyle w:val="Normal"/>
        <w:spacing w:lineRule="auto" w:line="360"/>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the right, absolute number of cells expressing Htr6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S10. Htr3a transcription</w:t>
      </w:r>
    </w:p>
    <w:p>
      <w:pPr>
        <w:pStyle w:val="Normal"/>
        <w:spacing w:lineRule="auto" w:line="360"/>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the right, absolute number of cells expressing Htr3a RNA by class ranked in descending order (top ten). (D) Prevalence of Htr3a RNA across divisions (left) and structures (right). Inset represents the proportion of cells expressing Htr3a RNA that belongs to enriched clusters. (E) Top: Prevalence of cells from enriched clusters across the antero-posterior axis, identified in the 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Figure S11. Htr3b transcription</w:t>
      </w:r>
    </w:p>
    <w:p>
      <w:pPr>
        <w:pStyle w:val="Normal"/>
        <w:spacing w:lineRule="auto" w:line="360"/>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the right, absolute number of cells expressing Htr3b RNA by class ranked in descending order (top ten).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1. Neighborhoods descriptions</w:t>
      </w:r>
    </w:p>
    <w:p>
      <w:pPr>
        <w:pStyle w:val="Normal"/>
        <w:spacing w:lineRule="auto" w:line="360"/>
        <w:jc w:val="both"/>
        <w:rPr>
          <w:rFonts w:ascii="Helvetica Neue" w:hAnsi="Helvetica Neue"/>
        </w:rPr>
      </w:pPr>
      <w:r>
        <w:rPr>
          <w:rFonts w:ascii="Helvetica Neue" w:hAnsi="Helvetica Neue"/>
        </w:rPr>
        <w:t xml:space="preserve">Description of cells belonging to each neighborhood group.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2. Region acronyms</w:t>
      </w:r>
    </w:p>
    <w:p>
      <w:pPr>
        <w:pStyle w:val="Normal"/>
        <w:spacing w:lineRule="auto" w:line="360"/>
        <w:jc w:val="both"/>
        <w:rPr>
          <w:rFonts w:ascii="Helvetica Neue" w:hAnsi="Helvetica Neue"/>
        </w:rPr>
      </w:pPr>
      <w:r>
        <w:rPr>
          <w:rFonts w:ascii="Helvetica Neue" w:hAnsi="Helvetica Neue"/>
        </w:rPr>
        <w:t xml:space="preserve">Allen Mouse Brain Common Coordinate Framework (CCF) acronyms.  </w:t>
      </w:r>
    </w:p>
    <w:p>
      <w:pPr>
        <w:pStyle w:val="Teaser"/>
        <w:spacing w:lineRule="auto" w:line="360" w:before="0" w:after="120"/>
        <w:jc w:val="both"/>
        <w:rPr>
          <w:rFonts w:ascii="Helvetica Neue" w:hAnsi="Helvetica Neue"/>
          <w:b/>
          <w:b/>
          <w:bCs/>
          <w:lang w:val="en-DE"/>
        </w:rPr>
      </w:pPr>
      <w:r>
        <w:rPr>
          <w:rFonts w:ascii="Helvetica Neue" w:hAnsi="Helvetica Neue"/>
          <w:b/>
          <w:bCs/>
          <w:lang w:val="en-DE"/>
        </w:rPr>
        <w:t xml:space="preserve">Table 3. Htrs defining features</w:t>
      </w:r>
    </w:p>
    <w:p>
      <w:pPr>
        <w:pStyle w:val="Normal"/>
        <w:spacing w:lineRule="auto" w:line="360"/>
        <w:jc w:val="both"/>
        <w:rPr>
          <w:rFonts w:ascii="Helvetica Neue" w:hAnsi="Helvetica Neue"/>
        </w:rPr>
      </w:pPr>
      <w:r>
        <w:rPr>
          <w:rFonts w:ascii="Helvetica Neue" w:hAnsi="Helvetica Neue"/>
        </w:rPr>
        <w:t xml:space="preserve">Table listing the defining feature of each Htr trascription pattern.  </w:t>
      </w:r>
    </w:p>
    <w:p>
      <w:pPr>
        <w:pStyle w:val="Normal"/>
        <w:rPr>
          <w:rFonts w:ascii="Helvetica Neue" w:hAnsi="Helvetica Neue" w:eastAsia="Helvetica Neue" w:cs="Helvetica Neue"/>
          <w:color w:val="000000"/>
          <w:u w:val="none" w:color="000000"/>
        </w:rPr>
      </w:pPr>
      <w:r>
        <w:rPr>
          <w:rFonts w:eastAsia="Helvetica Neue" w:cs="Helvetica Neue" w:ascii="Helvetica Neue" w:hAnsi="Helvetica Neue"/>
          <w:color w:val="000000"/>
          <w:u w:val="none" w:color="000000"/>
        </w:rPr>
      </w:r>
      <w:r>
        <w:br w:type="page"/>
      </w:r>
    </w:p>
    <w:p>
      <w:pPr>
        <w:pStyle w:val="Teaser"/>
        <w:spacing w:lineRule="auto" w:line="360" w:before="120" w:after="120"/>
        <w:jc w:val="both"/>
        <w:rPr>
          <w:rFonts w:ascii="Helvetica Neue" w:hAnsi="Helvetica Neue" w:eastAsia="Helvetica Neue" w:cs="Helvetica Neue"/>
          <w:lang w:val="en-DE"/>
        </w:rPr>
      </w:pPr>
      <w:r>
        <w:rPr/>
      </w:r>
    </w:p>
    <w:sectPr>
      <w:headerReference w:type="default" r:id="rId2"/>
      <w:footerReference w:type="default" r:id="rId3"/>
      <w:type w:val="nextPage"/>
      <w:pgSz w:w="11906" w:h="16838"/>
      <w:pgMar w:left="1134" w:right="851" w:header="709" w:top="851" w:footer="709" w:bottom="851" w:gutter="0"/>
      <w:lnNumType w:countBy="1" w:restart="continuous" w:distance="283"/>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ab/>
      <w:tab/>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DE"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15a4"/>
    <w:pPr>
      <w:widowControl/>
      <w:suppressAutoHyphens w:val="true"/>
      <w:bidi w:val="0"/>
      <w:spacing w:before="0" w:after="0"/>
      <w:jc w:val="left"/>
    </w:pPr>
    <w:rPr>
      <w:rFonts w:eastAsia="Times New Roman" w:ascii="Times New Roman" w:hAnsi="Times New Roman" w:cs="Times New Roman"/>
      <w:color w:val="auto"/>
      <w:kern w:val="0"/>
      <w:sz w:val="24"/>
      <w:szCs w:val="24"/>
      <w:lang w:val="en-DE" w:eastAsia="en-GB" w:bidi="ar-SA"/>
    </w:rPr>
  </w:style>
  <w:style w:type="paragraph" w:styleId="Heading1">
    <w:name w:val="Heading 1"/>
    <w:next w:val="Normal"/>
    <w:uiPriority w:val="9"/>
    <w:qFormat/>
    <w:pPr>
      <w:keepNext w:val="true"/>
      <w:keepLines/>
      <w:widowControl/>
      <w:suppressAutoHyphens w:val="true"/>
      <w:bidi w:val="0"/>
      <w:spacing w:lineRule="auto" w:line="360" w:before="720" w:after="240"/>
      <w:jc w:val="both"/>
      <w:outlineLvl w:val="0"/>
    </w:pPr>
    <w:rPr>
      <w:rFonts w:ascii="Helvetica Neue" w:hAnsi="Helvetica Neue" w:cs="Arial Unicode MS" w:eastAsia="Arial Unicode MS"/>
      <w:b/>
      <w:bCs/>
      <w:color w:val="000000"/>
      <w:kern w:val="0"/>
      <w:sz w:val="28"/>
      <w:szCs w:val="28"/>
      <w:u w:val="none" w:color="000000"/>
      <w:lang w:val="en-US" w:eastAsia="en-GB" w:bidi="ar-SA"/>
    </w:rPr>
  </w:style>
  <w:style w:type="paragraph" w:styleId="Heading2">
    <w:name w:val="Heading 2"/>
    <w:basedOn w:val="Normal"/>
    <w:next w:val="Normal"/>
    <w:link w:val="Heading2Char"/>
    <w:uiPriority w:val="9"/>
    <w:semiHidden/>
    <w:unhideWhenUsed/>
    <w:qFormat/>
    <w:rsid w:val="005d3cb8"/>
    <w:pPr>
      <w:keepNext w:val="true"/>
      <w:keepLines/>
      <w:spacing w:before="40" w:after="0"/>
      <w:outlineLvl w:val="1"/>
    </w:pPr>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val="true"/>
      <w:keepLines/>
      <w:spacing w:before="40" w:after="0"/>
      <w:outlineLvl w:val="2"/>
    </w:pPr>
    <w:rPr>
      <w:rFonts w:ascii="Helvetica Neue" w:hAnsi="Helvetica Neue" w:eastAsia="Helvetica Neue" w:cs="Helvetica Neue"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semiHidden/>
    <w:unhideWhenUsed/>
    <w:qFormat/>
    <w:rsid w:val="00da4ee9"/>
    <w:pPr>
      <w:keepNext w:val="true"/>
      <w:keepLines/>
      <w:spacing w:before="40" w:after="0"/>
      <w:outlineLvl w:val="3"/>
    </w:pPr>
    <w:rPr>
      <w:rFonts w:ascii="Helvetica Neue" w:hAnsi="Helvetica Neue" w:eastAsia="Helvetica Neue" w:cs="Helvetica Neue"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Link" w:customStyle="1">
    <w:name w:val="Link"/>
    <w:qFormat/>
    <w:rPr>
      <w:color w:val="0000FF"/>
      <w:u w:val="single" w:color="0000FF"/>
    </w:rPr>
  </w:style>
  <w:style w:type="character" w:styleId="Hyperlink0" w:customStyle="1">
    <w:name w:val="Hyperlink.0"/>
    <w:basedOn w:val="Link"/>
    <w:qFormat/>
    <w:rPr>
      <w:rFonts w:ascii="Helvetica Neue" w:hAnsi="Helvetica Neue" w:eastAsia="Helvetica Neue" w:cs="Helvetica Neue"/>
      <w:color w:val="0000FF"/>
      <w:sz w:val="20"/>
      <w:szCs w:val="20"/>
      <w:u w:val="single" w:color="0000FF"/>
    </w:rPr>
  </w:style>
  <w:style w:type="character" w:styleId="Hyperlink1" w:customStyle="1">
    <w:name w:val="Hyperlink.1"/>
    <w:basedOn w:val="Link"/>
    <w:qFormat/>
    <w:rPr>
      <w:color w:val="000000"/>
      <w:u w:val="none" w:color="000000"/>
    </w:rPr>
  </w:style>
  <w:style w:type="character" w:styleId="Hyperlink2" w:customStyle="1">
    <w:name w:val="Hyperlink.2"/>
    <w:basedOn w:val="Link"/>
    <w:qFormat/>
    <w:rPr>
      <w:rFonts w:ascii="Helvetica Neue" w:hAnsi="Helvetica Neue" w:eastAsia="Helvetica Neue" w:cs="Helvetica Neue"/>
      <w:color w:val="0000FF"/>
      <w:u w:val="single" w:color="0000FF"/>
    </w:rPr>
  </w:style>
  <w:style w:type="character" w:styleId="CommentTextChar" w:customStyle="1">
    <w:name w:val="Comment Text Char"/>
    <w:basedOn w:val="DefaultParagraphFont"/>
    <w:link w:val="CommentText"/>
    <w:uiPriority w:val="99"/>
    <w:qFormat/>
    <w:rPr>
      <w:rFonts w:cs="Arial Unicode MS"/>
      <w:color w:val="000000"/>
      <w:u w:val="none" w:color="000000"/>
      <w:lang w:val="en-US"/>
    </w:rPr>
  </w:style>
  <w:style w:type="character" w:styleId="Annotation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rPr/>
  </w:style>
  <w:style w:type="character" w:styleId="CommentSubjectChar" w:customStyle="1">
    <w:name w:val="Comment Subject Char"/>
    <w:basedOn w:val="CommentTextChar"/>
    <w:link w:val="CommentSubject"/>
    <w:uiPriority w:val="99"/>
    <w:semiHidden/>
    <w:qFormat/>
    <w:rsid w:val="00335261"/>
    <w:rPr>
      <w:rFonts w:cs="Arial Unicode MS"/>
      <w:b/>
      <w:bCs/>
      <w:color w:val="000000"/>
      <w:u w:val="none" w:color="000000"/>
      <w:lang w:val="en-US"/>
    </w:rPr>
  </w:style>
  <w:style w:type="character" w:styleId="Heading2Char" w:customStyle="1">
    <w:name w:val="Heading 2 Char"/>
    <w:basedOn w:val="DefaultParagraphFont"/>
    <w:link w:val="Heading2"/>
    <w:uiPriority w:val="9"/>
    <w:semiHidden/>
    <w:qFormat/>
    <w:rsid w:val="005d3cb8"/>
    <w:rPr>
      <w:rFonts w:ascii="Helvetica Neue" w:hAnsi="Helvetica Neue" w:eastAsia="Helvetica Neue" w:cs="Helvetica Neue" w:asciiTheme="majorHAnsi" w:cstheme="majorBidi" w:eastAsiaTheme="majorEastAsia" w:hAnsiTheme="majorHAns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fill="E1DFDD" w:val="clear"/>
    </w:rPr>
  </w:style>
  <w:style w:type="character" w:styleId="Heading3Char" w:customStyle="1">
    <w:name w:val="Heading 3 Char"/>
    <w:basedOn w:val="DefaultParagraphFont"/>
    <w:link w:val="Heading3"/>
    <w:uiPriority w:val="9"/>
    <w:semiHidden/>
    <w:qFormat/>
    <w:rsid w:val="00da4ee9"/>
    <w:rPr>
      <w:rFonts w:ascii="Helvetica Neue" w:hAnsi="Helvetica Neue" w:eastAsia="Helvetica Neue" w:cs="Helvetica Neue"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semiHidden/>
    <w:qFormat/>
    <w:rsid w:val="00da4ee9"/>
    <w:rPr>
      <w:rFonts w:ascii="Helvetica Neue" w:hAnsi="Helvetica Neue" w:eastAsia="Helvetica Neue" w:cs="Helvetica Neue" w:asciiTheme="majorHAnsi" w:cstheme="majorBidi" w:eastAsiaTheme="majorEastAsia" w:hAnsiTheme="majorHAnsi"/>
      <w:i/>
      <w:iCs/>
      <w:color w:val="2F5496" w:themeColor="accent1" w:themeShade="bf"/>
      <w:sz w:val="24"/>
      <w:szCs w:val="24"/>
    </w:rPr>
  </w:style>
  <w:style w:type="character" w:styleId="AuthorsChar" w:customStyle="1">
    <w:name w:val="Authors Char"/>
    <w:basedOn w:val="DefaultParagraphFont"/>
    <w:link w:val="Authors"/>
    <w:qFormat/>
    <w:rsid w:val="006b719e"/>
    <w:rPr>
      <w:rFonts w:cs="Arial Unicode MS"/>
      <w:color w:val="000000"/>
      <w:sz w:val="24"/>
      <w:szCs w:val="24"/>
      <w:u w:val="none" w:color="000000"/>
      <w:lang w:val="en-US"/>
    </w:rPr>
  </w:style>
  <w:style w:type="character" w:styleId="EndNoteBibliographyTitleChar" w:customStyle="1">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styleId="HTMLPreformattedChar" w:customStyle="1">
    <w:name w:val="HTML Preformatted Char"/>
    <w:basedOn w:val="DefaultParagraphFont"/>
    <w:link w:val="HTMLPreformatted"/>
    <w:uiPriority w:val="99"/>
    <w:semiHidden/>
    <w:qFormat/>
    <w:rsid w:val="00e54732"/>
    <w:rPr>
      <w:rFonts w:ascii="Courier New" w:hAnsi="Courier New" w:eastAsia="Times New Roman" w:cs="Courier New"/>
    </w:rPr>
  </w:style>
  <w:style w:type="character" w:styleId="P" w:customStyle="1">
    <w:name w:val="p"/>
    <w:basedOn w:val="DefaultParagraphFont"/>
    <w:qFormat/>
    <w:rsid w:val="00e54732"/>
    <w:rPr/>
  </w:style>
  <w:style w:type="character" w:styleId="O" w:customStyle="1">
    <w:name w:val="o"/>
    <w:basedOn w:val="DefaultParagraphFont"/>
    <w:qFormat/>
    <w:rsid w:val="00e54732"/>
    <w:rPr/>
  </w:style>
  <w:style w:type="character" w:styleId="N" w:customStyle="1">
    <w:name w:val="n"/>
    <w:basedOn w:val="DefaultParagraphFont"/>
    <w:qFormat/>
    <w:rsid w:val="00e54732"/>
    <w:rPr/>
  </w:style>
  <w:style w:type="character" w:styleId="K" w:customStyle="1">
    <w:name w:val="k"/>
    <w:basedOn w:val="DefaultParagraphFont"/>
    <w:qFormat/>
    <w:rsid w:val="00e54732"/>
    <w:rPr/>
  </w:style>
  <w:style w:type="character" w:styleId="Ow" w:customStyle="1">
    <w:name w:val="ow"/>
    <w:basedOn w:val="DefaultParagraphFont"/>
    <w:qFormat/>
    <w:rsid w:val="00e54732"/>
    <w:rPr/>
  </w:style>
  <w:style w:type="character" w:styleId="LineNumbering" w:customStyle="1">
    <w:name w:val="Line Numbering"/>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Header">
    <w:name w:val="Header"/>
    <w:pPr>
      <w:widowControl/>
      <w:suppressLineNumbers/>
      <w:tabs>
        <w:tab w:val="clear" w:pos="720"/>
        <w:tab w:val="center" w:pos="4513" w:leader="none"/>
        <w:tab w:val="right" w:pos="9026" w:leader="none"/>
      </w:tabs>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uthors" w:customStyle="1">
    <w:name w:val="Authors"/>
    <w:link w:val="AuthorsChar"/>
    <w:qFormat/>
    <w:pPr>
      <w:widowControl/>
      <w:suppressAutoHyphens w:val="true"/>
      <w:bidi w:val="0"/>
      <w:spacing w:before="120" w:after="360"/>
      <w:jc w:val="center"/>
    </w:pPr>
    <w:rPr>
      <w:rFonts w:cs="Arial Unicode MS" w:ascii="Times New Roman" w:hAnsi="Times New Roman" w:eastAsia="Arial Unicode MS"/>
      <w:color w:val="000000"/>
      <w:kern w:val="0"/>
      <w:sz w:val="24"/>
      <w:szCs w:val="24"/>
      <w:u w:val="none" w:color="000000"/>
      <w:lang w:val="en-US" w:eastAsia="en-GB" w:bidi="ar-SA"/>
    </w:rPr>
  </w:style>
  <w:style w:type="paragraph" w:styleId="Footnote">
    <w:name w:val="Footnote Text"/>
    <w:pPr>
      <w:widowControl/>
      <w:suppressAutoHyphens w:val="true"/>
      <w:bidi w:val="0"/>
      <w:spacing w:before="0" w:after="0"/>
      <w:jc w:val="both"/>
    </w:pPr>
    <w:rPr>
      <w:rFonts w:cs="Arial Unicode MS" w:ascii="Times New Roman" w:hAnsi="Times New Roman" w:eastAsia="Arial Unicode MS"/>
      <w:color w:val="000000"/>
      <w:kern w:val="0"/>
      <w:sz w:val="24"/>
      <w:szCs w:val="24"/>
      <w:u w:val="none" w:color="000000"/>
      <w:lang w:val="en-US" w:eastAsia="en-GB" w:bidi="ar-SA"/>
    </w:rPr>
  </w:style>
  <w:style w:type="paragraph" w:styleId="Paragraph" w:customStyle="1">
    <w:name w:val="Paragraph"/>
    <w:qFormat/>
    <w:pPr>
      <w:widowControl/>
      <w:suppressAutoHyphens w:val="true"/>
      <w:bidi w:val="0"/>
      <w:spacing w:before="120" w:after="0"/>
      <w:ind w:firstLine="72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bstractSummary" w:customStyle="1">
    <w:name w:val="Abstract/Summary"/>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Teaser" w:customStyle="1">
    <w:name w:val="Teaser"/>
    <w:qFormat/>
    <w:pPr>
      <w:widowControl/>
      <w:suppressAutoHyphens w:val="true"/>
      <w:bidi w:val="0"/>
      <w:spacing w:before="12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Default" w:customStyle="1">
    <w:name w:val="Default"/>
    <w:qFormat/>
    <w:pPr>
      <w:widowControl/>
      <w:suppressAutoHyphens w:val="true"/>
      <w:bidi w:val="0"/>
      <w:spacing w:before="0" w:after="0"/>
      <w:jc w:val="left"/>
    </w:pPr>
    <w:rPr>
      <w:rFonts w:ascii="Helvetica Neue" w:hAnsi="Helvetica Neue" w:eastAsia="Helvetica Neue" w:cs="Helvetica Neue"/>
      <w:color w:val="000000"/>
      <w:kern w:val="0"/>
      <w:sz w:val="22"/>
      <w:szCs w:val="22"/>
      <w:lang w:val="en-DE" w:eastAsia="en-GB" w:bidi="ar-SA"/>
    </w:rPr>
  </w:style>
  <w:style w:type="paragraph" w:styleId="Legendmine" w:customStyle="1">
    <w:name w:val="legend_mine"/>
    <w:qFormat/>
    <w:pPr>
      <w:keepNext w:val="true"/>
      <w:widowControl/>
      <w:suppressAutoHyphens w:val="true"/>
      <w:bidi w:val="0"/>
      <w:spacing w:lineRule="auto" w:line="276" w:before="240" w:after="480"/>
      <w:ind w:left="851" w:right="851" w:hanging="0"/>
      <w:jc w:val="both"/>
      <w:outlineLvl w:val="0"/>
    </w:pPr>
    <w:rPr>
      <w:rFonts w:ascii="Helvetica Neue" w:hAnsi="Helvetica Neue" w:cs="Arial Unicode MS" w:eastAsia="Arial Unicode MS"/>
      <w:b/>
      <w:bCs/>
      <w:color w:val="000000"/>
      <w:kern w:val="2"/>
      <w:sz w:val="24"/>
      <w:szCs w:val="20"/>
      <w:u w:val="none" w:color="000000"/>
      <w:lang w:val="en-US" w:eastAsia="en-GB" w:bidi="ar-SA"/>
    </w:rPr>
  </w:style>
  <w:style w:type="paragraph" w:styleId="SMText" w:customStyle="1">
    <w:name w:val="SM Text"/>
    <w:qFormat/>
    <w:pPr>
      <w:widowControl/>
      <w:suppressAutoHyphens w:val="true"/>
      <w:bidi w:val="0"/>
      <w:spacing w:before="0" w:after="0"/>
      <w:ind w:firstLine="48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Normal1" w:customStyle="1">
    <w:name w:val="Normal1"/>
    <w:qFormat/>
    <w:pPr>
      <w:widowControl/>
      <w:suppressAutoHyphens w:val="true"/>
      <w:bidi w:val="0"/>
      <w:spacing w:lineRule="auto" w:line="360" w:before="0" w:after="0"/>
      <w:jc w:val="left"/>
    </w:pPr>
    <w:rPr>
      <w:rFonts w:ascii="Helvetica Neue" w:hAnsi="Helvetica Neue" w:cs="Arial Unicode MS" w:eastAsia="Arial Unicode MS"/>
      <w:color w:val="000000"/>
      <w:kern w:val="0"/>
      <w:sz w:val="24"/>
      <w:szCs w:val="24"/>
      <w:u w:val="none" w:color="000000"/>
      <w:lang w:val="en-US" w:eastAsia="en-GB" w:bidi="ar-SA"/>
    </w:rPr>
  </w:style>
  <w:style w:type="paragraph" w:styleId="Legend" w:customStyle="1">
    <w:name w:val="Legend"/>
    <w:qFormat/>
    <w:pPr>
      <w:keepNext w:val="true"/>
      <w:widowControl/>
      <w:suppressAutoHyphens w:val="true"/>
      <w:bidi w:val="0"/>
      <w:spacing w:before="240" w:after="0"/>
      <w:jc w:val="left"/>
      <w:outlineLvl w:val="0"/>
    </w:pPr>
    <w:rPr>
      <w:rFonts w:cs="Arial Unicode MS" w:ascii="Times New Roman" w:hAnsi="Times New Roman" w:eastAsia="Arial Unicode MS"/>
      <w:color w:val="000000"/>
      <w:kern w:val="2"/>
      <w:sz w:val="24"/>
      <w:szCs w:val="24"/>
      <w:u w:val="none" w:color="000000"/>
      <w:lang w:val="en-US" w:eastAsia="en-GB" w:bidi="ar-SA"/>
    </w:rPr>
  </w:style>
  <w:style w:type="paragraph" w:styleId="SMcaption" w:customStyle="1">
    <w:name w:val="SM caption"/>
    <w:qFormat/>
    <w:pPr>
      <w:widowControl/>
      <w:suppressAutoHyphens w:val="true"/>
      <w:bidi w:val="0"/>
      <w:spacing w:before="0" w:after="0"/>
      <w:jc w:val="left"/>
    </w:pPr>
    <w:rPr>
      <w:rFonts w:eastAsia="Times New Roman" w:ascii="Times New Roman" w:hAnsi="Times New Roman" w:cs="Times New Roman"/>
      <w:color w:val="000000"/>
      <w:kern w:val="0"/>
      <w:sz w:val="24"/>
      <w:szCs w:val="24"/>
      <w:u w:val="none" w:color="000000"/>
      <w:lang w:val="en-US" w:eastAsia="en-GB" w:bidi="ar-SA"/>
    </w:rPr>
  </w:style>
  <w:style w:type="paragraph" w:styleId="EndNoteBibliography" w:customStyle="1">
    <w:name w:val="EndNote Bibliography"/>
    <w:qFormat/>
    <w:pPr>
      <w:widowControl/>
      <w:suppressAutoHyphens w:val="true"/>
      <w:bidi w:val="0"/>
      <w:spacing w:before="0" w:after="0"/>
      <w:jc w:val="both"/>
    </w:pPr>
    <w:rPr>
      <w:rFonts w:eastAsia="Helvetica Neue" w:ascii="Times New Roman" w:hAnsi="Times New Roman" w:cs="Times New Roman"/>
      <w:color w:val="000000"/>
      <w:kern w:val="0"/>
      <w:sz w:val="24"/>
      <w:szCs w:val="24"/>
      <w:u w:val="none" w:color="000000"/>
      <w:lang w:val="en-US" w:eastAsia="en-GB" w:bidi="ar-SA"/>
    </w:rPr>
  </w:style>
  <w:style w:type="paragraph" w:styleId="Annotationtext">
    <w:name w:val="annotation text"/>
    <w:basedOn w:val="Normal"/>
    <w:link w:val="CommentTextChar"/>
    <w:uiPriority w:val="99"/>
    <w:unhideWhenUsed/>
    <w:qFormat/>
    <w:pPr/>
    <w:rPr>
      <w:sz w:val="20"/>
      <w:szCs w:val="20"/>
    </w:rPr>
  </w:style>
  <w:style w:type="paragraph" w:styleId="Revision">
    <w:name w:val="Revision"/>
    <w:uiPriority w:val="99"/>
    <w:semiHidden/>
    <w:qFormat/>
    <w:rsid w:val="00786929"/>
    <w:pPr>
      <w:widowControl/>
      <w:suppressAutoHyphens w:val="true"/>
      <w:bidi w:val="0"/>
      <w:spacing w:before="0" w:after="0"/>
      <w:jc w:val="left"/>
    </w:pPr>
    <w:rPr>
      <w:rFonts w:cs="Arial Unicode MS" w:ascii="Times New Roman" w:hAnsi="Times New Roman" w:eastAsia="Arial Unicode MS"/>
      <w:color w:val="000000"/>
      <w:kern w:val="0"/>
      <w:sz w:val="24"/>
      <w:szCs w:val="24"/>
      <w:u w:val="none" w:color="000000"/>
      <w:lang w:val="en-US" w:eastAsia="en-GB" w:bidi="ar-SA"/>
    </w:rPr>
  </w:style>
  <w:style w:type="paragraph" w:styleId="Annotationsubject">
    <w:name w:val="annotation subject"/>
    <w:basedOn w:val="Annotationtext"/>
    <w:next w:val="Annotationtext"/>
    <w:link w:val="CommentSubjectChar"/>
    <w:uiPriority w:val="99"/>
    <w:semiHidden/>
    <w:unhideWhenUsed/>
    <w:qFormat/>
    <w:rsid w:val="00335261"/>
    <w:pPr/>
    <w:rPr>
      <w:b/>
      <w:bCs/>
    </w:rPr>
  </w:style>
  <w:style w:type="paragraph" w:styleId="EndNoteBibliographyTitle" w:customStyle="1">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ooter">
    <w:name w:val="Footer"/>
    <w:basedOn w:val="HeaderandFooter"/>
    <w:pPr>
      <w:suppressLineNumbers/>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LibreOffice/6.4.7.2$Linux_X86_64 LibreOffice_project/40$Build-2</Application>
  <Pages>8</Pages>
  <Words>117</Words>
  <Characters>601</Characters>
  <CharactersWithSpaces>690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2021-02-03T13:50:00Z</dcterms:created>
  <dc:creator>Roberto De Filippo</dc:creator>
  <dc:description/>
  <dc:language>en-US</dc:language>
  <cp:lastModifiedBy/>
  <cp:lastPrinted>2021-02-03T13:50:00Z</cp:lastPrinted>
  <dcterms:modified xsi:type="dcterms:W3CDTF">2024-06-12T11:06:56Z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