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Correspondence to: </w:t>
      </w:r>
      <w:r>
        <w:rPr>
          <w:rFonts w:ascii="Helvetica Neue" w:hAnsi="Helvetica Neue" w:asciiTheme="minorHAnsi" w:hAnsiTheme="minorHAnsi"/>
          <w:sz w:val="21"/>
          <w:szCs w:val="21"/>
        </w:rPr>
        <w:t xml:space="preserve">roberto.de-filippo@charite.de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transcription patterns of all 14 known Htr subtypes, revealing a wide diversity in their prevalence and distribution across cell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≈10 million cells found in a mouse brain, we analyzed the spatial distribution of each Htr confirming previous findings and uncovering novel patterns of transcription at an unprecedented level of detail.  We show that the majority of Htr-transcribing cells 7.4% contain RNA of at least one other Htr, underscoring the complexity of the 5-HT system even at the single-cell dimension. To aid the exploration of Htrs transcription in the datasets we provide an interactive visualizer available online (https://rdef654875678597657-5-ht-transcriptomics.hf.space). This tool enables in-depth analysis at various levels of granularity. </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#2886},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 {Yao,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in {Yao,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 (see {Zhang,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Some Htr1a agonists are currently used as anxiolytics {Parks, 1998 #2950, Smith, 2023 #2958} and antidepressant {Harmer, 2017 #2953; Yohn, 2017 #2954; Cowen, 2015 #2955}, the link between 5-HT imbalances, 5-HT1A activation and depression is, however, controversial and has been called in question {Moncrieff, 2023 #2951}. Htr1b and Htr1d agonists, like triptans, are effective in treating migraines {Goadsby, 2007 #2957}. Htr1a RNA has a stable prevalence of ≈10% across neighborhoods in the scRNA-seq dataset, with virtual absence in the TH-EPI-Glut group (Figure 2A).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 {Yao,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transcription were stable across the anterior-posterior axis like in most other Htrs (Figure 2E-F). Htr1b is involved in social memory persistaence in mouse {Wu,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 {Maroteaux,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 {He, 2022 #2942; Yao, 2021 #2943}.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 {De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#2886} and {Zhang,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t xml:space="preserve">Materials and Methods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Jupyter notebooks structure</w:t>
      </w:r>
    </w:p>
    <w:p>
      <w:pPr>
        <w:pStyle w:val="Normal"/>
        <w:spacing w:lineRule="auto" w:line="360" w:before="0" w:after="360"/>
        <w:jc w:val="both"/>
        <w:rPr>
          <w:rFonts w:ascii="Helvetica Neue" w:hAnsi="Helvetica Neue"/>
        </w:rPr>
      </w:pPr>
      <w:r>
        <w:rPr>
          <w:rFonts w:ascii="Helvetica Neue" w:hAnsi="Helvetica Neue"/>
        </w:rPr>
        <w:t xml:space="preserve">The entire analysis is contained in 2 jupyter notebooks hosted on Github at https://github.com/RobertoDF/Transcriptomics-5-HT.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(https://alleninstitute.github.io/abc_atlas_access/intro.html).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5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Lineplot representing the proportion of cells selected across the spatial axis associated to each dataset, 2. Lineplot representing the amount of transcription across space of the selected gene, 3. Lineplot representing the percentage of cells across space in which RNA of the selected gene was detected (threshold set at 0.3), 4. Barplot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Violinplots: Gene prevalence by subclass, 2.Violinplots: Prevalence by supertype, 3. Barplots: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Contributions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Conceptualization, data curation, formal analysis, investigation, visualization, supervision: RDF. Writing - original draft: RDF. Writing - review &amp; editing: RDF, DS. Funding acquisition &amp; resources: DS.</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Barplot showing absolute number of cells transcribing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r>
    </w:p>
    <w:p>
      <w:pPr>
        <w:pStyle w:val="Normal"/>
        <w:spacing w:lineRule="auto" w:line="360"/>
        <w:jc w:val="both"/>
        <w:rPr>
          <w:rFonts w:ascii="Helvetica Neue" w:hAnsi="Helvetica Neue"/>
        </w:rPr>
      </w:pPr>
      <w:r>
        <w:rPr>
          <w:rFonts w:ascii="Helvetica Neue" w:hAnsi="Helvetica Neue"/>
        </w:rPr>
        <w:t xml:space="preserve">Allen Mouse Brain Common Coordinate Framework (CCF) acronyms.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r>
    </w:p>
    <w:p>
      <w:pPr>
        <w:pStyle w:val="Normal"/>
        <w:spacing w:lineRule="auto" w:line="360"/>
        <w:jc w:val="both"/>
        <w:rPr>
          <w:rFonts w:ascii="Helvetica Neue" w:hAnsi="Helvetica Neue"/>
        </w:rPr>
      </w:pPr>
      <w:r>
        <w:rPr>
          <w:rFonts w:ascii="Helvetica Neue" w:hAnsi="Helvetica Neue"/>
        </w:rPr>
        <w:t xml:space="preserve">Concise table listing the defining feature of each Htr trascription pattern.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eastAsia="Times New Roman" w:ascii="Times New Roman" w:hAnsi="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cs="Arial Unicode MS" w:eastAsia="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cs="Arial Unicode MS" w:ascii="Times New Roman" w:hAnsi="Times New Roman" w:eastAsia="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cs="Arial Unicode MS" w:ascii="Times New Roman" w:hAnsi="Times New Roman" w:eastAsia="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cs="Arial Unicode MS" w:eastAsia="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cs="Arial Unicode MS" w:eastAsia="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cs="Arial Unicode MS" w:ascii="Times New Roman" w:hAnsi="Times New Roman" w:eastAsia="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eastAsia="Times New Roman" w:ascii="Times New Roman" w:hAnsi="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eastAsia="Helvetica Neue" w:ascii="Times New Roman" w:hAnsi="Times New Roman"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LibreOffice/6.4.7.2$Linux_X86_64 LibreOffice_project/40$Build-2</Application>
  <Pages>8</Pages>
  <Words>117</Words>
  <Characters>601</Characters>
  <CharactersWithSpaces>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2024-06-12T11:06:56Z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