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throughout the brain. Notably, we found that 65.84% of cells transcribe RNA of at least one Htr and often Htrs were found to colocalize. The transcription patterns of Htrs can accurately inform a random forest classifier to identify specific classes and types of neurotransmitter-releasing cells with surprising success. Leveraging a a multiplexed error-robust fluorescence in situ hybridization (MERFISH) dataset provided by Harvard University of ~7% of the totality of cells found in a mouse brain, we analyzed the spatial distribution of each Htr confirming previous findings and uncovering novel patterns of possible expression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each linked to distinct G protein-coupled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among neurons and throughout different brain regions.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and depth of profiling, allowing for the intricate detailing of each Htr's expression patterns. This advanced level of detail enriches our comprehension of 5-HT's roles, paving the way for more precise and nuanced interpretations of its influence across neural circuits. To elucidate the complexities of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deepening our understanding of the complex roles of 5-HT in brain function. To facilitate broader custom exploration of the Htr landscape throughout the brain, we have developed an online visualization tool that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The RNA-seq dataset comprehensively encompassed all known 14 Htr subtypes. 65.84% of cells transcribed RNA of at least one Htr. To evaluate transcription we used the same stringent threshold (log(CPM)&gt;3.5) used by the original authors to determine neurotransmitter release {Yao, 2023 #2828}. 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36.74%. Reflecting the correlation analysis, the confusion matrix showed that Sero and Chol were among the groups with higher true positive (TP) rate (Sero=69.86%, Chol=42.01%). Cells not transcribing any neurotranmitter, that did not exhibited a low r beforehand, were , nonetheless, identified even more successfully (80.99%). Moreover, Noradrenaline (Nora) and glycine (GABA-Glyc) releasing neurons were identified at considerable levels (Nora=32.26% and GABA-Glyc=47.39%).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51.77%. The model could differentiate best the NN-IMN-GC, TH-EPI-Glut and Pallium-Glut groups (NN-IMN-GC=74.03%, TH-EPI-Glut=65.16% and Pallium-Glut=57.19%,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even more striking (Figure 1d). 7 groups could be identified with a TP rate &gt;40%: 04 DG-IMN Glut, 05 OB-IMN GABA, 09 CNU-LGE GABA, 18 TH Glut, 22 MB-HB Sero, 25 Pineal Glut, and 32 OEC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characterized by high levels of Htr1a; at last, 34 Immune cells were identified by absence of any Htr transcription. The exclusive use of Htrs transcription pattern reached a impressive 13.45%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exhibits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correspondance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cells transcribing Htr1a (see online visualizer, 'Overview genes by class'). To pinpoint the spatial location, we first identified in the RNA-seq dataset 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trancribed in OLF, CTXsp, HPF and Isocortex (Figure 9d) and is most prevalent in the anterior part of the brain, altough, puzzingly,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(Supplementary Figure 10c).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chanche level. Surprisingly, it was common to detect multiple Htrs within a single cells. This points at the great complexity of the 5-HT system even at a cellular level. We can recapitulate our results regarding each Htr by summarizing the defining feature of each receptor: Htr1a is expressed in an important fraction of Sero neurons of the raphe and some HPF excitatory neurons; Htr1b is expressed in many inhibitory striatal neurons and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costraints of a traditional scientific article. To bypass this limit and, at the same time, provide the ability to explore the 5-HT transcription landscape at different depths, we provide a custom online visualizer. The visualizer enbles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