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expression patterns of all 14 known Htr subtypes, revealing a wide diversity in their prevalence and distribution throughout the brain. Notably, we found that 65.84% of cells transcribe RNA of at least one Htr and often Htrs were found to colocalize . The transcription patterns of Htrs can accurately inform a random forest classifier to identify specific classes and types of neurotransmitter-releasing cells with surprising success. Leveraging a a multiplexed error-robust fluorescence in situ hybridization (MERFISH) dataset provided by Harvard University of ~7% of the totality of cells found in a mouse brain, we analysed the spatial distribution of each Htr confirming previous findings and uncovering novel patterns of possible expression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online visualizer. This tool enables in-depth analysis at various levels of granularity. </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each linked to distinct G protein-coupled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among neurons and throughout different brain regions.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gene transcription. Unlike their predecessors, these techniques offer an unparalleled resolution and depth of profiling, allowing for the intricate detailing of each Htr's expression patterns. This advanced level of detail enriches our comprehension of 5-HT's roles, paving the way for more precise and nuanced interpretations of its influence across neural circuits. To elucidate the complexities tied to the distribution of each Htr subtype, we utilized an RNA-seq dataset provided by the Allen Institute {Yao, 2023 #2828},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deepening our understanding of the complex roles of 5-HT in brain function. To facilitate broader custom exploration of the Htr landscape throughout the brain, we have developed an online visualization tool that enables the seamless exploration of both the RNA-seq and MERFISH dataset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 dataset provided by the Allen Institute {Yao, 2023 #2828} focusing on the transcription of Htrs genes across approximately 4 million brain cells. The RNA-seq dataset comprehensively encompassed all known 14 Htr subtypes. 65.84% of cells transcribed RNA of at least one Htr. To evaluate transcription we used the same stringent threshold (log(CPM)&gt;3.5) used by the original authors to determine neurotransmitter release {Yao, 2023 #2828}Prevalence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#2828}, offer a condensed categorization of cell types (Supplementary Figure 1b, Table 1). When looking at the UMAP distributions of individual Htr, considerable differences were also present within each family of receptors (Supplementary Figure 2). We analyzed these differences grouping cells by neurotransmitter, neighborhood or class (Supplementary Figure 1b). The totality of cells were divided in 34 classes (as defined in {Yao, 2023 #2828}). These categorizations divided cells in a highly skewed fashion (Supplementary Figure 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relatevely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36.66%. Reflecting the correlation analysis, the confusion matrix showed that Sero and Chol were among the groups with higher true positive (TP) rate (Sero=75.34%, Chol=45.26%). Cells not transcribing any neurotranmitter, that did not exhibited a low r beforehand, were , nonetheless, identified even more successfully (81.15%). Moreover, Noradrenaline (Nora) and glycine (GABA-Glyc) releasing neurons were identified at considerable levels (Nora=32.26% and GABA-Glyc=48.57%).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51.58%. The model could differentiate best the NN-IMN-GC, TH-EPI-Glut and Pallium-Glut groups (NN-IMN-GC=73.5%, TH-EPI-Glut=65.65% and Pallium-Glut=56.94%, Supplementary Figure 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neighboroods.Across classes, differences in Htrs transcription were even more striking (Figure 1d). 6 groups could be identified with a TP rate &gt;40%: 04 DG-IMN Glut, 05 OB-IMN GABA, 09 CNU-LGE GABA, 18 TH Glut, 22 MB-HB Sero, and 34 Immune (Supplementary Figure 3b). 04 DG-IMN Glut were charachterized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miroring the results showed by Sero neurons, were characterized by high levels of Htr1a; at last, 34 Immune cells were identified by absence of any Htr transcription. The exclusive use of Htrs transcription pattern reached a impressive 15.17% accuracy in decoding classes.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(Supplementary Figure 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exhibits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showed a good correspondance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cells transcribing Htr1a (see online visualizer, 'Overview genes by class'). To pinpoint the spatial location, we first identified in the RNA-seq datasetbthe clusters highly enriched with Htr1a RNA with a threshold of 70%, i.e., to be classified as enriched at least 70% of cells in a cluster must express the receptor. Only 6.52% of Htr1a transcribing cells were contained in enriched clusters, pointing at a relatively low importance in the clustering algorithm.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a subclass of the nucleus of the lateral olfactory tract (NLOT, see online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Htrs in the 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in absolute prevalence per class (Figure 4c).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asymettric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online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although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across neighborhoods (Supplementary Figure 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depolarization by increasing intracellular Ca2+.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(Supplementary Figure 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 of the high prevalence in HPF. Excitatory cells of CA2, CA3 and indusium griseum (IG) also transcribed Htr4 RNA (see online visualizer, 'Overview genes by brain structure').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(Supplementry Figure 11c). </w:t>
        <w:br/>
        <w:t xml:space="preserve">Conversely, Htr7 was transcibed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trancribed in OLF, CTXsp, HPF and Isocortex (Figure 9d) and is most prevalent in the anterior part of the brain, altough, puzzingly, with slightly lower amount of RNA per cell (Figure 9e-f). Htr3b was not included in the MERFISH dataset and no cluster was found to be enriched with this receptor. Htr3b was the least transcribed Htr gene in the entire RNAseq dataset. Similarly to Htr3a, its transcription was delimited to the 06 CTX-CGE GABA class (Supplementary Figure 10c).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chanche level. Surprisingly, it was common to detect multiple Htrs within a single cells. This points at the great complexity of the 5-HT system even at a cellular level. We can recapitulate our results regarding each Htr by summarizing the defining feature of each receptor: Htr1a is expressed in an important fraction of Sero neurons of the raphe and some HPF excitatory neurons; Htr1b is expressed in many inhibitory striatal neurons and Sero neurons; Htr1d, similarly to Htr1b, is expressed in the striatum, although at much lower levels; Htr1f is widely expressed in telencephalic structures,especially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costraints of a traditional scientific article. To bypass this limit and, at the same time, provide the ability to explore the 5-HT transcription landscape at different depths, we provide a custom online visualizer. The visualizer enbles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entire analysis is contained in 2 jupyter notebooks located in the folder 'Figures': 'Figure_1.ipynb' and 'Figure_2.ipynb'.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https://huggingface.co/spaces/RDeF654875678597657/5-HT-Transcriptomics.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 in the RNA-seq dataset.</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Ranked prevalence of Htr1a RNA across divisions (left) and structures (right). Inset represents the proportion of cells expressing Htr1a RNA that belongs to enriched clusters. (E) Prevalence (top) and average amount of RNA expression in the MERFISH dataset across the antero-posterior axis of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Ranked prevalence of Htr1b RNA across divisions (left) and structures (right). Inset represents the proportion of cells expressing Htr1b RNA that belongs to enriched clusters. (E) Prevalence (top) and average amount of RNA expression in the MERFISH dataset across the antero-posterior axis of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Htr1d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Htr1d prevalence across neighborhoods with squared Pearson correlation coefficient (R²) between RNA-seq and MERFISH dataset. On the right, violinplots representing the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Ranked prevalence of Htr1d RNA across divisions (left) and structures (right). Inset represents the proportion of cells expressing Htr1d RNA that belongs to enriched clusters. (E) Prevalence (top) and average amount of RNA expression in the MERFISH dataset across the antero-posterior axis of cells belonging to enriched clusters. (F) Expression of Htr1d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Ranked prevalence of Htr1f RNA across divisions (left) and structures (right). Inset represents the proportion of cells expressing Htr1f RNA that belongs to enriched clusters. (E) Prevalence (top) and average amount of RNA expression in the MERFISH dataset across the antero-posterior axis of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Ranked prevalence of Htr2a RNA across divisions (left) and structures (right). Inset represents the proportion of cells expressing Htr2a RNA that belongs to enriched clusters. (E) Prevalence (top) and average amount of RNA expression in the MERFISH dataset across the antero-posterior axis of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Htr2b prevalence across neighborhoods with squared Pearson correlation coefficient (R²) between RNA-seq and MERFISH dataset. On the right, violinplots representing the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(D) Ranked prevalence of Htr2b RNA across divisions (left) and structures (right). Inset represents the proportion of cells expressing Htr2b RNA that belongs to enriched clusters. (E) Prevalence (top) and average amount of RNA expression in the MERFISH dataset across the antero-posterior axis of cells belonging to enriched clusters. (F) Expression of Htr2b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Ranked prevalence of Htr2c RNA across divisions (left) and structures (right). Inset represents the proportion of cells expressing Htr2c RNA that belongs to enriched clusters. (E) Prevalence (top) and average amount of RNA expression in the MERFISH dataset across the antero-posterior axis of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Ranked prevalence of Htr3a RNA across divisions (left) and structures (right). Inset represents the proportion of cells expressing Htr3a RNA that belongs to enriched clusters. (E) Prevalence (top) and average amount of RNA expression in the MERFISH dataset across the antero-posterior axis of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Htr3b prevalence across neighborhoods with squared Pearson correlation coefficient (R²) between RNA-seq and MERFISH dataset. On the right, violinplots representing the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(D) Ranked prevalence of Htr3b RNA across divisions (left) and structures (right). Inset represents the proportion of cells expressing Htr3b RNA that belongs to enriched clusters. (E) Prevalence (top) and average amount of RNA expression in the MERFISH dataset across the antero-posterior axis of cells belonging to enriched clusters. (F) Expression of Htr3b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10.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Ranked prevalence of Htr4 RNA across divisions (left) and structures (right). Inset represents the proportion of cells expressing Htr4 RNA that belongs to enriched clusters. (E) Prevalence (top) and average amount of RNA expression in the MERFISH dataset across the antero-posterior axis of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11. Htr5a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Htr5a prevalence across neighborhoods with squared Pearson correlation coefficient (R²) between RNA-seq and MERFISH dataset. On the right, violinplots representing the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Ranked prevalence of Htr5a RNA across divisions (left) and structures (right). Inset represents the proportion of cells expressing Htr5a RNA that belongs to enriched clusters. (E) Prevalence (top) and average amount of RNA expression in the MERFISH dataset across the antero-posterior axis of cells belonging to enriched clusters. (F) Expression of Htr5a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12. Htr5b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Htr5b prevalence across neighborhoods with squared Pearson correlation coefficient (R²) between RNA-seq and MERFISH dataset. On the right, violinplots representing the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Ranked prevalence of Htr5b RNA across divisions (left) and structures (right). Inset represents the proportion of cells expressing Htr5b RNA that belongs to enriched clusters. (E) Prevalence (top) and average amount of RNA expression in the MERFISH dataset across the antero-posterior axis of cells belonging to enriched clusters. (F) Expression of Htr5b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13. Htr6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Htr6 prevalence across neighborhoods with squared Pearson correlation coefficient (R²) between RNA-seq and MERFISH dataset. On the right, violinplots representing the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(D) Ranked prevalence of Htr6 RNA across divisions (left) and structures (right). Inset represents the proportion of cells expressing Htr6 RNA that belongs to enriched clusters. (E) Prevalence (top) and average amount of RNA expression in the MERFISH dataset across the antero-posterior axis of cells belonging to enriched clusters. (F) Expression of Htr6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14.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Ranked prevalence of Htr7 RNA across divisions (left) and structures (right). Inset represents the proportion of cells expressing Htr7 RNA that belongs to enriched clusters. (E) Prevalence (top) and average amount of RNA expression in the MERFISH dataset across the antero-posterior axis of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UMAP distribution of each Htr</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Htrs features across neighborhoods and classes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Correlation and colocalization patterns across neighborhoods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