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21967" w14:textId="61F7609F" w:rsidR="0044301A" w:rsidRPr="0044301A" w:rsidRDefault="0044301A" w:rsidP="0044301A">
      <w:pPr>
        <w:jc w:val="center"/>
        <w:rPr>
          <w:rFonts w:ascii="Arial" w:hAnsi="Arial" w:cs="Arial"/>
          <w:b/>
          <w:bCs/>
          <w:sz w:val="24"/>
          <w:szCs w:val="24"/>
        </w:rPr>
      </w:pPr>
      <w:r w:rsidRPr="0044301A">
        <w:rPr>
          <w:rFonts w:ascii="Arial" w:hAnsi="Arial" w:cs="Arial"/>
          <w:b/>
          <w:bCs/>
          <w:sz w:val="24"/>
          <w:szCs w:val="24"/>
        </w:rPr>
        <w:t>Factorización</w:t>
      </w:r>
      <w:r w:rsidRPr="0044301A">
        <w:rPr>
          <w:rFonts w:ascii="Arial" w:hAnsi="Arial" w:cs="Arial"/>
          <w:b/>
          <w:bCs/>
          <w:sz w:val="24"/>
          <w:szCs w:val="24"/>
        </w:rPr>
        <w:t xml:space="preserve"> desde estructura desde movimiento</w:t>
      </w:r>
    </w:p>
    <w:p w14:paraId="614AE1D8" w14:textId="72E5356B" w:rsidR="004C1618" w:rsidRPr="0044301A" w:rsidRDefault="0044301A" w:rsidP="0044301A">
      <w:pPr>
        <w:rPr>
          <w:rFonts w:ascii="Arial" w:hAnsi="Arial" w:cs="Arial"/>
          <w:sz w:val="24"/>
          <w:szCs w:val="24"/>
        </w:rPr>
      </w:pPr>
      <w:r w:rsidRPr="0044301A">
        <w:rPr>
          <w:rFonts w:ascii="Arial" w:hAnsi="Arial" w:cs="Arial"/>
          <w:sz w:val="24"/>
          <w:szCs w:val="24"/>
        </w:rPr>
        <w:t>La factorización desde estructura desde movimiento se refiere a la técnica de descomposición de un polinomio en factores más simples, considerando la estructura geométrica y la movilidad de los términos en el espacio tridimensional. Esta aproximación se basa en la idea de agrupar términos que comparten una misma estructura y movilidad, lo que facilita la factorización.</w:t>
      </w:r>
    </w:p>
    <w:p w14:paraId="5EA146C9" w14:textId="77777777" w:rsidR="0044301A" w:rsidRPr="0044301A" w:rsidRDefault="0044301A" w:rsidP="0044301A">
      <w:pPr>
        <w:rPr>
          <w:rFonts w:ascii="Arial" w:hAnsi="Arial" w:cs="Arial"/>
          <w:sz w:val="24"/>
          <w:szCs w:val="24"/>
        </w:rPr>
      </w:pPr>
      <w:r w:rsidRPr="0044301A">
        <w:rPr>
          <w:rFonts w:ascii="Arial" w:hAnsi="Arial" w:cs="Arial"/>
          <w:b/>
          <w:bCs/>
          <w:sz w:val="24"/>
          <w:szCs w:val="24"/>
        </w:rPr>
        <w:t>Inspección visual</w:t>
      </w:r>
    </w:p>
    <w:p w14:paraId="6C258341" w14:textId="1880AAF5" w:rsidR="0044301A" w:rsidRPr="0044301A" w:rsidRDefault="0044301A" w:rsidP="0044301A">
      <w:pPr>
        <w:rPr>
          <w:rFonts w:ascii="Arial" w:hAnsi="Arial" w:cs="Arial"/>
          <w:sz w:val="24"/>
          <w:szCs w:val="24"/>
        </w:rPr>
      </w:pPr>
      <w:r w:rsidRPr="0044301A">
        <w:rPr>
          <w:rFonts w:ascii="Arial" w:hAnsi="Arial" w:cs="Arial"/>
          <w:sz w:val="24"/>
          <w:szCs w:val="24"/>
        </w:rPr>
        <w:t>Además, la factorización también puede realizarse por inspección, observando los términos del polinomio y verificando si se tienen algún factor en común.</w:t>
      </w:r>
      <w:r w:rsidRPr="0044301A">
        <w:rPr>
          <w:rFonts w:ascii="Arial" w:hAnsi="Arial" w:cs="Arial"/>
          <w:sz w:val="24"/>
          <w:szCs w:val="24"/>
        </w:rPr>
        <w:t xml:space="preserve"> E</w:t>
      </w:r>
      <w:r w:rsidRPr="0044301A">
        <w:rPr>
          <w:rFonts w:ascii="Arial" w:hAnsi="Arial" w:cs="Arial"/>
          <w:sz w:val="24"/>
          <w:szCs w:val="24"/>
        </w:rPr>
        <w:t>sta técnica es útil para muchas factorizaciones, ya que permite identificar patrones y estructuras geométricas en los términos.</w:t>
      </w:r>
    </w:p>
    <w:p w14:paraId="76294694" w14:textId="2AEC8465" w:rsidR="0044301A" w:rsidRDefault="0044301A" w:rsidP="0044301A">
      <w:pPr>
        <w:rPr>
          <w:rFonts w:ascii="Arial" w:hAnsi="Arial" w:cs="Arial"/>
          <w:sz w:val="24"/>
          <w:szCs w:val="24"/>
        </w:rPr>
      </w:pPr>
      <w:r>
        <w:rPr>
          <w:rFonts w:ascii="Arial" w:hAnsi="Arial" w:cs="Arial"/>
          <w:sz w:val="24"/>
          <w:szCs w:val="24"/>
        </w:rPr>
        <w:t>L</w:t>
      </w:r>
      <w:r w:rsidRPr="0044301A">
        <w:rPr>
          <w:rFonts w:ascii="Arial" w:hAnsi="Arial" w:cs="Arial"/>
          <w:sz w:val="24"/>
          <w:szCs w:val="24"/>
        </w:rPr>
        <w:t>a factorización desde estructura desde movimiento implica agrupar términos en función de su estructura geométrica y movilidad, y luego aplicar técnicas de factorización para simplificar el polinomio.</w:t>
      </w:r>
    </w:p>
    <w:p w14:paraId="736613F4" w14:textId="2E187DD7" w:rsidR="00ED01E4" w:rsidRDefault="00ED01E4" w:rsidP="00ED01E4">
      <w:pPr>
        <w:rPr>
          <w:rFonts w:ascii="Arial" w:hAnsi="Arial" w:cs="Arial"/>
          <w:sz w:val="24"/>
          <w:szCs w:val="24"/>
        </w:rPr>
      </w:pPr>
      <w:r w:rsidRPr="00ED01E4">
        <w:rPr>
          <w:rFonts w:ascii="Arial" w:hAnsi="Arial" w:cs="Arial"/>
          <w:b/>
          <w:bCs/>
          <w:sz w:val="24"/>
          <w:szCs w:val="24"/>
        </w:rPr>
        <w:t>Gráficos Computacionales</w:t>
      </w:r>
      <w:r w:rsidRPr="00ED01E4">
        <w:rPr>
          <w:rFonts w:ascii="Arial" w:hAnsi="Arial" w:cs="Arial"/>
          <w:sz w:val="24"/>
          <w:szCs w:val="24"/>
        </w:rPr>
        <w:t xml:space="preserve"> </w:t>
      </w:r>
    </w:p>
    <w:p w14:paraId="649059E2" w14:textId="58E56525" w:rsidR="00ED01E4" w:rsidRPr="00ED01E4" w:rsidRDefault="00ED01E4" w:rsidP="00ED01E4">
      <w:pPr>
        <w:rPr>
          <w:rFonts w:ascii="Arial" w:hAnsi="Arial" w:cs="Arial"/>
          <w:sz w:val="24"/>
          <w:szCs w:val="24"/>
        </w:rPr>
      </w:pPr>
      <w:r w:rsidRPr="00ED01E4">
        <w:rPr>
          <w:rFonts w:ascii="Arial" w:hAnsi="Arial" w:cs="Arial"/>
          <w:sz w:val="24"/>
          <w:szCs w:val="24"/>
        </w:rPr>
        <w:t>La factorización de matrices se usa comúnmente, por ejemplo, la descomposición en valores singulares (SVD) que descompone una matriz en componentes que son más fáciles de analizar o procesar.</w:t>
      </w:r>
    </w:p>
    <w:p w14:paraId="302A22DE" w14:textId="77777777" w:rsidR="00ED01E4" w:rsidRPr="00ED01E4" w:rsidRDefault="00ED01E4" w:rsidP="00ED01E4">
      <w:pPr>
        <w:rPr>
          <w:rFonts w:ascii="Arial" w:hAnsi="Arial" w:cs="Arial"/>
          <w:b/>
          <w:bCs/>
          <w:sz w:val="24"/>
          <w:szCs w:val="24"/>
        </w:rPr>
      </w:pPr>
      <w:r w:rsidRPr="00ED01E4">
        <w:rPr>
          <w:rFonts w:ascii="Arial" w:hAnsi="Arial" w:cs="Arial"/>
          <w:b/>
          <w:bCs/>
          <w:sz w:val="24"/>
          <w:szCs w:val="24"/>
        </w:rPr>
        <w:t>Análisis de Movimiento</w:t>
      </w:r>
    </w:p>
    <w:p w14:paraId="5965E7F9" w14:textId="5B8865D4" w:rsidR="00ED01E4" w:rsidRDefault="00ED01E4" w:rsidP="00ED01E4">
      <w:pPr>
        <w:rPr>
          <w:rFonts w:ascii="Arial" w:hAnsi="Arial" w:cs="Arial"/>
          <w:sz w:val="24"/>
          <w:szCs w:val="24"/>
        </w:rPr>
      </w:pPr>
      <w:r w:rsidRPr="00ED01E4">
        <w:rPr>
          <w:rFonts w:ascii="Arial" w:hAnsi="Arial" w:cs="Arial"/>
          <w:sz w:val="24"/>
          <w:szCs w:val="24"/>
        </w:rPr>
        <w:t>En sistemas de visión por computadora, como Kinect, la factorización de matrices puede ayudar a descomponer la información de profundidad o imágenes en componentes que representan diferentes características del movimiento.</w:t>
      </w:r>
    </w:p>
    <w:p w14:paraId="224BEF59" w14:textId="77777777" w:rsidR="0044301A" w:rsidRPr="0044301A" w:rsidRDefault="0044301A" w:rsidP="0044301A">
      <w:pPr>
        <w:rPr>
          <w:rFonts w:ascii="Arial" w:hAnsi="Arial" w:cs="Arial"/>
          <w:sz w:val="24"/>
          <w:szCs w:val="24"/>
        </w:rPr>
      </w:pPr>
    </w:p>
    <w:p w14:paraId="2A8B8D27" w14:textId="776F2191" w:rsidR="00ED01E4" w:rsidRPr="0011567C" w:rsidRDefault="0044301A" w:rsidP="0011567C">
      <w:pPr>
        <w:jc w:val="center"/>
        <w:rPr>
          <w:rFonts w:ascii="Arial" w:hAnsi="Arial" w:cs="Arial"/>
          <w:b/>
          <w:bCs/>
          <w:sz w:val="24"/>
          <w:szCs w:val="24"/>
        </w:rPr>
      </w:pPr>
      <w:r w:rsidRPr="0044301A">
        <w:rPr>
          <w:rFonts w:ascii="Arial" w:hAnsi="Arial" w:cs="Arial"/>
          <w:b/>
          <w:bCs/>
          <w:sz w:val="24"/>
          <w:szCs w:val="24"/>
        </w:rPr>
        <w:t>Tecnología basada en la factorización desde estructura desde movimiento implementada</w:t>
      </w:r>
    </w:p>
    <w:p w14:paraId="2D026310" w14:textId="77777777" w:rsidR="0011567C" w:rsidRPr="00B55A13" w:rsidRDefault="00ED01E4" w:rsidP="00ED01E4">
      <w:pPr>
        <w:rPr>
          <w:rFonts w:ascii="Arial" w:hAnsi="Arial" w:cs="Arial"/>
          <w:b/>
          <w:bCs/>
          <w:sz w:val="24"/>
          <w:szCs w:val="24"/>
        </w:rPr>
      </w:pPr>
      <w:r w:rsidRPr="00B55A13">
        <w:rPr>
          <w:rFonts w:ascii="Arial" w:hAnsi="Arial" w:cs="Arial"/>
          <w:b/>
          <w:bCs/>
          <w:sz w:val="24"/>
          <w:szCs w:val="24"/>
        </w:rPr>
        <w:t>Análisis de Movimiento en Kinect</w:t>
      </w:r>
    </w:p>
    <w:p w14:paraId="46B2DE58" w14:textId="63C8E4E7" w:rsidR="00ED01E4" w:rsidRPr="00ED01E4" w:rsidRDefault="00ED01E4" w:rsidP="00ED01E4">
      <w:pPr>
        <w:rPr>
          <w:rFonts w:ascii="Arial" w:hAnsi="Arial" w:cs="Arial"/>
          <w:sz w:val="24"/>
          <w:szCs w:val="24"/>
        </w:rPr>
      </w:pPr>
      <w:r w:rsidRPr="00ED01E4">
        <w:rPr>
          <w:rFonts w:ascii="Arial" w:hAnsi="Arial" w:cs="Arial"/>
          <w:sz w:val="24"/>
          <w:szCs w:val="24"/>
        </w:rPr>
        <w:t>Kinect utiliza la factorización para descomponer los datos de profundidad y de imágenes RGB en componentes que representen los diferentes puntos del esqueleto humano. Esto permite capturar la posición y movimiento de las articulaciones en 3D.</w:t>
      </w:r>
    </w:p>
    <w:p w14:paraId="51C2960F" w14:textId="3103A719" w:rsidR="00B55A13" w:rsidRPr="00B55A13" w:rsidRDefault="00ED01E4" w:rsidP="00ED01E4">
      <w:pPr>
        <w:rPr>
          <w:rFonts w:ascii="Arial" w:hAnsi="Arial" w:cs="Arial"/>
          <w:b/>
          <w:bCs/>
          <w:sz w:val="24"/>
          <w:szCs w:val="24"/>
        </w:rPr>
      </w:pPr>
      <w:r w:rsidRPr="00B55A13">
        <w:rPr>
          <w:rFonts w:ascii="Arial" w:hAnsi="Arial" w:cs="Arial"/>
          <w:b/>
          <w:bCs/>
          <w:sz w:val="24"/>
          <w:szCs w:val="24"/>
        </w:rPr>
        <w:t xml:space="preserve">Machine </w:t>
      </w:r>
      <w:proofErr w:type="spellStart"/>
      <w:r w:rsidRPr="00B55A13">
        <w:rPr>
          <w:rFonts w:ascii="Arial" w:hAnsi="Arial" w:cs="Arial"/>
          <w:b/>
          <w:bCs/>
          <w:sz w:val="24"/>
          <w:szCs w:val="24"/>
        </w:rPr>
        <w:t>Learning</w:t>
      </w:r>
      <w:proofErr w:type="spellEnd"/>
      <w:r w:rsidRPr="00B55A13">
        <w:rPr>
          <w:rFonts w:ascii="Arial" w:hAnsi="Arial" w:cs="Arial"/>
          <w:b/>
          <w:bCs/>
          <w:sz w:val="24"/>
          <w:szCs w:val="24"/>
        </w:rPr>
        <w:t xml:space="preserve"> </w:t>
      </w:r>
    </w:p>
    <w:p w14:paraId="5708BEC1" w14:textId="490EA451" w:rsidR="00ED01E4" w:rsidRPr="00ED01E4" w:rsidRDefault="00ED01E4" w:rsidP="00ED01E4">
      <w:pPr>
        <w:rPr>
          <w:rFonts w:ascii="Arial" w:hAnsi="Arial" w:cs="Arial"/>
          <w:sz w:val="24"/>
          <w:szCs w:val="24"/>
        </w:rPr>
      </w:pPr>
      <w:r w:rsidRPr="00ED01E4">
        <w:rPr>
          <w:rFonts w:ascii="Arial" w:hAnsi="Arial" w:cs="Arial"/>
          <w:sz w:val="24"/>
          <w:szCs w:val="24"/>
        </w:rPr>
        <w:t>Algoritmos como NMF (Factorización de Matrices No Negativas) pueden usarse para identificar patrones en datos de movimiento. Estos patrones pueden representar movimientos específicos que el dispositivo debe reconocer y rastrear.</w:t>
      </w:r>
    </w:p>
    <w:p w14:paraId="058AE01D" w14:textId="25A718C0" w:rsidR="00ED01E4" w:rsidRPr="00D64BCB" w:rsidRDefault="00ED01E4" w:rsidP="00ED01E4">
      <w:pPr>
        <w:rPr>
          <w:rFonts w:ascii="Arial" w:hAnsi="Arial" w:cs="Arial"/>
          <w:b/>
          <w:bCs/>
          <w:sz w:val="24"/>
          <w:szCs w:val="24"/>
        </w:rPr>
      </w:pPr>
      <w:r w:rsidRPr="00D64BCB">
        <w:rPr>
          <w:rFonts w:ascii="Arial" w:hAnsi="Arial" w:cs="Arial"/>
          <w:b/>
          <w:bCs/>
          <w:sz w:val="24"/>
          <w:szCs w:val="24"/>
        </w:rPr>
        <w:t>Implementación en el Aparato Tecnológico Kinect</w:t>
      </w:r>
    </w:p>
    <w:p w14:paraId="3BC45E86" w14:textId="77777777" w:rsidR="00ED01E4" w:rsidRPr="00ED01E4" w:rsidRDefault="00ED01E4" w:rsidP="00ED01E4">
      <w:pPr>
        <w:rPr>
          <w:rFonts w:ascii="Arial" w:hAnsi="Arial" w:cs="Arial"/>
          <w:sz w:val="24"/>
          <w:szCs w:val="24"/>
        </w:rPr>
      </w:pPr>
      <w:r w:rsidRPr="00ED01E4">
        <w:rPr>
          <w:rFonts w:ascii="Arial" w:hAnsi="Arial" w:cs="Arial"/>
          <w:sz w:val="24"/>
          <w:szCs w:val="24"/>
        </w:rPr>
        <w:lastRenderedPageBreak/>
        <w:t>Kinect utiliza una cámara de profundidad junto con una cámara RGB para capturar información tridimensional sobre el entorno. Luego, usa técnicas de factorización para descomponer la información del espacio en un esqueleto humano compuesto por 20 articulaciones clave.</w:t>
      </w:r>
    </w:p>
    <w:p w14:paraId="2C82ED8D" w14:textId="77777777" w:rsidR="00D64BCB" w:rsidRPr="00D64BCB" w:rsidRDefault="00ED01E4" w:rsidP="00ED01E4">
      <w:pPr>
        <w:rPr>
          <w:rFonts w:ascii="Arial" w:hAnsi="Arial" w:cs="Arial"/>
          <w:b/>
          <w:bCs/>
          <w:sz w:val="24"/>
          <w:szCs w:val="24"/>
        </w:rPr>
      </w:pPr>
      <w:r w:rsidRPr="00D64BCB">
        <w:rPr>
          <w:rFonts w:ascii="Arial" w:hAnsi="Arial" w:cs="Arial"/>
          <w:b/>
          <w:bCs/>
          <w:sz w:val="24"/>
          <w:szCs w:val="24"/>
        </w:rPr>
        <w:t>Procesamiento de Señales</w:t>
      </w:r>
    </w:p>
    <w:p w14:paraId="776B180A" w14:textId="7E520B28" w:rsidR="00ED01E4" w:rsidRPr="00006A02" w:rsidRDefault="00ED01E4" w:rsidP="00ED01E4">
      <w:pPr>
        <w:rPr>
          <w:rFonts w:ascii="Arial" w:hAnsi="Arial" w:cs="Arial"/>
          <w:sz w:val="24"/>
          <w:szCs w:val="24"/>
        </w:rPr>
      </w:pPr>
      <w:r w:rsidRPr="00ED01E4">
        <w:rPr>
          <w:rFonts w:ascii="Arial" w:hAnsi="Arial" w:cs="Arial"/>
          <w:sz w:val="24"/>
          <w:szCs w:val="24"/>
        </w:rPr>
        <w:t xml:space="preserve">Las señales capturadas se representan como matrices o tensores que luego se descomponen en factores para facilitar el análisis. Por ejemplo, las posiciones de las articulaciones en diferentes marcos temporales pueden formar una matriz cuya </w:t>
      </w:r>
      <w:r w:rsidRPr="00006A02">
        <w:rPr>
          <w:rFonts w:ascii="Arial" w:hAnsi="Arial" w:cs="Arial"/>
          <w:sz w:val="24"/>
          <w:szCs w:val="24"/>
        </w:rPr>
        <w:t>factorización permite analizar el movimiento.</w:t>
      </w:r>
    </w:p>
    <w:p w14:paraId="6DDF18F8" w14:textId="21066A9E" w:rsidR="00D64BCB" w:rsidRPr="00006A02" w:rsidRDefault="00ED01E4" w:rsidP="00ED01E4">
      <w:pPr>
        <w:rPr>
          <w:rFonts w:ascii="Arial" w:hAnsi="Arial" w:cs="Arial"/>
          <w:b/>
          <w:bCs/>
          <w:sz w:val="24"/>
          <w:szCs w:val="24"/>
        </w:rPr>
      </w:pPr>
      <w:r w:rsidRPr="00006A02">
        <w:rPr>
          <w:rFonts w:ascii="Arial" w:hAnsi="Arial" w:cs="Arial"/>
          <w:b/>
          <w:bCs/>
          <w:sz w:val="24"/>
          <w:szCs w:val="24"/>
        </w:rPr>
        <w:t>Reconocimiento de Movimiento</w:t>
      </w:r>
    </w:p>
    <w:p w14:paraId="73720D21" w14:textId="35E002FB" w:rsidR="0044301A" w:rsidRDefault="00ED01E4" w:rsidP="00ED01E4">
      <w:pPr>
        <w:rPr>
          <w:rFonts w:ascii="Arial" w:hAnsi="Arial" w:cs="Arial"/>
          <w:sz w:val="24"/>
          <w:szCs w:val="24"/>
        </w:rPr>
      </w:pPr>
      <w:r w:rsidRPr="00ED01E4">
        <w:rPr>
          <w:rFonts w:ascii="Arial" w:hAnsi="Arial" w:cs="Arial"/>
          <w:sz w:val="24"/>
          <w:szCs w:val="24"/>
        </w:rPr>
        <w:t>Mediante la factorización de los datos de entrada (profundidad e imagen), Kinect puede aislar patrones de movimiento específicos y mapearlos a gestos reconocidos, permitiendo la interacción con la interfaz mediante gestos.</w:t>
      </w:r>
    </w:p>
    <w:p w14:paraId="4641C266" w14:textId="77777777" w:rsidR="00885B65" w:rsidRDefault="00885B65" w:rsidP="00ED01E4">
      <w:pPr>
        <w:rPr>
          <w:rFonts w:ascii="Arial" w:hAnsi="Arial" w:cs="Arial"/>
          <w:sz w:val="24"/>
          <w:szCs w:val="24"/>
        </w:rPr>
      </w:pPr>
    </w:p>
    <w:p w14:paraId="1800AFD4" w14:textId="0778F8E2" w:rsidR="00885B65" w:rsidRDefault="00885B65" w:rsidP="00ED01E4">
      <w:pPr>
        <w:rPr>
          <w:rFonts w:ascii="Arial" w:hAnsi="Arial" w:cs="Arial"/>
          <w:sz w:val="24"/>
          <w:szCs w:val="24"/>
        </w:rPr>
      </w:pPr>
      <w:hyperlink r:id="rId5" w:history="1">
        <w:r w:rsidRPr="005502FE">
          <w:rPr>
            <w:rStyle w:val="Hipervnculo"/>
            <w:rFonts w:ascii="Arial" w:hAnsi="Arial" w:cs="Arial"/>
            <w:sz w:val="24"/>
            <w:szCs w:val="24"/>
          </w:rPr>
          <w:t>https://www.neuralword.com/en/article/understanding-kinect-how-does-it-work-and-its-features-explained</w:t>
        </w:r>
      </w:hyperlink>
    </w:p>
    <w:p w14:paraId="70991A8E" w14:textId="54BF76FA" w:rsidR="00885B65" w:rsidRDefault="00D61366" w:rsidP="00ED01E4">
      <w:pPr>
        <w:rPr>
          <w:rFonts w:ascii="Arial" w:hAnsi="Arial" w:cs="Arial"/>
          <w:sz w:val="24"/>
          <w:szCs w:val="24"/>
        </w:rPr>
      </w:pPr>
      <w:hyperlink r:id="rId6" w:history="1">
        <w:r w:rsidRPr="005502FE">
          <w:rPr>
            <w:rStyle w:val="Hipervnculo"/>
            <w:rFonts w:ascii="Arial" w:hAnsi="Arial" w:cs="Arial"/>
            <w:sz w:val="24"/>
            <w:szCs w:val="24"/>
          </w:rPr>
          <w:t>https://www.physio-pedia.com/The_emerging_role_of_Microsoft_Kinect_in_physiotherapy_rehabilitation_for_stroke_patients</w:t>
        </w:r>
      </w:hyperlink>
    </w:p>
    <w:p w14:paraId="77BCEE88" w14:textId="77777777" w:rsidR="00D75E28" w:rsidRDefault="00D61366" w:rsidP="00ED01E4">
      <w:pPr>
        <w:rPr>
          <w:rFonts w:ascii="Arial" w:hAnsi="Arial" w:cs="Arial"/>
          <w:sz w:val="24"/>
          <w:szCs w:val="24"/>
        </w:rPr>
      </w:pPr>
      <w:hyperlink r:id="rId7" w:history="1">
        <w:r w:rsidRPr="005502FE">
          <w:rPr>
            <w:rStyle w:val="Hipervnculo"/>
            <w:rFonts w:ascii="Arial" w:hAnsi="Arial" w:cs="Arial"/>
            <w:sz w:val="24"/>
            <w:szCs w:val="24"/>
          </w:rPr>
          <w:t>https://www.microsoft.com/en-us/research/video/kinectfusion-real-time-3d-reconstruction-interaction-using-moving-depth-camera/</w:t>
        </w:r>
      </w:hyperlink>
    </w:p>
    <w:p w14:paraId="64A34FC7" w14:textId="53A44B52" w:rsidR="00D61366" w:rsidRDefault="003A7AD1" w:rsidP="00ED01E4">
      <w:pPr>
        <w:rPr>
          <w:rFonts w:ascii="Arial" w:hAnsi="Arial" w:cs="Arial"/>
          <w:sz w:val="24"/>
          <w:szCs w:val="24"/>
        </w:rPr>
      </w:pPr>
      <w:hyperlink r:id="rId8" w:history="1">
        <w:r w:rsidRPr="005502FE">
          <w:rPr>
            <w:rStyle w:val="Hipervnculo"/>
            <w:rFonts w:ascii="Arial" w:hAnsi="Arial" w:cs="Arial"/>
            <w:sz w:val="24"/>
            <w:szCs w:val="24"/>
          </w:rPr>
          <w:t>https://upcommons.upc.edu</w:t>
        </w:r>
        <w:r w:rsidRPr="005502FE">
          <w:rPr>
            <w:rStyle w:val="Hipervnculo"/>
            <w:rFonts w:ascii="Arial" w:hAnsi="Arial" w:cs="Arial"/>
            <w:sz w:val="24"/>
            <w:szCs w:val="24"/>
          </w:rPr>
          <w:t>/</w:t>
        </w:r>
        <w:r w:rsidRPr="005502FE">
          <w:rPr>
            <w:rStyle w:val="Hipervnculo"/>
            <w:rFonts w:ascii="Arial" w:hAnsi="Arial" w:cs="Arial"/>
            <w:sz w:val="24"/>
            <w:szCs w:val="24"/>
          </w:rPr>
          <w:t>bitstream/handle/2117/23997/MICROSOFT_KINECT.pdf</w:t>
        </w:r>
      </w:hyperlink>
    </w:p>
    <w:p w14:paraId="33067566" w14:textId="77777777" w:rsidR="003A7AD1" w:rsidRPr="00ED01E4" w:rsidRDefault="003A7AD1" w:rsidP="00ED01E4">
      <w:pPr>
        <w:rPr>
          <w:rFonts w:ascii="Arial" w:hAnsi="Arial" w:cs="Arial"/>
          <w:sz w:val="24"/>
          <w:szCs w:val="24"/>
        </w:rPr>
      </w:pPr>
    </w:p>
    <w:sectPr w:rsidR="003A7AD1" w:rsidRPr="00ED0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7B10"/>
    <w:multiLevelType w:val="multilevel"/>
    <w:tmpl w:val="DBAA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A6EBE"/>
    <w:multiLevelType w:val="multilevel"/>
    <w:tmpl w:val="9F08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789206">
    <w:abstractNumId w:val="1"/>
  </w:num>
  <w:num w:numId="2" w16cid:durableId="2121148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1A"/>
    <w:rsid w:val="00006A02"/>
    <w:rsid w:val="0011567C"/>
    <w:rsid w:val="0013499C"/>
    <w:rsid w:val="003412EA"/>
    <w:rsid w:val="003A7AD1"/>
    <w:rsid w:val="0044301A"/>
    <w:rsid w:val="004C1618"/>
    <w:rsid w:val="0051099B"/>
    <w:rsid w:val="00885B65"/>
    <w:rsid w:val="0095462F"/>
    <w:rsid w:val="009D7702"/>
    <w:rsid w:val="00AF1A1C"/>
    <w:rsid w:val="00B50101"/>
    <w:rsid w:val="00B55A13"/>
    <w:rsid w:val="00D61366"/>
    <w:rsid w:val="00D64BCB"/>
    <w:rsid w:val="00D75E28"/>
    <w:rsid w:val="00ED01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C0A9"/>
  <w15:chartTrackingRefBased/>
  <w15:docId w15:val="{A04AB9F8-CFEF-4C3F-9F8D-2E28FC7F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3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30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30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30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30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30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30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30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0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30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30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30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30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30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30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30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301A"/>
    <w:rPr>
      <w:rFonts w:eastAsiaTheme="majorEastAsia" w:cstheme="majorBidi"/>
      <w:color w:val="272727" w:themeColor="text1" w:themeTint="D8"/>
    </w:rPr>
  </w:style>
  <w:style w:type="paragraph" w:styleId="Ttulo">
    <w:name w:val="Title"/>
    <w:basedOn w:val="Normal"/>
    <w:next w:val="Normal"/>
    <w:link w:val="TtuloCar"/>
    <w:uiPriority w:val="10"/>
    <w:qFormat/>
    <w:rsid w:val="00443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30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30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30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301A"/>
    <w:pPr>
      <w:spacing w:before="160"/>
      <w:jc w:val="center"/>
    </w:pPr>
    <w:rPr>
      <w:i/>
      <w:iCs/>
      <w:color w:val="404040" w:themeColor="text1" w:themeTint="BF"/>
    </w:rPr>
  </w:style>
  <w:style w:type="character" w:customStyle="1" w:styleId="CitaCar">
    <w:name w:val="Cita Car"/>
    <w:basedOn w:val="Fuentedeprrafopredeter"/>
    <w:link w:val="Cita"/>
    <w:uiPriority w:val="29"/>
    <w:rsid w:val="0044301A"/>
    <w:rPr>
      <w:i/>
      <w:iCs/>
      <w:color w:val="404040" w:themeColor="text1" w:themeTint="BF"/>
    </w:rPr>
  </w:style>
  <w:style w:type="paragraph" w:styleId="Prrafodelista">
    <w:name w:val="List Paragraph"/>
    <w:basedOn w:val="Normal"/>
    <w:uiPriority w:val="34"/>
    <w:qFormat/>
    <w:rsid w:val="0044301A"/>
    <w:pPr>
      <w:ind w:left="720"/>
      <w:contextualSpacing/>
    </w:pPr>
  </w:style>
  <w:style w:type="character" w:styleId="nfasisintenso">
    <w:name w:val="Intense Emphasis"/>
    <w:basedOn w:val="Fuentedeprrafopredeter"/>
    <w:uiPriority w:val="21"/>
    <w:qFormat/>
    <w:rsid w:val="0044301A"/>
    <w:rPr>
      <w:i/>
      <w:iCs/>
      <w:color w:val="0F4761" w:themeColor="accent1" w:themeShade="BF"/>
    </w:rPr>
  </w:style>
  <w:style w:type="paragraph" w:styleId="Citadestacada">
    <w:name w:val="Intense Quote"/>
    <w:basedOn w:val="Normal"/>
    <w:next w:val="Normal"/>
    <w:link w:val="CitadestacadaCar"/>
    <w:uiPriority w:val="30"/>
    <w:qFormat/>
    <w:rsid w:val="00443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301A"/>
    <w:rPr>
      <w:i/>
      <w:iCs/>
      <w:color w:val="0F4761" w:themeColor="accent1" w:themeShade="BF"/>
    </w:rPr>
  </w:style>
  <w:style w:type="character" w:styleId="Referenciaintensa">
    <w:name w:val="Intense Reference"/>
    <w:basedOn w:val="Fuentedeprrafopredeter"/>
    <w:uiPriority w:val="32"/>
    <w:qFormat/>
    <w:rsid w:val="0044301A"/>
    <w:rPr>
      <w:b/>
      <w:bCs/>
      <w:smallCaps/>
      <w:color w:val="0F4761" w:themeColor="accent1" w:themeShade="BF"/>
      <w:spacing w:val="5"/>
    </w:rPr>
  </w:style>
  <w:style w:type="character" w:styleId="Hipervnculo">
    <w:name w:val="Hyperlink"/>
    <w:basedOn w:val="Fuentedeprrafopredeter"/>
    <w:uiPriority w:val="99"/>
    <w:unhideWhenUsed/>
    <w:rsid w:val="00885B65"/>
    <w:rPr>
      <w:color w:val="467886" w:themeColor="hyperlink"/>
      <w:u w:val="single"/>
    </w:rPr>
  </w:style>
  <w:style w:type="character" w:styleId="Mencinsinresolver">
    <w:name w:val="Unresolved Mention"/>
    <w:basedOn w:val="Fuentedeprrafopredeter"/>
    <w:uiPriority w:val="99"/>
    <w:semiHidden/>
    <w:unhideWhenUsed/>
    <w:rsid w:val="00885B65"/>
    <w:rPr>
      <w:color w:val="605E5C"/>
      <w:shd w:val="clear" w:color="auto" w:fill="E1DFDD"/>
    </w:rPr>
  </w:style>
  <w:style w:type="character" w:styleId="Hipervnculovisitado">
    <w:name w:val="FollowedHyperlink"/>
    <w:basedOn w:val="Fuentedeprrafopredeter"/>
    <w:uiPriority w:val="99"/>
    <w:semiHidden/>
    <w:unhideWhenUsed/>
    <w:rsid w:val="003A7A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460479">
      <w:bodyDiv w:val="1"/>
      <w:marLeft w:val="0"/>
      <w:marRight w:val="0"/>
      <w:marTop w:val="0"/>
      <w:marBottom w:val="0"/>
      <w:divBdr>
        <w:top w:val="none" w:sz="0" w:space="0" w:color="auto"/>
        <w:left w:val="none" w:sz="0" w:space="0" w:color="auto"/>
        <w:bottom w:val="none" w:sz="0" w:space="0" w:color="auto"/>
        <w:right w:val="none" w:sz="0" w:space="0" w:color="auto"/>
      </w:divBdr>
    </w:div>
    <w:div w:id="558521969">
      <w:bodyDiv w:val="1"/>
      <w:marLeft w:val="0"/>
      <w:marRight w:val="0"/>
      <w:marTop w:val="0"/>
      <w:marBottom w:val="0"/>
      <w:divBdr>
        <w:top w:val="none" w:sz="0" w:space="0" w:color="auto"/>
        <w:left w:val="none" w:sz="0" w:space="0" w:color="auto"/>
        <w:bottom w:val="none" w:sz="0" w:space="0" w:color="auto"/>
        <w:right w:val="none" w:sz="0" w:space="0" w:color="auto"/>
      </w:divBdr>
    </w:div>
    <w:div w:id="577520566">
      <w:bodyDiv w:val="1"/>
      <w:marLeft w:val="0"/>
      <w:marRight w:val="0"/>
      <w:marTop w:val="0"/>
      <w:marBottom w:val="0"/>
      <w:divBdr>
        <w:top w:val="none" w:sz="0" w:space="0" w:color="auto"/>
        <w:left w:val="none" w:sz="0" w:space="0" w:color="auto"/>
        <w:bottom w:val="none" w:sz="0" w:space="0" w:color="auto"/>
        <w:right w:val="none" w:sz="0" w:space="0" w:color="auto"/>
      </w:divBdr>
    </w:div>
    <w:div w:id="1010520218">
      <w:bodyDiv w:val="1"/>
      <w:marLeft w:val="0"/>
      <w:marRight w:val="0"/>
      <w:marTop w:val="0"/>
      <w:marBottom w:val="0"/>
      <w:divBdr>
        <w:top w:val="none" w:sz="0" w:space="0" w:color="auto"/>
        <w:left w:val="none" w:sz="0" w:space="0" w:color="auto"/>
        <w:bottom w:val="none" w:sz="0" w:space="0" w:color="auto"/>
        <w:right w:val="none" w:sz="0" w:space="0" w:color="auto"/>
      </w:divBdr>
    </w:div>
    <w:div w:id="1060055483">
      <w:bodyDiv w:val="1"/>
      <w:marLeft w:val="0"/>
      <w:marRight w:val="0"/>
      <w:marTop w:val="0"/>
      <w:marBottom w:val="0"/>
      <w:divBdr>
        <w:top w:val="none" w:sz="0" w:space="0" w:color="auto"/>
        <w:left w:val="none" w:sz="0" w:space="0" w:color="auto"/>
        <w:bottom w:val="none" w:sz="0" w:space="0" w:color="auto"/>
        <w:right w:val="none" w:sz="0" w:space="0" w:color="auto"/>
      </w:divBdr>
      <w:divsChild>
        <w:div w:id="1294404277">
          <w:marLeft w:val="0"/>
          <w:marRight w:val="0"/>
          <w:marTop w:val="0"/>
          <w:marBottom w:val="0"/>
          <w:divBdr>
            <w:top w:val="none" w:sz="0" w:space="0" w:color="auto"/>
            <w:left w:val="none" w:sz="0" w:space="0" w:color="auto"/>
            <w:bottom w:val="none" w:sz="0" w:space="0" w:color="auto"/>
            <w:right w:val="none" w:sz="0" w:space="0" w:color="auto"/>
          </w:divBdr>
        </w:div>
        <w:div w:id="1539394930">
          <w:marLeft w:val="0"/>
          <w:marRight w:val="0"/>
          <w:marTop w:val="0"/>
          <w:marBottom w:val="0"/>
          <w:divBdr>
            <w:top w:val="none" w:sz="0" w:space="0" w:color="auto"/>
            <w:left w:val="none" w:sz="0" w:space="0" w:color="auto"/>
            <w:bottom w:val="none" w:sz="0" w:space="0" w:color="auto"/>
            <w:right w:val="none" w:sz="0" w:space="0" w:color="auto"/>
          </w:divBdr>
          <w:divsChild>
            <w:div w:id="10003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439">
      <w:bodyDiv w:val="1"/>
      <w:marLeft w:val="0"/>
      <w:marRight w:val="0"/>
      <w:marTop w:val="0"/>
      <w:marBottom w:val="0"/>
      <w:divBdr>
        <w:top w:val="none" w:sz="0" w:space="0" w:color="auto"/>
        <w:left w:val="none" w:sz="0" w:space="0" w:color="auto"/>
        <w:bottom w:val="none" w:sz="0" w:space="0" w:color="auto"/>
        <w:right w:val="none" w:sz="0" w:space="0" w:color="auto"/>
      </w:divBdr>
    </w:div>
    <w:div w:id="1338656021">
      <w:bodyDiv w:val="1"/>
      <w:marLeft w:val="0"/>
      <w:marRight w:val="0"/>
      <w:marTop w:val="0"/>
      <w:marBottom w:val="0"/>
      <w:divBdr>
        <w:top w:val="none" w:sz="0" w:space="0" w:color="auto"/>
        <w:left w:val="none" w:sz="0" w:space="0" w:color="auto"/>
        <w:bottom w:val="none" w:sz="0" w:space="0" w:color="auto"/>
        <w:right w:val="none" w:sz="0" w:space="0" w:color="auto"/>
      </w:divBdr>
      <w:divsChild>
        <w:div w:id="382681681">
          <w:marLeft w:val="0"/>
          <w:marRight w:val="0"/>
          <w:marTop w:val="0"/>
          <w:marBottom w:val="0"/>
          <w:divBdr>
            <w:top w:val="none" w:sz="0" w:space="0" w:color="auto"/>
            <w:left w:val="none" w:sz="0" w:space="0" w:color="auto"/>
            <w:bottom w:val="none" w:sz="0" w:space="0" w:color="auto"/>
            <w:right w:val="none" w:sz="0" w:space="0" w:color="auto"/>
          </w:divBdr>
        </w:div>
        <w:div w:id="175924880">
          <w:marLeft w:val="0"/>
          <w:marRight w:val="0"/>
          <w:marTop w:val="0"/>
          <w:marBottom w:val="0"/>
          <w:divBdr>
            <w:top w:val="none" w:sz="0" w:space="0" w:color="auto"/>
            <w:left w:val="none" w:sz="0" w:space="0" w:color="auto"/>
            <w:bottom w:val="none" w:sz="0" w:space="0" w:color="auto"/>
            <w:right w:val="none" w:sz="0" w:space="0" w:color="auto"/>
          </w:divBdr>
          <w:divsChild>
            <w:div w:id="12469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commons.upc.edu/bitstream/handle/2117/23997/MICROSOFT_KINECT.pdf" TargetMode="External"/><Relationship Id="rId3" Type="http://schemas.openxmlformats.org/officeDocument/2006/relationships/settings" Target="settings.xml"/><Relationship Id="rId7" Type="http://schemas.openxmlformats.org/officeDocument/2006/relationships/hyperlink" Target="https://www.microsoft.com/en-us/research/video/kinectfusion-real-time-3d-reconstruction-interaction-using-moving-depth-cam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ysio-pedia.com/The_emerging_role_of_Microsoft_Kinect_in_physiotherapy_rehabilitation_for_stroke_patients" TargetMode="External"/><Relationship Id="rId5" Type="http://schemas.openxmlformats.org/officeDocument/2006/relationships/hyperlink" Target="https://www.neuralword.com/en/article/understanding-kinect-how-does-it-work-and-its-features-expla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ERICK AGUILAR MORALES</dc:creator>
  <cp:keywords/>
  <dc:description/>
  <cp:lastModifiedBy>ROBERTO ERICK AGUILAR MORALES</cp:lastModifiedBy>
  <cp:revision>11</cp:revision>
  <dcterms:created xsi:type="dcterms:W3CDTF">2024-08-17T19:37:00Z</dcterms:created>
  <dcterms:modified xsi:type="dcterms:W3CDTF">2024-08-17T20:04:00Z</dcterms:modified>
</cp:coreProperties>
</file>