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Software Engineering II </w:t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Specifications</w:t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Elaborated by</w:t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María José Moyano Tamayo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Guillermo José Arévalo Saltos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Roberto Andrés Patiño Salvatierra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Stéfano Israel Suárez Herrera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Ramón Ignacio Macías Ochoa</w:t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SHARE YOUR ROUTE APP</w:t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GUAYAQUIL, JUNE 24, 2024</w:t>
      </w:r>
    </w:p>
    <w:p w:rsidR="00000000" w:rsidDel="00000000" w:rsidP="00000000" w:rsidRDefault="00000000" w:rsidRPr="00000000" w14:paraId="00000010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50" w:line="240" w:lineRule="auto"/>
        <w:jc w:val="center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Project Meeting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Minutes - Sprint 1 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Testing Report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Approval Email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 Documentation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Initial Project Meeting - Sprint 1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Folder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Sprint_meeting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Details about the initial project meeting, including discussed objectives and scope.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JPG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before="28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Avila 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María José Moyano Tamayo</w:t>
        <w:br w:type="textWrapping"/>
        <w:t xml:space="preserve">Guillermo José Arévalo Saltos</w:t>
        <w:br w:type="textWrapping"/>
        <w:t xml:space="preserve">Roberto Andrés Patiño Salvatierra</w:t>
        <w:br w:type="textWrapping"/>
        <w:t xml:space="preserve">Stéfano Israel Suárez Herrera</w:t>
        <w:br w:type="textWrapping"/>
        <w:t xml:space="preserve">Ramón Ignacio Macías Ochoa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20/05/2024, 22/06/2024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Unit Testing Report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Folder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unit_testing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Results of unit tests performed on system modules.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JPG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Stéfano Israel Suárez Herrera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23/06/2024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Client Approval Chat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Folder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client_approval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and capture in which the client approves the delivery of project phase 1.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.docx and JPG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Avila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María José Moyano Tamayo</w:t>
        <w:br w:type="textWrapping"/>
        <w:t xml:space="preserve">Guillermo José Arévalo Saltos</w:t>
        <w:br w:type="textWrapping"/>
        <w:t xml:space="preserve">Roberto Andrés Patiño Salvatierra</w:t>
        <w:br w:type="textWrapping"/>
        <w:t xml:space="preserve">Stéfano Israel Suárez Herrera</w:t>
        <w:br w:type="textWrapping"/>
        <w:t xml:space="preserve">Ramón Ignacio Macías Ochoa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23/06/2024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Deployment Documentation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Folder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deployment_instructions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deployment_documentation.docx, deployment_documentation.pdf, deployment_documentation.md (All these files have the same content but on a different format to ensure ease of use).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Instructions and detailed steps for running both the back-end and the front-end of the project while also providing instructions to build the APK.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.docx, .pdf, .md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Roberto Andrés Patiño Salvatierra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and 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23/06/2024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EC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