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1485"/>
        <w:gridCol w:w="2655"/>
        <w:gridCol w:w="4350"/>
        <w:tblGridChange w:id="0">
          <w:tblGrid>
            <w:gridCol w:w="1140"/>
            <w:gridCol w:w="1485"/>
            <w:gridCol w:w="2655"/>
            <w:gridCol w:w="435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Nro.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URSP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RNF001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Fiabilidad + Seguridad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Protección de credenciales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Las contraseñas deben almacenarse con hash seguro; no se permite texto plano.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RNF002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Fiabilidad + Seguridad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Separación de módulos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Los módulos personales y de grupos deben ser independientes y no compartir datos entre sí.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RNF003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Interfaz en español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Toda la interfaz, mensajes y comentarios funcionales deben mantenerse en español.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RNF004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Moneda única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Todos los importes deben mostrarse y registrarse únicamente en soles peruanos.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RNF005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Respuesta de operaciones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95% de las solicitudes de registro, consulta y actualización debe responder en menos de 2 segundos.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RNF006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Carga de pantallas clave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Pantallas como inicio, resumen, movimientos, presupuestos y grupo deben abrir con fluidez y sin bloqueo.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RNF007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Fiabilidad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Disponibilidad mensual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servicio debe mantener una disponibilidad mínima del 99% por mes.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RNF008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Registro rápido de gasto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registro de un gasto personal debe completarse en un máximo de 3 pasos desde la pantalla principal.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RNF009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Navegación consistente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Los botones, iconos y jerarquías visuales deben mantenerse coherentes en toda la app.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RNF010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Adaptación móvil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La interfaz debe ser responsive y ajustarse a distintos tamaños de pantalla Android.</w:t>
            </w:r>
          </w:p>
        </w:tc>
      </w:tr>
      <w:tr>
        <w:trPr>
          <w:cantSplit w:val="0"/>
          <w:trHeight w:val="632.775878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RNF011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Fiabilidad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Validación de presupuesto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sistema debe bloquear gastos que excedan el presupuesto activo y mostrar la alerta correspondiente.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RNF012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Fiabilidad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Consistencia de cálculos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Los saldos, balances y montos restantes deben coincidir en resumen, historial, presupuestos y grupos.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RNF013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Funciones fuera de alcance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Opciones visibles pero no funcionales deben mostrarse sin confundir al usuario ni afectar la estabilidad.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566.9291338582677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