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82050"/>
          <w:sz w:val="24"/>
        </w:rPr>
        <w:t>SINDROME RENU ITALIA APS</w:t>
      </w:r>
    </w:p>
    <w:p>
      <w:pPr>
        <w:spacing w:after="20"/>
        <w:jc w:val="center"/>
      </w:pPr>
      <w:r>
        <w:rPr>
          <w:color w:val="555555"/>
          <w:sz w:val="18"/>
        </w:rPr>
        <w:t>Associazione di Promozione Sociale — C.F./P.IVA 98020680157</w:t>
      </w:r>
    </w:p>
    <w:p>
      <w:pPr>
        <w:spacing w:after="20"/>
        <w:jc w:val="center"/>
      </w:pPr>
      <w:r>
        <w:rPr>
          <w:color w:val="555555"/>
          <w:sz w:val="18"/>
        </w:rPr>
        <w:t>Via Marina 6, 20121 Milano (MI) — www.sindromerenu.it</w:t>
      </w:r>
    </w:p>
    <w:p>
      <w:pPr>
        <w:spacing w:before="80" w:after="80"/>
        <w:pBdr>
          <w:bottom w:val="single" w:sz="6" w:space="1" w:color="1078C0"/>
        </w:pBdr>
      </w:pPr>
    </w:p>
    <w:p>
      <w:pPr>
        <w:spacing w:before="120" w:after="40"/>
        <w:jc w:val="center"/>
      </w:pPr>
      <w:r>
        <w:rPr>
          <w:b/>
          <w:color w:val="1078C0"/>
          <w:sz w:val="20"/>
        </w:rPr>
        <w:t>ALLEGATO B</w:t>
      </w:r>
    </w:p>
    <w:p>
      <w:pPr>
        <w:spacing w:after="40"/>
        <w:jc w:val="center"/>
      </w:pPr>
      <w:r>
        <w:rPr>
          <w:b/>
          <w:color w:val="082050"/>
          <w:sz w:val="28"/>
        </w:rPr>
        <w:t>MISURE DI SICUREZZA TECNICHE IMPLEMENTATE</w:t>
      </w:r>
    </w:p>
    <w:p>
      <w:pPr>
        <w:spacing w:after="80"/>
        <w:jc w:val="center"/>
      </w:pPr>
      <w:r>
        <w:rPr>
          <w:color w:val="555555"/>
          <w:sz w:val="20"/>
        </w:rPr>
        <w:t>Documento Tecnico — Art. 32 Reg. UE 2016/679 (GDPR)</w:t>
      </w:r>
    </w:p>
    <w:p>
      <w:pPr>
        <w:spacing w:before="80" w:after="80"/>
        <w:pBdr>
          <w:bottom w:val="single" w:sz="6" w:space="1" w:color="1078C0"/>
        </w:pBdr>
      </w:pPr>
    </w:p>
    <w:p>
      <w:pPr>
        <w:spacing w:before="80" w:after="160"/>
        <w:jc w:val="left"/>
      </w:pPr>
      <w:r>
        <w:rPr>
          <w:b w:val="0"/>
          <w:i/>
          <w:color w:val="555555"/>
          <w:sz w:val="18"/>
        </w:rPr>
        <w:t>Allegato al Contratto DPA Art. 28 Reg. UE 2016/679 ("GDPR") tra Sindrome ReNU Italia APS (Titolare) e il Responsabile Tecnico del sito www.sindromerenu.it.</w:t>
      </w:r>
    </w:p>
    <w:p>
      <w:pPr>
        <w:spacing w:before="0" w:after="160"/>
        <w:jc w:val="left"/>
      </w:pPr>
      <w:r>
        <w:rPr>
          <w:b w:val="0"/>
          <w:i w:val="0"/>
          <w:color w:val="555555"/>
          <w:sz w:val="20"/>
        </w:rPr>
        <w:t>Il presente allegato descrive le misure tecniche e organizzative adottate ai sensi dell'Art. 32 GDPR per garantire un livello di sicurezza adeguato al rischio dei trattamenti effettuati tramite il sito www.sindromerenu.it. Le misure sono verificabili direttamente nel codice sorgente (src/index.tsx) e nella configurazione dell'infrastruttura Cloudflare.</w:t>
      </w:r>
    </w:p>
    <w:p>
      <w:pPr>
        <w:spacing w:before="200" w:after="80"/>
      </w:pPr>
      <w:r>
        <w:rPr>
          <w:b/>
          <w:color w:val="082050"/>
          <w:sz w:val="24"/>
        </w:rPr>
        <w:t>1. TRASMISSIONE DATI — HTTPS / TLS</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Misura</w:t>
            </w:r>
          </w:p>
        </w:tc>
        <w:tc>
          <w:tcPr>
            <w:tcW w:type="dxa" w:w="3969"/>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Verifica</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Cifratura in transito HTTPS/TLS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Tutta la rete Cloudflare gestisce il TLS automaticamente. Il sito è raggiungibile esclusivamente via HTTPS; le richieste HTTP sono reindirizzate a HTTPS da Cloudflare.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https://sindromerenu-italia.pages.dev — certificato TLS valido (Cloudflare Universal SSL)</w:t>
            </w:r>
          </w:p>
        </w:tc>
      </w:tr>
      <w:tr>
        <w:tc>
          <w:tcPr>
            <w:tcW w:type="dxa" w:w="226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HSTS (HTTP Strict Transport Security)</w:t>
            </w:r>
          </w:p>
        </w:tc>
        <w:tc>
          <w:tcPr>
            <w:tcW w:type="dxa" w:w="3969"/>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Abilitato automaticamente da Cloudflare Pages per tutti i siti .pages.dev</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Header Strict-Transport-Security presente nelle risposte HTTP</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Cifratura dati in transito database</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D1 utilizza connessioni TLS interne per la comunicazione tra Worker e database SQLite distribuito.</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Documentazione Cloudflare D1 Security</w:t>
            </w:r>
          </w:p>
        </w:tc>
      </w:tr>
    </w:tbl>
    <w:p/>
    <w:p>
      <w:pPr>
        <w:spacing w:before="200" w:after="80"/>
      </w:pPr>
      <w:r>
        <w:rPr>
          <w:b/>
          <w:color w:val="082050"/>
          <w:sz w:val="24"/>
        </w:rPr>
        <w:t>2. PSEUDONIMIZZAZIONE INDIRIZZI IP (SHA-256)</w:t>
      </w:r>
    </w:p>
    <w:p>
      <w:pPr>
        <w:spacing w:before="0" w:after="80"/>
        <w:jc w:val="left"/>
      </w:pPr>
      <w:r>
        <w:rPr>
          <w:b w:val="0"/>
          <w:i/>
          <w:color w:val="1078C0"/>
          <w:sz w:val="18"/>
        </w:rPr>
        <w:t>Riferimento codice sorgente: src/index.tsx, funzione hashIPAsync() — riga ~5148</w:t>
      </w:r>
    </w:p>
    <w:p>
      <w:pPr>
        <w:spacing w:before="40" w:after="120"/>
        <w:ind w:left="567"/>
      </w:pPr>
      <w:r>
        <w:rPr>
          <w:rFonts w:ascii="Courier New" w:hAnsi="Courier New"/>
          <w:color w:val="1E40AF"/>
          <w:sz w:val="17"/>
        </w:rPr>
        <w:t>async function hashIPAsync(ip: string): Promise&lt;string&gt; {</w:t>
        <w:br/>
        <w:t xml:space="preserve">  const encoder = new TextEncoder()</w:t>
        <w:br/>
        <w:t xml:space="preserve">  const data = encoder.encode('renu-ip-salt-2026:' + ip)</w:t>
        <w:br/>
        <w:t xml:space="preserve">  const hashBuffer = await crypto.subtle.digest('SHA-256', data)</w:t>
        <w:br/>
        <w:t xml:space="preserve">  const hashArray = Array.from(new Uint8Array(hashBuffer))</w:t>
        <w:br/>
        <w:t xml:space="preserve">  return 'sha2:' + hashArray.map(b =&gt; b.toString(16).padStart(2,'0')).join('').slice(0,16)</w:t>
        <w:br/>
        <w:t>}</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Caratteristica</w:t>
            </w:r>
          </w:p>
        </w:tc>
        <w:tc>
          <w:tcPr>
            <w:tcW w:type="dxa" w:w="3969"/>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Dettaglio implementazione</w:t>
            </w:r>
          </w:p>
        </w:tc>
        <w:tc>
          <w:tcPr>
            <w:tcW w:type="dxa" w:w="3402"/>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 di sicurezza</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Algoritmo</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SHA-256 (Web Crypto API — crypto.subtle.digest)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Standard crittografico — non reversibile con mezzi computazionali attuali</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Salt applicato</w:t>
            </w:r>
          </w:p>
        </w:tc>
        <w:tc>
          <w:tcPr>
            <w:tcW w:type="dxa" w:w="3969"/>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"renu-ip-salt-2026:" prefissato all'IP prima del digest</w:t>
            </w:r>
          </w:p>
        </w:tc>
        <w:tc>
          <w:tcPr>
            <w:tcW w:type="dxa" w:w="340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Impedisce attacchi rainbow table sull'intero spazio di indirizzi IPv4</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Output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Prefisso "sha2:" + primi 16 caratteri hex del digest (es. sha2:a3f2b1c8d9e0f4a1)</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Identificatore pseudonimo non riconducibile all'IP originale</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Conservazione IP</w:t>
            </w:r>
          </w:p>
        </w:tc>
        <w:tc>
          <w:tcPr>
            <w:tcW w:type="dxa" w:w="3969"/>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L'indirizzo IP originale NON viene mai scritto nel database.</w:t>
            </w:r>
          </w:p>
        </w:tc>
        <w:tc>
          <w:tcPr>
            <w:tcW w:type="dxa" w:w="340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La funzione getClientIP() legge l'header CF-Connecting-IP ma il valore grezzo non raggiunge mai lo storage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Fallback</w:t>
            </w:r>
          </w:p>
        </w:tc>
        <w:tc>
          <w:tcPr>
            <w:tcW w:type="dxa" w:w="3969"/>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In caso di errore crypto.subtle: valore "ip:unavailable" — nessun fallback non sicuro</w:t>
            </w:r>
          </w:p>
        </w:tc>
        <w:tc>
          <w:tcPr>
            <w:tcW w:type="dxa" w:w="340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 uso di Math.imul() o altri metodi non crittografici</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Tabelle interessate</w:t>
            </w:r>
          </w:p>
        </w:tc>
        <w:tc>
          <w:tcPr>
            <w:tcW w:type="dxa" w:w="3969"/>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contatti (campo ip_hash), lista_attesa (campo ip_hash)</w:t>
            </w:r>
          </w:p>
        </w:tc>
        <w:tc>
          <w:tcPr>
            <w:tcW w:type="dxa" w:w="340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Tutte le altre tabelle non registrano dati di rete</w:t>
            </w:r>
          </w:p>
        </w:tc>
      </w:tr>
    </w:tbl>
    <w:p/>
    <w:p>
      <w:pPr>
        <w:spacing w:before="200" w:after="80"/>
      </w:pPr>
      <w:r>
        <w:rPr>
          <w:b/>
          <w:color w:val="082050"/>
          <w:sz w:val="24"/>
        </w:rPr>
        <w:t>3. CONTROLLO ACCESSO PANNELLO AMMINISTRATIVO</w:t>
      </w:r>
    </w:p>
    <w:p>
      <w:pPr>
        <w:spacing w:before="0" w:after="80"/>
        <w:jc w:val="left"/>
      </w:pPr>
      <w:r>
        <w:rPr>
          <w:b w:val="0"/>
          <w:i/>
          <w:color w:val="1078C0"/>
          <w:sz w:val="18"/>
        </w:rPr>
        <w:t>Riferimento: src/index.tsx, funzione requireAdmin() — riga ~6054</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Misura</w:t>
            </w:r>
          </w:p>
        </w:tc>
        <w:tc>
          <w:tcPr>
            <w:tcW w:type="dxa" w:w="4252"/>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Meccanismo autenticazione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Token Bearer nel header HTTP X-Admin-Token, verificato server-side ad ogni richiesta API.</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Nessuna sessione persistente; ogni chiamata API è autenticata indipendentemente.</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Storage del secret</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ADMIN_SECRET cifrato come Cloudflare Workers Secret (equivalente a secret manager). Non è mai presente nel codice sorgente (src/index.tsx), nei file di configurazione o nel repository git.</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npx wrangler secret list — verifica presenza senza esporre il valore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Fallback di sviluppo</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In assenza del secret Cloudflare (ambiente locale): valore di default "renu-admin-2026". Questo valore non è mai in produzione perché il secret è sempre configurato.</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Il fallback è accettabile solo in ambiente di sviluppo locale</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Risposta su accesso non autorizzato</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HTTP 401 Unauthorized con corpo JSON {"error": "Non autorizzato"}. Nessuna informazione aggiuntiva esposta.</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Nessuna rivelazione della struttura interna degli endpoint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Endpoint protetti</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Tutti gli endpoint /api/admin/* sono protetti da requireAdmin(). Totale: 25+ endpoint verificati.</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 endpoint admin è accessibile senza autenticazione</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Pannello HTML admin</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La pagina /admin è HTML statico; il token viene inserito dall'operatore e trasmesso via JavaScript al momento delle chiamate API.</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Il token non è mai nel markup HTML — solo in memoria JavaScript lato client</w:t>
            </w:r>
          </w:p>
        </w:tc>
      </w:tr>
    </w:tbl>
    <w:p/>
    <w:p>
      <w:pPr>
        <w:spacing w:before="200" w:after="80"/>
      </w:pPr>
      <w:r>
        <w:rPr>
          <w:b/>
          <w:color w:val="082050"/>
          <w:sz w:val="24"/>
        </w:rPr>
        <w:t>4. GESTIONE CONSENSO GDPR — VERSIONING</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Misura</w:t>
            </w:r>
          </w:p>
        </w:tc>
        <w:tc>
          <w:tcPr>
            <w:tcW w:type="dxa" w:w="4252"/>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Versione consenso</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Entrambi i form (lista attesa e contatti) registrano la versione del testo di consenso al momento dell'invio (campo gdpr_consent_version = "2.0").</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Consente di dimostrare il consenso specifico acquisito per ogni versione del testo</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Testo consenso</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Il testo completo non è archiviato nel database; la versione "2.0" corrisponde al testo presente nel codice sorgente al momento del deploy.</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In caso di aggiornamento testo: incrementare versione e documentare in CHANGELOG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Timestamp consenso</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Campo created_at DATETIME DEFAULT CURRENT_TIMESTAMP in tutte le tabelle.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Tracciabilità temporale del consenso acquisito</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Obbligatorietà</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 form non possono essere inviati senza spuntare il checkbox GDPR (validazione client + server).</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 inserimento in DB senza consenso registrato</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Banner cookie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Funzione acceptCookies() con storage in localStorage (fallback: document.cookie). Chiave: renu_cookie_consent, valore: "1". Banner mostrato 800ms dopo DOMContentLoaded se consenso non ancora registrato.</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Nessun cookie di profilazione impostato prima del consenso</w:t>
            </w:r>
          </w:p>
        </w:tc>
      </w:tr>
    </w:tbl>
    <w:p/>
    <w:p>
      <w:pPr>
        <w:spacing w:before="200" w:after="80"/>
      </w:pPr>
      <w:r>
        <w:rPr>
          <w:b/>
          <w:color w:val="082050"/>
          <w:sz w:val="24"/>
        </w:rPr>
        <w:t>5. DIRITTO ALL'OBLIO — PSEUDONIMIZZAZIONE AUTOMATICA (ART. 17 GDPR)</w:t>
      </w:r>
    </w:p>
    <w:p>
      <w:pPr>
        <w:spacing w:before="0" w:after="120"/>
        <w:jc w:val="left"/>
      </w:pPr>
      <w:r>
        <w:rPr>
          <w:b w:val="0"/>
          <w:i/>
          <w:color w:val="1078C0"/>
          <w:sz w:val="18"/>
        </w:rPr>
        <w:t>Endpoint: DELETE /api/admin/erasure/:email — riga ~6141 src/index.tsx</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Aspetto</w:t>
            </w:r>
          </w:p>
        </w:tc>
        <w:tc>
          <w:tcPr>
            <w:tcW w:type="dxa" w:w="4535"/>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Trigger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Richiesta DELETE autenticata a /api/admin/erasure/{email_interessato}</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Solo il Responsabile Tecnico può eseguirla tramite pannello admin</w:t>
            </w:r>
          </w:p>
        </w:tc>
      </w:tr>
      <w:tr>
        <w:tc>
          <w:tcPr>
            <w:tcW w:type="dxa" w:w="1701"/>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Tabelle interessate</w:t>
            </w:r>
          </w:p>
        </w:tc>
        <w:tc>
          <w:tcPr>
            <w:tcW w:type="dxa" w:w="45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contatti, lista_attesa, adesioni, donazioni, storie — tutte le tabelle con dati personali</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Operazione multi-tabella atomica</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Metodo di cancellazione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PSEUDONIMIZZAZIONE: i campi personali sono sovrascritti con valori non identificabili (es. nome → "[cancellato]", email → "[gdpr-erasure-{timestamp}]"). Il record viene mantenuto per integrità referenziale ma reso non identificabile.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Non viene eseguita una DELETE fisica per preservare l'audit trail e l'integrità del DB</w:t>
            </w:r>
          </w:p>
        </w:tc>
      </w:tr>
      <w:tr>
        <w:tc>
          <w:tcPr>
            <w:tcW w:type="dxa" w:w="1701"/>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Tracciabilità</w:t>
            </w:r>
          </w:p>
        </w:tc>
        <w:tc>
          <w:tcPr>
            <w:tcW w:type="dxa" w:w="45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Ogni esecuzione dell'erasure viene registrata in audit_log con: tipo="erasure", email_target (hashata), timestamp, numero record modificati.</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Dimostrabilità dell'esercizio del diritto all'oblio</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Eccezioni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 dati di donazione soggetti a obbligo fiscale (10 anni) sono pseudonimizzati ma il record contabile è mantenuto.</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Conformità Art. 17 par. 3.b GDPR — eccezione per obbligo legale</w:t>
            </w:r>
          </w:p>
        </w:tc>
      </w:tr>
    </w:tbl>
    <w:p/>
    <w:p>
      <w:pPr>
        <w:spacing w:before="200" w:after="80"/>
      </w:pPr>
      <w:r>
        <w:rPr>
          <w:b/>
          <w:color w:val="082050"/>
          <w:sz w:val="24"/>
        </w:rPr>
        <w:t>6. VALIDAZIONE E SANITIZZAZIONE INPUT</w:t>
      </w:r>
    </w:p>
    <w:p>
      <w:pPr>
        <w:spacing w:before="0" w:after="80"/>
        <w:jc w:val="left"/>
      </w:pPr>
      <w:r>
        <w:rPr>
          <w:b w:val="0"/>
          <w:i/>
          <w:color w:val="1078C0"/>
          <w:sz w:val="18"/>
        </w:rPr>
        <w:t>Funzione san() — src/index.tsx riga ~5142</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Misura</w:t>
            </w:r>
          </w:p>
        </w:tc>
        <w:tc>
          <w:tcPr>
            <w:tcW w:type="dxa" w:w="4252"/>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Sanitizzazione input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Funzione san(v, n) applicata a tutti i campi prima dell'inserimento in DB: casting a stringa, trim(), troncamento a n caratteri (default 500).</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Prevenzione SQL injection e overflow campi</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Validazione email</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Funzione validEmail() con regex RFC-compliant applicata prima di ogni INSERT.</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Rifiuto di indirizzi malformati prima che raggiungano il database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Prepared statements</w:t>
            </w:r>
          </w:p>
        </w:tc>
        <w:tc>
          <w:tcPr>
            <w:tcW w:type="dxa" w:w="4252"/>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Tutte le query SQL usano il metodo .bind() di Cloudflare D1 (parametri bind). Nessuna concatenazione di stringhe nelle query.</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Protezione completa da SQL injection</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Validazione server-side</w:t>
            </w:r>
          </w:p>
        </w:tc>
        <w:tc>
          <w:tcPr>
            <w:tcW w:type="dxa" w:w="4252"/>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La validazione è eseguita nel Worker server-side (src/index.tsx), non solo lato client. Il client-side è solo UX.</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Impossibile bypassare la validazione manipolando il browser</w:t>
            </w:r>
          </w:p>
        </w:tc>
      </w:tr>
    </w:tbl>
    <w:p/>
    <w:p>
      <w:pPr>
        <w:spacing w:before="200" w:after="80"/>
      </w:pPr>
      <w:r>
        <w:rPr>
          <w:b/>
          <w:color w:val="082050"/>
          <w:sz w:val="24"/>
        </w:rPr>
        <w:t>7. INFRASTRUTTURA — CERTIFICAZIONI E STANDARD</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Componente</w:t>
            </w:r>
          </w:p>
        </w:tc>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Ruolo</w:t>
            </w:r>
          </w:p>
        </w:tc>
        <w:tc>
          <w:tcPr>
            <w:tcW w:type="dxa" w:w="311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Certificazioni</w:t>
            </w:r>
          </w:p>
        </w:tc>
        <w:tc>
          <w:tcPr>
            <w:tcW w:type="dxa" w:w="2268"/>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Riferimento</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Pages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Edge computing globale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ISO 27001, SOC 2 Type II, PCI DSS Level 1</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https://www.cloudflare.com/trust-hub/</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D1</w:t>
            </w:r>
          </w:p>
        </w:tc>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Database SQLite distribuito</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ISO 27001 (eredita da Cloudflare infra)</w:t>
            </w:r>
          </w:p>
        </w:tc>
        <w:tc>
          <w:tcPr>
            <w:tcW w:type="dxa" w:w="226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Trust Hub</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Workers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Runtime serverless edge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ISO 27001, SOC 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Trust Hub</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TLS/SSL</w:t>
            </w:r>
          </w:p>
        </w:tc>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Trasmissione cifrata</w:t>
            </w:r>
          </w:p>
        </w:tc>
        <w:tc>
          <w:tcPr>
            <w:tcW w:type="dxa" w:w="311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Cloudflare Universal SSL — cert. automatici</w:t>
            </w:r>
          </w:p>
        </w:tc>
        <w:tc>
          <w:tcPr>
            <w:tcW w:type="dxa" w:w="2268"/>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TLS 1.2 / 1.3</w:t>
            </w:r>
          </w:p>
        </w:tc>
      </w:tr>
    </w:tbl>
    <w:p/>
    <w:p>
      <w:pPr>
        <w:spacing w:before="200" w:after="80"/>
      </w:pPr>
      <w:r>
        <w:rPr>
          <w:b/>
          <w:color w:val="082050"/>
          <w:sz w:val="24"/>
        </w:rPr>
        <w:t>8. AUDIT LOG — TRACCIABILITÀ OPERAZIONI</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Aspetto</w:t>
            </w:r>
          </w:p>
        </w:tc>
        <w:tc>
          <w:tcPr>
            <w:tcW w:type="dxa" w:w="4535"/>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Implementazione</w:t>
            </w:r>
          </w:p>
        </w:tc>
        <w:tc>
          <w:tcPr>
            <w:tcW w:type="dxa" w:w="2835"/>
            <w:shd w:val="clear" w:color="auto" w:fill="EEF6FB"/>
            <w:tcBorders>
              <w:top w:val="single" w:sz="6" w:space="0" w:color="1078C0"/>
              <w:left w:val="single" w:sz="6" w:space="0" w:color="1078C0"/>
              <w:bottom w:val="single" w:sz="6" w:space="0" w:color="1078C0"/>
              <w:right w:val="single" w:sz="6" w:space="0" w:color="1078C0"/>
            </w:tcBorders>
            <w:vAlign w:val="center"/>
          </w:tcPr>
          <w:p>
            <w:pPr>
              <w:spacing w:before="60" w:after="60"/>
            </w:pPr>
            <w:r>
              <w:rPr>
                <w:b/>
                <w:color w:val="082050"/>
                <w:sz w:val="18"/>
              </w:rPr>
              <w:t>Note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Tabella audit_log</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Registra tutte le operazioni admin: tipo azione, payload (dati coinvolti), IP hashato dell'operatore, timestamp.</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Schema: id, action_type, action_data (JSON), ip_hash, created_at</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Operazioni tracciate</w:t>
            </w:r>
          </w:p>
        </w:tc>
        <w:tc>
          <w:tcPr>
            <w:tcW w:type="dxa" w:w="45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Inserimenti dati, modifiche contenuti, cancellazioni, esercizio diritto all'oblio, accessi al pannello.</w:t>
            </w:r>
          </w:p>
        </w:tc>
        <w:tc>
          <w:tcPr>
            <w:tcW w:type="dxa" w:w="28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Ogni chiamata agli endpoint /api/admin/* genera un record</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Conservazione</w:t>
            </w:r>
          </w:p>
        </w:tc>
        <w:tc>
          <w:tcPr>
            <w:tcW w:type="dxa" w:w="45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12 mesi dalla registrazione (poi cancellazione automatica non implementata — da gestire manualmente o con cron job futuro).</w:t>
            </w:r>
          </w:p>
        </w:tc>
        <w:tc>
          <w:tcPr>
            <w:tcW w:type="dxa" w:w="2835"/>
            <w:shd w:val="clear" w:color="auto" w:fill="FFFFFF"/>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Da implementare: pulizia automatica log &gt;12 mesi</w:t>
            </w:r>
          </w:p>
        </w:tc>
      </w:tr>
      <w:tr>
        <w:tc>
          <w:tcPr>
            <w:tcW w:type="dxa" w:w="1984"/>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Accesso audit log</w:t>
            </w:r>
          </w:p>
        </w:tc>
        <w:tc>
          <w:tcPr>
            <w:tcW w:type="dxa" w:w="45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Solo lettura tramite pannello admin (/api/admin/audit — GET). Nessuna modifica o cancellazione permessa tramite API.</w:t>
            </w:r>
          </w:p>
        </w:tc>
        <w:tc>
          <w:tcPr>
            <w:tcW w:type="dxa" w:w="2835"/>
            <w:shd w:val="clear" w:color="auto" w:fill="F4F9FE"/>
            <w:tcBorders>
              <w:top w:val="single" w:sz="4" w:space="0" w:color="CCCCCC"/>
              <w:left w:val="single" w:sz="4" w:space="0" w:color="CCCCCC"/>
              <w:bottom w:val="single" w:sz="4" w:space="0" w:color="CCCCCC"/>
              <w:right w:val="single" w:sz="4" w:space="0" w:color="CCCCCC"/>
            </w:tcBorders>
            <w:vAlign w:val="center"/>
          </w:tcPr>
          <w:p>
            <w:pPr>
              <w:spacing w:before="40" w:after="40"/>
            </w:pPr>
            <w:r>
              <w:rPr>
                <w:b w:val="0"/>
                <w:color w:val="555555"/>
                <w:sz w:val="18"/>
              </w:rPr>
              <w:t>Integrità del log garantita dalla sola possibilità di lettura via API</w:t>
            </w:r>
          </w:p>
        </w:tc>
      </w:tr>
    </w:tbl>
    <w:p/>
    <w:p>
      <w:pPr>
        <w:spacing w:before="200" w:after="80"/>
      </w:pPr>
      <w:r>
        <w:rPr>
          <w:b/>
          <w:color w:val="082050"/>
          <w:sz w:val="24"/>
        </w:rPr>
        <w:t>9. MISURE ORGANIZZATIVE</w:t>
      </w:r>
    </w:p>
    <w:p>
      <w:pPr>
        <w:pStyle w:val="ListBullet"/>
        <w:spacing w:after="60"/>
      </w:pPr>
      <w:r>
        <w:rPr>
          <w:color w:val="555555"/>
          <w:sz w:val="20"/>
        </w:rPr>
        <w:t>Le credenziali di accesso al pannello admin e ai servizi Cloudflare sono note solo al Responsabile Tecnico e non vengono condivise senza autorizzazione del Titolare.</w:t>
      </w:r>
    </w:p>
    <w:p>
      <w:pPr>
        <w:pStyle w:val="ListBullet"/>
        <w:spacing w:after="60"/>
      </w:pPr>
      <w:r>
        <w:rPr>
          <w:color w:val="555555"/>
          <w:sz w:val="20"/>
        </w:rPr>
        <w:t>Il codice sorgente è versionato su repository git privato; nessun secret o dato personale è presente nella cronologia dei commit.</w:t>
      </w:r>
    </w:p>
    <w:p>
      <w:pPr>
        <w:pStyle w:val="ListBullet"/>
        <w:spacing w:after="60"/>
      </w:pPr>
      <w:r>
        <w:rPr>
          <w:color w:val="555555"/>
          <w:sz w:val="20"/>
        </w:rPr>
        <w:t>Le operazioni di accesso ai dati personali vengono eseguite solo su specifica richiesta del Titolare o per necessità tecniche documentate.</w:t>
      </w:r>
    </w:p>
    <w:p>
      <w:pPr>
        <w:pStyle w:val="ListBullet"/>
        <w:spacing w:after="60"/>
      </w:pPr>
      <w:r>
        <w:rPr>
          <w:color w:val="555555"/>
          <w:sz w:val="20"/>
        </w:rPr>
        <w:t>In caso di data breach: notifica al Titolare entro 24 ore, con indicazione di tipo violazione, dati coinvolti, numero stimato di interessati e misure adottate.</w:t>
      </w:r>
    </w:p>
    <w:p>
      <w:pPr>
        <w:pStyle w:val="ListBullet"/>
        <w:spacing w:after="60"/>
      </w:pPr>
      <w:r>
        <w:rPr>
          <w:color w:val="555555"/>
          <w:sz w:val="20"/>
        </w:rPr>
        <w:t>Il Responsabile Tecnico non conserva copie locali dei dati del database su dispositivi personali.</w:t>
      </w:r>
    </w:p>
    <w:p/>
    <w:p>
      <w:pPr>
        <w:spacing w:before="80" w:after="80"/>
        <w:pBdr>
          <w:bottom w:val="single" w:sz="6" w:space="1" w:color="1078C0"/>
        </w:pBdr>
      </w:pPr>
    </w:p>
    <w:p>
      <w:pPr>
        <w:spacing w:before="120" w:after="200"/>
        <w:jc w:val="left"/>
      </w:pPr>
      <w:r>
        <w:rPr>
          <w:b w:val="0"/>
          <w:i w:val="0"/>
          <w:color w:val="555555"/>
          <w:sz w:val="20"/>
        </w:rPr>
        <w:t>Le Parti dichiarano di aver letto, compreso e approvato il presente allegato.</w:t>
      </w:r>
    </w:p>
    <w:tbl>
      <w:tblPr>
        <w:tblW w:type="auto" w:w="0"/>
        <w:jc w:val="left"/>
        <w:tblLook w:firstColumn="1" w:firstRow="1" w:lastColumn="0" w:lastRow="0" w:noHBand="0" w:noVBand="1" w:val="04A0"/>
      </w:tblPr>
      <w:tblGrid>
        <w:gridCol w:w="4561"/>
        <w:gridCol w:w="4561"/>
      </w:tblGrid>
      <w:tr>
        <w:tc>
          <w:tcPr>
            <w:tcW w:type="dxa" w:w="4561"/>
          </w:tcPr>
          <w:p>
            <w:pPr>
              <w:spacing w:before="80" w:after="80"/>
            </w:pPr>
            <w:r>
              <w:rPr>
                <w:b/>
                <w:color w:val="082050"/>
                <w:sz w:val="20"/>
              </w:rPr>
              <w:t>Il Titolare del Trattamento</w:t>
            </w:r>
          </w:p>
        </w:tc>
        <w:tc>
          <w:tcPr>
            <w:tcW w:type="dxa" w:w="4561"/>
          </w:tcPr>
          <w:p>
            <w:pPr>
              <w:spacing w:before="80" w:after="80"/>
            </w:pPr>
            <w:r>
              <w:rPr>
                <w:b/>
                <w:color w:val="082050"/>
                <w:sz w:val="20"/>
              </w:rPr>
              <w:t>Il Responsabile del Trattamento</w:t>
            </w:r>
          </w:p>
        </w:tc>
      </w:tr>
      <w:tr>
        <w:tc>
          <w:tcPr>
            <w:tcW w:type="dxa" w:w="4561"/>
          </w:tcPr>
          <w:p>
            <w:pPr>
              <w:spacing w:before="80" w:after="80"/>
            </w:pPr>
            <w:r>
              <w:rPr>
                <w:b w:val="0"/>
                <w:color w:val="555555"/>
                <w:sz w:val="20"/>
              </w:rPr>
              <w:t>Sindrome ReNU Italia APS</w:t>
              <w:br/>
              <w:t>Stefania Rocca, Presidente</w:t>
            </w:r>
          </w:p>
        </w:tc>
        <w:tc>
          <w:tcPr>
            <w:tcW w:type="dxa" w:w="4561"/>
          </w:tcPr>
          <w:p>
            <w:pPr>
              <w:spacing w:before="80" w:after="80"/>
            </w:pPr>
            <w:r>
              <w:rPr>
                <w:b w:val="0"/>
                <w:color w:val="555555"/>
                <w:sz w:val="20"/>
              </w:rPr>
              <w:t>[Nome e Cognome Responsabile Tecnico]</w:t>
            </w:r>
          </w:p>
        </w:tc>
      </w:tr>
      <w:tr>
        <w:tc>
          <w:tcPr>
            <w:tcW w:type="dxa" w:w="4561"/>
          </w:tcPr>
          <w:p>
            <w:pPr>
              <w:spacing w:before="80" w:after="80"/>
            </w:pPr>
            <w:r>
              <w:rPr>
                <w:b w:val="0"/>
                <w:color w:val="555555"/>
                <w:sz w:val="20"/>
              </w:rPr>
              <w:t>Data: _____________________</w:t>
            </w:r>
          </w:p>
        </w:tc>
        <w:tc>
          <w:tcPr>
            <w:tcW w:type="dxa" w:w="4561"/>
          </w:tcPr>
          <w:p>
            <w:pPr>
              <w:spacing w:before="80" w:after="80"/>
            </w:pPr>
            <w:r>
              <w:rPr>
                <w:b w:val="0"/>
                <w:color w:val="555555"/>
                <w:sz w:val="20"/>
              </w:rPr>
              <w:t>Data: _____________________</w:t>
            </w:r>
          </w:p>
        </w:tc>
      </w:tr>
      <w:tr>
        <w:tc>
          <w:tcPr>
            <w:tcW w:type="dxa" w:w="4561"/>
          </w:tcPr>
          <w:p>
            <w:pPr>
              <w:spacing w:before="80" w:after="80"/>
            </w:pPr>
            <w:r>
              <w:rPr>
                <w:b w:val="0"/>
                <w:color w:val="555555"/>
                <w:sz w:val="20"/>
              </w:rPr>
              <w:t>Firma: _____________________</w:t>
            </w:r>
          </w:p>
        </w:tc>
        <w:tc>
          <w:tcPr>
            <w:tcW w:type="dxa" w:w="4561"/>
          </w:tcPr>
          <w:p>
            <w:pPr>
              <w:spacing w:before="80" w:after="80"/>
            </w:pPr>
            <w:r>
              <w:rPr>
                <w:b w:val="0"/>
                <w:color w:val="555555"/>
                <w:sz w:val="20"/>
              </w:rPr>
              <w:t>Firma: _____________________</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