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082050"/>
          <w:sz w:val="24"/>
        </w:rPr>
        <w:t>Sindrome ReNU Italia APS</w:t>
      </w:r>
    </w:p>
    <w:p>
      <w:pPr>
        <w:spacing w:after="20"/>
      </w:pPr>
      <w:r>
        <w:rPr>
          <w:color w:val="555555"/>
          <w:sz w:val="18"/>
        </w:rPr>
        <w:t>Via Marina 6 — 20121 Milano (MI)</w:t>
      </w:r>
    </w:p>
    <w:p>
      <w:pPr>
        <w:spacing w:after="20"/>
      </w:pPr>
      <w:r>
        <w:rPr>
          <w:color w:val="555555"/>
          <w:sz w:val="18"/>
        </w:rPr>
        <w:t>C.F. / P.IVA: 98020680157</w:t>
      </w:r>
    </w:p>
    <w:p>
      <w:pPr>
        <w:spacing w:after="20"/>
      </w:pPr>
      <w:r>
        <w:rPr>
          <w:color w:val="555555"/>
          <w:sz w:val="18"/>
        </w:rPr>
        <w:t>info@sindromerenu.it  |  sindromerenuitalia@legalmail.it</w:t>
      </w:r>
    </w:p>
    <w:p>
      <w:pPr>
        <w:spacing w:after="20"/>
      </w:pPr>
      <w:r>
        <w:rPr>
          <w:color w:val="555555"/>
          <w:sz w:val="18"/>
        </w:rPr>
        <w:t>www.sindromerenu.it</w:t>
      </w:r>
    </w:p>
    <w:p>
      <w:pPr>
        <w:spacing w:before="80" w:after="80"/>
        <w:pBdr>
          <w:bottom w:val="single" w:sz="6" w:space="1" w:color="1078C0"/>
        </w:pBdr>
      </w:pPr>
    </w:p>
    <w:p>
      <w:pPr>
        <w:spacing w:before="120" w:after="160"/>
        <w:jc w:val="left"/>
      </w:pPr>
      <w:r>
        <w:rPr>
          <w:b w:val="0"/>
          <w:i w:val="0"/>
          <w:color w:val="555555"/>
          <w:sz w:val="20"/>
        </w:rPr>
        <w:t>Milano, [data]</w:t>
      </w:r>
    </w:p>
    <w:p>
      <w:pPr>
        <w:spacing w:after="40"/>
      </w:pPr>
      <w:r>
        <w:rPr>
          <w:b/>
          <w:color w:val="082050"/>
          <w:sz w:val="22"/>
        </w:rPr>
        <w:t>Egr. Avv. Francesco Conti</w:t>
      </w:r>
    </w:p>
    <w:p>
      <w:pPr>
        <w:spacing w:after="20"/>
      </w:pPr>
      <w:r>
        <w:rPr>
          <w:color w:val="555555"/>
          <w:sz w:val="20"/>
        </w:rPr>
        <w:t>Responsabile della Protezione dei Dati (DPO)</w:t>
      </w:r>
    </w:p>
    <w:p>
      <w:pPr>
        <w:spacing w:after="20"/>
      </w:pPr>
      <w:r>
        <w:rPr>
          <w:color w:val="555555"/>
          <w:sz w:val="20"/>
        </w:rPr>
        <w:t>nominato ex Art. 37 GDPR — Sindrome ReNU Italia APS</w:t>
      </w:r>
    </w:p>
    <w:p>
      <w:pPr>
        <w:spacing w:after="20"/>
      </w:pPr>
      <w:r>
        <w:rPr>
          <w:color w:val="555555"/>
          <w:sz w:val="20"/>
        </w:rPr>
        <w:t>dpo@sindromerenu.it</w:t>
      </w:r>
    </w:p>
    <w:p/>
    <w:p>
      <w:pPr>
        <w:spacing w:after="160"/>
      </w:pPr>
      <w:r>
        <w:rPr>
          <w:b/>
          <w:color w:val="082050"/>
          <w:sz w:val="20"/>
        </w:rPr>
        <w:t xml:space="preserve">Oggetto: </w:t>
      </w:r>
      <w:r>
        <w:rPr>
          <w:color w:val="000000"/>
          <w:sz w:val="20"/>
        </w:rPr>
        <w:t>Ricognizione dei trattamenti dati del sito www.sindromerenu.it — documentazione tecnica per adempimenti GDPR</w:t>
      </w:r>
    </w:p>
    <w:p>
      <w:pPr>
        <w:spacing w:before="0" w:after="80"/>
        <w:jc w:val="left"/>
      </w:pPr>
      <w:r>
        <w:rPr>
          <w:b/>
          <w:i w:val="0"/>
          <w:color w:val="082050"/>
          <w:sz w:val="20"/>
        </w:rPr>
        <w:t>Gentile Avv. Conti,</w:t>
      </w:r>
    </w:p>
    <w:p>
      <w:pPr>
        <w:spacing w:before="0" w:after="160"/>
        <w:jc w:val="left"/>
      </w:pPr>
      <w:r>
        <w:rPr>
          <w:b w:val="0"/>
          <w:i w:val="0"/>
          <w:color w:val="555555"/>
          <w:sz w:val="20"/>
        </w:rPr>
        <w:t>in seguito alla Sua nomina a Responsabile della Protezione dei Dati (DPO) di questa Associazione, Le trasmettiamo la ricognizione completa dei trattamenti di dati personali effettuati tramite il sito web istituzionale www.sindromerenu.it, comprensiva della descrizione tecnica dell'infrastruttura, dei soggetti coinvolti e delle misure di sicurezza adottate.</w:t>
      </w:r>
    </w:p>
    <w:p>
      <w:pPr>
        <w:spacing w:before="80" w:after="80"/>
        <w:pBdr>
          <w:bottom w:val="single" w:sz="6" w:space="1" w:color="1078C0"/>
        </w:pBdr>
      </w:pPr>
    </w:p>
    <w:p>
      <w:pPr>
        <w:spacing w:before="200" w:after="80"/>
      </w:pPr>
      <w:r>
        <w:rPr>
          <w:b/>
          <w:color w:val="082050"/>
          <w:sz w:val="24"/>
        </w:rPr>
        <w:t>1. TITOLARE DEL TRATTAMENTO</w:t>
      </w:r>
    </w:p>
    <w:p>
      <w:pPr>
        <w:spacing w:before="20" w:after="20"/>
      </w:pPr>
      <w:r>
        <w:rPr>
          <w:b/>
          <w:color w:val="082050"/>
          <w:sz w:val="20"/>
        </w:rPr>
        <w:t xml:space="preserve">Denominazione: </w:t>
      </w:r>
      <w:r>
        <w:rPr>
          <w:b w:val="0"/>
          <w:color w:val="555555"/>
          <w:sz w:val="20"/>
        </w:rPr>
        <w:t>Sindrome ReNU Italia APS</w:t>
      </w:r>
    </w:p>
    <w:p>
      <w:pPr>
        <w:spacing w:before="20" w:after="20"/>
      </w:pPr>
      <w:r>
        <w:rPr>
          <w:b/>
          <w:color w:val="082050"/>
          <w:sz w:val="20"/>
        </w:rPr>
        <w:t xml:space="preserve">Natura giuridica: </w:t>
      </w:r>
      <w:r>
        <w:rPr>
          <w:b w:val="0"/>
          <w:color w:val="555555"/>
          <w:sz w:val="20"/>
        </w:rPr>
        <w:t>Associazione di Promozione Sociale iscritta al RUNTS dal 28/04/2025</w:t>
      </w:r>
    </w:p>
    <w:p>
      <w:pPr>
        <w:spacing w:before="20" w:after="20"/>
      </w:pPr>
      <w:r>
        <w:rPr>
          <w:b/>
          <w:color w:val="082050"/>
          <w:sz w:val="20"/>
        </w:rPr>
        <w:t xml:space="preserve">C.F. / P.IVA: </w:t>
      </w:r>
      <w:r>
        <w:rPr>
          <w:b w:val="0"/>
          <w:color w:val="555555"/>
          <w:sz w:val="20"/>
        </w:rPr>
        <w:t>98020680157</w:t>
      </w:r>
    </w:p>
    <w:p>
      <w:pPr>
        <w:spacing w:before="20" w:after="20"/>
      </w:pPr>
      <w:r>
        <w:rPr>
          <w:b/>
          <w:color w:val="082050"/>
          <w:sz w:val="20"/>
        </w:rPr>
        <w:t xml:space="preserve">Sede legale: </w:t>
      </w:r>
      <w:r>
        <w:rPr>
          <w:b w:val="0"/>
          <w:color w:val="555555"/>
          <w:sz w:val="20"/>
        </w:rPr>
        <w:t>Via Marina 6, 20121 Milano (MI)</w:t>
      </w:r>
    </w:p>
    <w:p>
      <w:pPr>
        <w:spacing w:before="20" w:after="20"/>
      </w:pPr>
      <w:r>
        <w:rPr>
          <w:b/>
          <w:color w:val="082050"/>
          <w:sz w:val="20"/>
        </w:rPr>
        <w:t xml:space="preserve">PEC: </w:t>
      </w:r>
      <w:r>
        <w:rPr>
          <w:b w:val="0"/>
          <w:color w:val="555555"/>
          <w:sz w:val="20"/>
        </w:rPr>
        <w:t>sindromerenuitalia@legalmail.it</w:t>
      </w:r>
    </w:p>
    <w:p>
      <w:pPr>
        <w:spacing w:before="20" w:after="20"/>
      </w:pPr>
      <w:r>
        <w:rPr>
          <w:b/>
          <w:color w:val="082050"/>
          <w:sz w:val="20"/>
        </w:rPr>
        <w:t xml:space="preserve">Tel. Segreteria: </w:t>
      </w:r>
      <w:r>
        <w:rPr>
          <w:b w:val="0"/>
          <w:color w:val="555555"/>
          <w:sz w:val="20"/>
        </w:rPr>
        <w:t>+39 327 763 4894</w:t>
      </w:r>
    </w:p>
    <w:p>
      <w:pPr>
        <w:spacing w:before="20" w:after="20"/>
      </w:pPr>
      <w:r>
        <w:rPr>
          <w:b/>
          <w:color w:val="082050"/>
          <w:sz w:val="20"/>
        </w:rPr>
        <w:t xml:space="preserve">Tel. Presidenza: </w:t>
      </w:r>
      <w:r>
        <w:rPr>
          <w:b w:val="0"/>
          <w:color w:val="555555"/>
          <w:sz w:val="20"/>
        </w:rPr>
        <w:t>+39 335 730 1206  (Stefania Rocca)</w:t>
      </w:r>
    </w:p>
    <w:p/>
    <w:p>
      <w:pPr>
        <w:spacing w:before="200" w:after="80"/>
      </w:pPr>
      <w:r>
        <w:rPr>
          <w:b/>
          <w:color w:val="082050"/>
          <w:sz w:val="24"/>
        </w:rPr>
        <w:t>2. RESPONSABILE TECNICO DEL SITO (Art. 28 GDPR)</w:t>
      </w:r>
    </w:p>
    <w:p>
      <w:pPr>
        <w:spacing w:before="0" w:after="80"/>
        <w:jc w:val="left"/>
      </w:pPr>
      <w:r>
        <w:rPr>
          <w:b w:val="0"/>
          <w:i w:val="0"/>
          <w:color w:val="555555"/>
          <w:sz w:val="20"/>
        </w:rPr>
        <w:t>Il sito è stato sviluppato e viene gestito tecnicamente da un Responsabile Tecnico esterno, nominato Responsabile del Trattamento ai sensi dell'Art. 28 GDPR, con il quale l'Associazione ha stipulato (o dovrà stipulare) il relativo contratto scritto.</w:t>
      </w:r>
    </w:p>
    <w:p>
      <w:pPr>
        <w:pStyle w:val="ListBullet"/>
        <w:spacing w:after="40"/>
      </w:pPr>
      <w:r>
        <w:rPr>
          <w:color w:val="555555"/>
          <w:sz w:val="20"/>
        </w:rPr>
        <w:t>ha sviluppato interamente il sito su piattaforma Hono/TypeScript deployato su Cloudflare Pages;</w:t>
      </w:r>
    </w:p>
    <w:p>
      <w:pPr>
        <w:pStyle w:val="ListBullet"/>
        <w:spacing w:after="40"/>
      </w:pPr>
      <w:r>
        <w:rPr>
          <w:color w:val="555555"/>
          <w:sz w:val="20"/>
        </w:rPr>
        <w:t>gestisce il database Cloudflare D1 (sindromerenu-db) contenente i dati personali degli utenti;</w:t>
      </w:r>
    </w:p>
    <w:p>
      <w:pPr>
        <w:pStyle w:val="ListBullet"/>
        <w:spacing w:after="40"/>
      </w:pPr>
      <w:r>
        <w:rPr>
          <w:color w:val="555555"/>
          <w:sz w:val="20"/>
        </w:rPr>
        <w:t>ha accesso al pannello amministrativo /admin tramite token segreto cifrato (ADMIN_SECRET);</w:t>
      </w:r>
    </w:p>
    <w:p>
      <w:pPr>
        <w:pStyle w:val="ListBullet"/>
        <w:spacing w:after="40"/>
      </w:pPr>
      <w:r>
        <w:rPr>
          <w:color w:val="555555"/>
          <w:sz w:val="20"/>
        </w:rPr>
        <w:t>può eseguire operazioni di lettura, modifica ed esercizio del diritto all'oblio (endpoint DELETE /api/admin/erasure/:email);</w:t>
      </w:r>
    </w:p>
    <w:p>
      <w:pPr>
        <w:pStyle w:val="ListBullet"/>
        <w:spacing w:after="40"/>
      </w:pPr>
      <w:r>
        <w:rPr>
          <w:color w:val="555555"/>
          <w:sz w:val="20"/>
        </w:rPr>
        <w:t>gestisce i secret Cloudflare Workers (ADMIN_SECRET, RESEND_API_KEY) tramite il pannello Cloudflare.</w:t>
      </w:r>
    </w:p>
    <w:p>
      <w:pPr>
        <w:spacing w:before="120" w:after="160"/>
        <w:jc w:val="left"/>
      </w:pPr>
      <w:r>
        <w:rPr>
          <w:b w:val="0"/>
          <w:i/>
          <w:color w:val="1078C0"/>
          <w:sz w:val="20"/>
        </w:rPr>
        <w:t>Si allega la bozza di contratto DPA Art. 28 GDPR da formalizzare tra l'Associazione e il Responsabile Tecnico. Si chiede all'Avv. Conti di verificarne la conformità prima della sottoscrizione.</w:t>
      </w:r>
    </w:p>
    <w:p>
      <w:pPr>
        <w:spacing w:before="80" w:after="80"/>
        <w:pBdr>
          <w:bottom w:val="single" w:sz="6" w:space="1" w:color="1078C0"/>
        </w:pBdr>
      </w:pPr>
    </w:p>
    <w:p>
      <w:pPr>
        <w:spacing w:before="200" w:after="80"/>
      </w:pPr>
      <w:r>
        <w:rPr>
          <w:b/>
          <w:color w:val="082050"/>
          <w:sz w:val="24"/>
        </w:rPr>
        <w:t>3. CATEGORIE DI DATI TRATTATI E FINALITÀ</w:t>
      </w:r>
    </w:p>
    <w:p>
      <w:pPr>
        <w:spacing w:before="160" w:after="60"/>
      </w:pPr>
      <w:r>
        <w:rPr>
          <w:b/>
          <w:color w:val="1078C0"/>
          <w:sz w:val="20"/>
        </w:rPr>
        <w:t>3a. Form di contatto  (/api/contatti) — Tabella DB: contatti</w:t>
      </w:r>
    </w:p>
    <w:p>
      <w:pPr>
        <w:spacing w:before="20" w:after="20"/>
        <w:ind w:left="454"/>
      </w:pPr>
      <w:r>
        <w:rPr>
          <w:b/>
          <w:color w:val="082050"/>
          <w:sz w:val="20"/>
        </w:rPr>
        <w:t xml:space="preserve">Dati:  </w:t>
      </w:r>
      <w:r>
        <w:rPr>
          <w:color w:val="555555"/>
          <w:sz w:val="20"/>
        </w:rPr>
        <w:t>Nome, email, messaggio, consenso GDPR v2.0, hash IP SHA-256, lingua</w:t>
      </w:r>
    </w:p>
    <w:p>
      <w:pPr>
        <w:spacing w:before="20" w:after="20"/>
        <w:ind w:left="454"/>
      </w:pPr>
      <w:r>
        <w:rPr>
          <w:b/>
          <w:color w:val="082050"/>
          <w:sz w:val="20"/>
        </w:rPr>
        <w:t xml:space="preserve">Base giuridica:  </w:t>
      </w:r>
      <w:r>
        <w:rPr>
          <w:color w:val="555555"/>
          <w:sz w:val="20"/>
        </w:rPr>
        <w:t>Consenso (Art. 6.1.a GDPR)</w:t>
      </w:r>
    </w:p>
    <w:p>
      <w:pPr>
        <w:spacing w:before="20" w:after="20"/>
        <w:ind w:left="454"/>
      </w:pPr>
      <w:r>
        <w:rPr>
          <w:b/>
          <w:color w:val="082050"/>
          <w:sz w:val="20"/>
        </w:rPr>
        <w:t xml:space="preserve">Conservazione:  </w:t>
      </w:r>
      <w:r>
        <w:rPr>
          <w:color w:val="555555"/>
          <w:sz w:val="20"/>
        </w:rPr>
        <w:t>2 anni</w:t>
      </w:r>
    </w:p>
    <w:p>
      <w:pPr>
        <w:spacing w:before="20" w:after="20"/>
        <w:ind w:left="454"/>
      </w:pPr>
      <w:r>
        <w:rPr>
          <w:b/>
          <w:color w:val="082050"/>
          <w:sz w:val="20"/>
        </w:rPr>
        <w:t xml:space="preserve">Nota:  </w:t>
      </w:r>
      <w:r>
        <w:rPr>
          <w:color w:val="555555"/>
          <w:sz w:val="20"/>
        </w:rPr>
        <w:t>L'IP non viene mai conservato in chiaro; è sostituito da un hash SHA-256 non reversibile con salt fisso.</w:t>
      </w:r>
    </w:p>
    <w:p>
      <w:pPr>
        <w:spacing w:before="160" w:after="60"/>
      </w:pPr>
      <w:r>
        <w:rPr>
          <w:b/>
          <w:color w:val="1078C0"/>
          <w:sz w:val="20"/>
        </w:rPr>
        <w:t>3b. Lista attesa / Pre-iscrizione  (/api/lista-attesa) — Tabella DB: lista_attesa</w:t>
      </w:r>
    </w:p>
    <w:p>
      <w:pPr>
        <w:spacing w:before="20" w:after="20"/>
        <w:ind w:left="454"/>
      </w:pPr>
      <w:r>
        <w:rPr>
          <w:b/>
          <w:color w:val="082050"/>
          <w:sz w:val="20"/>
        </w:rPr>
        <w:t xml:space="preserve">Dati:  </w:t>
      </w:r>
      <w:r>
        <w:rPr>
          <w:color w:val="555555"/>
          <w:sz w:val="20"/>
        </w:rPr>
        <w:t>Nome, cognome, email, telefono, città, tipo, consenso GDPR v2.0, hash IP SHA-256; dati minore: nome, anno nascita, patologia</w:t>
      </w:r>
    </w:p>
    <w:p>
      <w:pPr>
        <w:spacing w:before="20" w:after="20"/>
        <w:ind w:left="454"/>
      </w:pPr>
      <w:r>
        <w:rPr>
          <w:b/>
          <w:color w:val="082050"/>
          <w:sz w:val="20"/>
        </w:rPr>
        <w:t xml:space="preserve">Base giuridica:  </w:t>
      </w:r>
      <w:r>
        <w:rPr>
          <w:color w:val="555555"/>
          <w:sz w:val="20"/>
        </w:rPr>
        <w:t>Consenso / esecuzione di un contratto (Art. 6.1.a-b GDPR)</w:t>
      </w:r>
    </w:p>
    <w:p>
      <w:pPr>
        <w:spacing w:before="20" w:after="20"/>
        <w:ind w:left="454"/>
      </w:pPr>
      <w:r>
        <w:rPr>
          <w:b/>
          <w:color w:val="082050"/>
          <w:sz w:val="20"/>
        </w:rPr>
        <w:t xml:space="preserve">Conservazione:  </w:t>
      </w:r>
      <w:r>
        <w:rPr>
          <w:color w:val="555555"/>
          <w:sz w:val="20"/>
        </w:rPr>
        <w:t>Durata rapporto associativo + 5 anni</w:t>
      </w:r>
    </w:p>
    <w:p>
      <w:pPr>
        <w:spacing w:before="160" w:after="60"/>
      </w:pPr>
      <w:r>
        <w:rPr>
          <w:b/>
          <w:color w:val="1078C0"/>
          <w:sz w:val="20"/>
        </w:rPr>
        <w:t>3c. Storie delle famiglie  (/api/storie) — Tabella DB: storie</w:t>
      </w:r>
    </w:p>
    <w:p>
      <w:pPr>
        <w:spacing w:before="20" w:after="20"/>
        <w:ind w:left="454"/>
      </w:pPr>
      <w:r>
        <w:rPr>
          <w:b/>
          <w:color w:val="082050"/>
          <w:sz w:val="20"/>
        </w:rPr>
        <w:t xml:space="preserve">Dati:  </w:t>
      </w:r>
      <w:r>
        <w:rPr>
          <w:color w:val="555555"/>
          <w:sz w:val="20"/>
        </w:rPr>
        <w:t>Nome bambino, storia (testo), fotografia, dati sanitari (diagnosi, variante genetica) — CATEGORIA SPECIALE Art. 9 GDPR</w:t>
      </w:r>
    </w:p>
    <w:p>
      <w:pPr>
        <w:spacing w:before="20" w:after="20"/>
        <w:ind w:left="454"/>
      </w:pPr>
      <w:r>
        <w:rPr>
          <w:b/>
          <w:color w:val="082050"/>
          <w:sz w:val="20"/>
        </w:rPr>
        <w:t xml:space="preserve">Base giuridica:  </w:t>
      </w:r>
      <w:r>
        <w:rPr>
          <w:color w:val="555555"/>
          <w:sz w:val="20"/>
        </w:rPr>
        <w:t>Consenso esplicito (Art. 9.2.a GDPR)</w:t>
      </w:r>
    </w:p>
    <w:p>
      <w:pPr>
        <w:spacing w:before="20" w:after="20"/>
        <w:ind w:left="454"/>
      </w:pPr>
      <w:r>
        <w:rPr>
          <w:b/>
          <w:color w:val="082050"/>
          <w:sz w:val="20"/>
        </w:rPr>
        <w:t xml:space="preserve">Conservazione:  </w:t>
      </w:r>
      <w:r>
        <w:rPr>
          <w:color w:val="555555"/>
          <w:sz w:val="20"/>
        </w:rPr>
        <w:t>Fino a revoca del consenso</w:t>
      </w:r>
    </w:p>
    <w:p>
      <w:pPr>
        <w:spacing w:before="160" w:after="60"/>
      </w:pPr>
      <w:r>
        <w:rPr>
          <w:b/>
          <w:color w:val="1078C0"/>
          <w:sz w:val="20"/>
        </w:rPr>
        <w:t>3d. Donazioni  (/api/donazioni) — Tabella DB: donazioni</w:t>
      </w:r>
    </w:p>
    <w:p>
      <w:pPr>
        <w:spacing w:before="20" w:after="20"/>
        <w:ind w:left="454"/>
      </w:pPr>
      <w:r>
        <w:rPr>
          <w:b/>
          <w:color w:val="082050"/>
          <w:sz w:val="20"/>
        </w:rPr>
        <w:t xml:space="preserve">Dati:  </w:t>
      </w:r>
      <w:r>
        <w:rPr>
          <w:color w:val="555555"/>
          <w:sz w:val="20"/>
        </w:rPr>
        <w:t>Nome, email, importo, metodo, data, consenso</w:t>
      </w:r>
    </w:p>
    <w:p>
      <w:pPr>
        <w:spacing w:before="20" w:after="20"/>
        <w:ind w:left="454"/>
      </w:pPr>
      <w:r>
        <w:rPr>
          <w:b/>
          <w:color w:val="082050"/>
          <w:sz w:val="20"/>
        </w:rPr>
        <w:t xml:space="preserve">Base giuridica:  </w:t>
      </w:r>
      <w:r>
        <w:rPr>
          <w:color w:val="555555"/>
          <w:sz w:val="20"/>
        </w:rPr>
        <w:t>Obbligo legale — conservazione fiscale (Art. 6.1.c GDPR)</w:t>
      </w:r>
    </w:p>
    <w:p>
      <w:pPr>
        <w:spacing w:before="20" w:after="20"/>
        <w:ind w:left="454"/>
      </w:pPr>
      <w:r>
        <w:rPr>
          <w:b/>
          <w:color w:val="082050"/>
          <w:sz w:val="20"/>
        </w:rPr>
        <w:t xml:space="preserve">Conservazione:  </w:t>
      </w:r>
      <w:r>
        <w:rPr>
          <w:color w:val="555555"/>
          <w:sz w:val="20"/>
        </w:rPr>
        <w:t>10 anni (obbligo fiscale ex D.P.R. 600/1973)</w:t>
      </w:r>
    </w:p>
    <w:p>
      <w:pPr>
        <w:spacing w:before="20" w:after="20"/>
        <w:ind w:left="454"/>
      </w:pPr>
      <w:r>
        <w:rPr>
          <w:b/>
          <w:color w:val="082050"/>
          <w:sz w:val="20"/>
        </w:rPr>
        <w:t xml:space="preserve">Nota:  </w:t>
      </w:r>
      <w:r>
        <w:rPr>
          <w:color w:val="555555"/>
          <w:sz w:val="20"/>
        </w:rPr>
        <w:t>L'endpoint POST /api/donazioni è predisposto nel codice ma non ancora attivo; le donazioni tramite bonifico non transitano attualmente dal sito.</w:t>
      </w:r>
    </w:p>
    <w:p>
      <w:pPr>
        <w:spacing w:before="160" w:after="60"/>
      </w:pPr>
      <w:r>
        <w:rPr>
          <w:b/>
          <w:color w:val="1078C0"/>
          <w:sz w:val="20"/>
        </w:rPr>
        <w:t>3e. Adesioni associate  (/api/adesioni) — Tabella DB: adesioni</w:t>
      </w:r>
    </w:p>
    <w:p>
      <w:pPr>
        <w:spacing w:before="20" w:after="20"/>
        <w:ind w:left="454"/>
      </w:pPr>
      <w:r>
        <w:rPr>
          <w:b/>
          <w:color w:val="082050"/>
          <w:sz w:val="20"/>
        </w:rPr>
        <w:t xml:space="preserve">Dati:  </w:t>
      </w:r>
      <w:r>
        <w:rPr>
          <w:color w:val="555555"/>
          <w:sz w:val="20"/>
        </w:rPr>
        <w:t>Nome, cognome, email, telefono, città, tipo socio, consenso</w:t>
      </w:r>
    </w:p>
    <w:p>
      <w:pPr>
        <w:spacing w:before="20" w:after="20"/>
        <w:ind w:left="454"/>
      </w:pPr>
      <w:r>
        <w:rPr>
          <w:b/>
          <w:color w:val="082050"/>
          <w:sz w:val="20"/>
        </w:rPr>
        <w:t xml:space="preserve">Base giuridica:  </w:t>
      </w:r>
      <w:r>
        <w:rPr>
          <w:color w:val="555555"/>
          <w:sz w:val="20"/>
        </w:rPr>
        <w:t>Esecuzione di contratto (Art. 6.1.b GDPR)</w:t>
      </w:r>
    </w:p>
    <w:p>
      <w:pPr>
        <w:spacing w:before="160" w:after="60"/>
      </w:pPr>
      <w:r>
        <w:rPr>
          <w:b/>
          <w:color w:val="1078C0"/>
          <w:sz w:val="20"/>
        </w:rPr>
        <w:t>3f. Log di navigazione — Tabella DB: audit_log</w:t>
      </w:r>
    </w:p>
    <w:p>
      <w:pPr>
        <w:spacing w:before="20" w:after="20"/>
        <w:ind w:left="454"/>
      </w:pPr>
      <w:r>
        <w:rPr>
          <w:b/>
          <w:color w:val="082050"/>
          <w:sz w:val="20"/>
        </w:rPr>
        <w:t xml:space="preserve">Dati:  </w:t>
      </w:r>
      <w:r>
        <w:rPr>
          <w:color w:val="555555"/>
          <w:sz w:val="20"/>
        </w:rPr>
        <w:t>Tipo azione, dati coinvolti, IP hashato (SHA-256), timestamp</w:t>
      </w:r>
    </w:p>
    <w:p>
      <w:pPr>
        <w:spacing w:before="20" w:after="20"/>
        <w:ind w:left="454"/>
      </w:pPr>
      <w:r>
        <w:rPr>
          <w:b/>
          <w:color w:val="082050"/>
          <w:sz w:val="20"/>
        </w:rPr>
        <w:t xml:space="preserve">Finalità:  </w:t>
      </w:r>
      <w:r>
        <w:rPr>
          <w:color w:val="555555"/>
          <w:sz w:val="20"/>
        </w:rPr>
        <w:t>Sicurezza informatica, tracciabilità operazioni admin</w:t>
      </w:r>
    </w:p>
    <w:p>
      <w:pPr>
        <w:spacing w:before="20" w:after="20"/>
        <w:ind w:left="454"/>
      </w:pPr>
      <w:r>
        <w:rPr>
          <w:b/>
          <w:color w:val="082050"/>
          <w:sz w:val="20"/>
        </w:rPr>
        <w:t xml:space="preserve">Conservazione:  </w:t>
      </w:r>
      <w:r>
        <w:rPr>
          <w:color w:val="555555"/>
          <w:sz w:val="20"/>
        </w:rPr>
        <w:t>12 mesi</w:t>
      </w:r>
    </w:p>
    <w:p>
      <w:pPr>
        <w:spacing w:before="80" w:after="80"/>
        <w:pBdr>
          <w:bottom w:val="single" w:sz="6" w:space="1" w:color="1078C0"/>
        </w:pBdr>
      </w:pPr>
    </w:p>
    <w:p>
      <w:pPr>
        <w:spacing w:before="200" w:after="80"/>
      </w:pPr>
      <w:r>
        <w:rPr>
          <w:b/>
          <w:color w:val="082050"/>
          <w:sz w:val="24"/>
        </w:rPr>
        <w:t>4. DIRITTO ALL'OBLIO — Implementazione tecnica (Art. 17 GDPR)</w:t>
      </w:r>
    </w:p>
    <w:p>
      <w:pPr>
        <w:spacing w:before="0" w:after="60"/>
        <w:jc w:val="left"/>
      </w:pPr>
      <w:r>
        <w:rPr>
          <w:b/>
          <w:i w:val="0"/>
          <w:color w:val="082050"/>
          <w:sz w:val="20"/>
        </w:rPr>
        <w:t>È implementato nel pannello admin l'endpoint tecnico:  DELETE /api/admin/erasure/:email</w:t>
      </w:r>
    </w:p>
    <w:p>
      <w:pPr>
        <w:spacing w:before="0" w:after="160"/>
        <w:jc w:val="left"/>
      </w:pPr>
      <w:r>
        <w:rPr>
          <w:b w:val="0"/>
          <w:i w:val="0"/>
          <w:color w:val="555555"/>
          <w:sz w:val="20"/>
        </w:rPr>
        <w:t>L'operazione esegue la pseudonimizzazione di tutti i dati personali riconducibili all'indirizzo email specificato, su tutte le tabelle del database (contatti, lista_attesa, adesioni, donazioni, storie). La pseudonimizzazione sostituisce i dati con valori non identificabili e registra l'operazione nell'audit_log per tracciabilità. L'accesso a questo endpoint è riservato al solo Responsabile Tecnico tramite token admin cifrato.</w:t>
      </w:r>
    </w:p>
    <w:p>
      <w:pPr>
        <w:spacing w:before="80" w:after="80"/>
        <w:pBdr>
          <w:bottom w:val="single" w:sz="6" w:space="1" w:color="1078C0"/>
        </w:pBdr>
      </w:pPr>
    </w:p>
    <w:p>
      <w:pPr>
        <w:spacing w:before="200" w:after="80"/>
      </w:pPr>
      <w:r>
        <w:rPr>
          <w:b/>
          <w:color w:val="082050"/>
          <w:sz w:val="24"/>
        </w:rPr>
        <w:t>5. PANNELLO AMMINISTRATIVO</w:t>
      </w:r>
    </w:p>
    <w:p>
      <w:pPr>
        <w:spacing w:before="0" w:after="120"/>
        <w:jc w:val="left"/>
      </w:pPr>
      <w:r>
        <w:rPr>
          <w:b w:val="0"/>
          <w:i w:val="0"/>
          <w:color w:val="555555"/>
          <w:sz w:val="20"/>
        </w:rPr>
        <w:t>Il pannello /admin è accessibile esclusivamente tramite token segreto (X-Admin-Token) e consente:</w:t>
      </w:r>
    </w:p>
    <w:tbl>
      <w:tblPr>
        <w:tblStyle w:val="TableGrid"/>
        <w:tblW w:type="auto" w:w="0"/>
        <w:jc w:val="left"/>
        <w:tblLook w:firstColumn="1" w:firstRow="1" w:lastColumn="0" w:lastRow="0" w:noHBand="0" w:noVBand="1" w:val="04A0"/>
      </w:tblPr>
      <w:tblGrid>
        <w:gridCol w:w="3041"/>
        <w:gridCol w:w="3041"/>
        <w:gridCol w:w="3041"/>
      </w:tblGrid>
      <w:tr>
        <w:tc>
          <w:tcPr>
            <w:tcW w:type="dxa" w:w="3969"/>
            <w:shd w:val="clear" w:color="auto" w:fill="EEF6FB"/>
            <w:tcBorders>
              <w:top w:val="single" w:sz="6" w:space="0" w:color="1078C0"/>
              <w:left w:val="single" w:sz="6" w:space="0" w:color="1078C0"/>
              <w:bottom w:val="single" w:sz="6" w:space="0" w:color="1078C0"/>
              <w:right w:val="single" w:sz="6" w:space="0" w:color="1078C0"/>
            </w:tcBorders>
            <w:vAlign w:val="center"/>
          </w:tcPr>
          <w:p>
            <w:pPr>
              <w:spacing w:before="60" w:after="60"/>
              <w:jc w:val="left"/>
            </w:pPr>
            <w:r>
              <w:rPr>
                <w:b/>
                <w:color w:val="082050"/>
                <w:sz w:val="18"/>
              </w:rPr>
              <w:t>Funzione</w:t>
            </w:r>
          </w:p>
        </w:tc>
        <w:tc>
          <w:tcPr>
            <w:tcW w:type="dxa" w:w="2268"/>
            <w:shd w:val="clear" w:color="auto" w:fill="EEF6FB"/>
            <w:tcBorders>
              <w:top w:val="single" w:sz="6" w:space="0" w:color="1078C0"/>
              <w:left w:val="single" w:sz="6" w:space="0" w:color="1078C0"/>
              <w:bottom w:val="single" w:sz="6" w:space="0" w:color="1078C0"/>
              <w:right w:val="single" w:sz="6" w:space="0" w:color="1078C0"/>
            </w:tcBorders>
            <w:vAlign w:val="center"/>
          </w:tcPr>
          <w:p>
            <w:pPr>
              <w:spacing w:before="60" w:after="60"/>
              <w:jc w:val="left"/>
            </w:pPr>
            <w:r>
              <w:rPr>
                <w:b/>
                <w:color w:val="082050"/>
                <w:sz w:val="18"/>
              </w:rPr>
              <w:t>Tabella</w:t>
            </w:r>
          </w:p>
        </w:tc>
        <w:tc>
          <w:tcPr>
            <w:tcW w:type="dxa" w:w="2835"/>
            <w:shd w:val="clear" w:color="auto" w:fill="EEF6FB"/>
            <w:tcBorders>
              <w:top w:val="single" w:sz="6" w:space="0" w:color="1078C0"/>
              <w:left w:val="single" w:sz="6" w:space="0" w:color="1078C0"/>
              <w:bottom w:val="single" w:sz="6" w:space="0" w:color="1078C0"/>
              <w:right w:val="single" w:sz="6" w:space="0" w:color="1078C0"/>
            </w:tcBorders>
            <w:vAlign w:val="center"/>
          </w:tcPr>
          <w:p>
            <w:pPr>
              <w:spacing w:before="60" w:after="60"/>
              <w:jc w:val="left"/>
            </w:pPr>
            <w:r>
              <w:rPr>
                <w:b/>
                <w:color w:val="082050"/>
                <w:sz w:val="18"/>
              </w:rPr>
              <w:t>Tipo accesso</w:t>
            </w:r>
          </w:p>
        </w:tc>
      </w:tr>
      <w:tr>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jc w:val="left"/>
            </w:pPr>
            <w:r>
              <w:rPr>
                <w:color w:val="555555"/>
                <w:sz w:val="18"/>
              </w:rPr>
              <w:t>Visualizzazione contatti</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jc w:val="left"/>
            </w:pPr>
            <w:r>
              <w:rPr>
                <w:color w:val="555555"/>
                <w:sz w:val="18"/>
              </w:rPr>
              <w:t>contatti</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jc w:val="left"/>
            </w:pPr>
            <w:r>
              <w:rPr>
                <w:color w:val="555555"/>
                <w:sz w:val="18"/>
              </w:rPr>
              <w:t>Solo lettura</w:t>
            </w:r>
          </w:p>
        </w:tc>
      </w:tr>
      <w:tr>
        <w:tc>
          <w:tcPr>
            <w:tcW w:type="dxa" w:w="3969"/>
            <w:shd w:val="clear" w:color="auto" w:fill="F7FBFF"/>
            <w:tcBorders>
              <w:top w:val="single" w:sz="4" w:space="0" w:color="CCCCCC"/>
              <w:left w:val="single" w:sz="4" w:space="0" w:color="CCCCCC"/>
              <w:bottom w:val="single" w:sz="4" w:space="0" w:color="CCCCCC"/>
              <w:right w:val="single" w:sz="4" w:space="0" w:color="CCCCCC"/>
            </w:tcBorders>
            <w:vAlign w:val="center"/>
          </w:tcPr>
          <w:p>
            <w:pPr>
              <w:spacing w:before="40" w:after="40"/>
              <w:jc w:val="left"/>
            </w:pPr>
            <w:r>
              <w:rPr>
                <w:color w:val="555555"/>
                <w:sz w:val="18"/>
              </w:rPr>
              <w:t>Gestione lista attesa</w:t>
            </w:r>
          </w:p>
        </w:tc>
        <w:tc>
          <w:tcPr>
            <w:tcW w:type="dxa" w:w="2268"/>
            <w:shd w:val="clear" w:color="auto" w:fill="F7FBFF"/>
            <w:tcBorders>
              <w:top w:val="single" w:sz="4" w:space="0" w:color="CCCCCC"/>
              <w:left w:val="single" w:sz="4" w:space="0" w:color="CCCCCC"/>
              <w:bottom w:val="single" w:sz="4" w:space="0" w:color="CCCCCC"/>
              <w:right w:val="single" w:sz="4" w:space="0" w:color="CCCCCC"/>
            </w:tcBorders>
            <w:vAlign w:val="center"/>
          </w:tcPr>
          <w:p>
            <w:pPr>
              <w:spacing w:before="40" w:after="40"/>
              <w:jc w:val="left"/>
            </w:pPr>
            <w:r>
              <w:rPr>
                <w:color w:val="555555"/>
                <w:sz w:val="18"/>
              </w:rPr>
              <w:t>lista_attesa</w:t>
            </w:r>
          </w:p>
        </w:tc>
        <w:tc>
          <w:tcPr>
            <w:tcW w:type="dxa" w:w="2835"/>
            <w:shd w:val="clear" w:color="auto" w:fill="F7FBFF"/>
            <w:tcBorders>
              <w:top w:val="single" w:sz="4" w:space="0" w:color="CCCCCC"/>
              <w:left w:val="single" w:sz="4" w:space="0" w:color="CCCCCC"/>
              <w:bottom w:val="single" w:sz="4" w:space="0" w:color="CCCCCC"/>
              <w:right w:val="single" w:sz="4" w:space="0" w:color="CCCCCC"/>
            </w:tcBorders>
            <w:vAlign w:val="center"/>
          </w:tcPr>
          <w:p>
            <w:pPr>
              <w:spacing w:before="40" w:after="40"/>
              <w:jc w:val="left"/>
            </w:pPr>
            <w:r>
              <w:rPr>
                <w:color w:val="555555"/>
                <w:sz w:val="18"/>
              </w:rPr>
              <w:t>Lettura + eliminazione</w:t>
            </w:r>
          </w:p>
        </w:tc>
      </w:tr>
      <w:tr>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jc w:val="left"/>
            </w:pPr>
            <w:r>
              <w:rPr>
                <w:color w:val="555555"/>
                <w:sz w:val="18"/>
              </w:rPr>
              <w:t>Gestione adesioni</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jc w:val="left"/>
            </w:pPr>
            <w:r>
              <w:rPr>
                <w:color w:val="555555"/>
                <w:sz w:val="18"/>
              </w:rPr>
              <w:t>adesioni</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jc w:val="left"/>
            </w:pPr>
            <w:r>
              <w:rPr>
                <w:color w:val="555555"/>
                <w:sz w:val="18"/>
              </w:rPr>
              <w:t>Lettura + eliminazione</w:t>
            </w:r>
          </w:p>
        </w:tc>
      </w:tr>
      <w:tr>
        <w:tc>
          <w:tcPr>
            <w:tcW w:type="dxa" w:w="3969"/>
            <w:shd w:val="clear" w:color="auto" w:fill="F7FBFF"/>
            <w:tcBorders>
              <w:top w:val="single" w:sz="4" w:space="0" w:color="CCCCCC"/>
              <w:left w:val="single" w:sz="4" w:space="0" w:color="CCCCCC"/>
              <w:bottom w:val="single" w:sz="4" w:space="0" w:color="CCCCCC"/>
              <w:right w:val="single" w:sz="4" w:space="0" w:color="CCCCCC"/>
            </w:tcBorders>
            <w:vAlign w:val="center"/>
          </w:tcPr>
          <w:p>
            <w:pPr>
              <w:spacing w:before="40" w:after="40"/>
              <w:jc w:val="left"/>
            </w:pPr>
            <w:r>
              <w:rPr>
                <w:color w:val="555555"/>
                <w:sz w:val="18"/>
              </w:rPr>
              <w:t>Gestione donazioni</w:t>
            </w:r>
          </w:p>
        </w:tc>
        <w:tc>
          <w:tcPr>
            <w:tcW w:type="dxa" w:w="2268"/>
            <w:shd w:val="clear" w:color="auto" w:fill="F7FBFF"/>
            <w:tcBorders>
              <w:top w:val="single" w:sz="4" w:space="0" w:color="CCCCCC"/>
              <w:left w:val="single" w:sz="4" w:space="0" w:color="CCCCCC"/>
              <w:bottom w:val="single" w:sz="4" w:space="0" w:color="CCCCCC"/>
              <w:right w:val="single" w:sz="4" w:space="0" w:color="CCCCCC"/>
            </w:tcBorders>
            <w:vAlign w:val="center"/>
          </w:tcPr>
          <w:p>
            <w:pPr>
              <w:spacing w:before="40" w:after="40"/>
              <w:jc w:val="left"/>
            </w:pPr>
            <w:r>
              <w:rPr>
                <w:color w:val="555555"/>
                <w:sz w:val="18"/>
              </w:rPr>
              <w:t>donazioni</w:t>
            </w:r>
          </w:p>
        </w:tc>
        <w:tc>
          <w:tcPr>
            <w:tcW w:type="dxa" w:w="2835"/>
            <w:shd w:val="clear" w:color="auto" w:fill="F7FBFF"/>
            <w:tcBorders>
              <w:top w:val="single" w:sz="4" w:space="0" w:color="CCCCCC"/>
              <w:left w:val="single" w:sz="4" w:space="0" w:color="CCCCCC"/>
              <w:bottom w:val="single" w:sz="4" w:space="0" w:color="CCCCCC"/>
              <w:right w:val="single" w:sz="4" w:space="0" w:color="CCCCCC"/>
            </w:tcBorders>
            <w:vAlign w:val="center"/>
          </w:tcPr>
          <w:p>
            <w:pPr>
              <w:spacing w:before="40" w:after="40"/>
              <w:jc w:val="left"/>
            </w:pPr>
            <w:r>
              <w:rPr>
                <w:color w:val="555555"/>
                <w:sz w:val="18"/>
              </w:rPr>
              <w:t>Solo lettura</w:t>
            </w:r>
          </w:p>
        </w:tc>
      </w:tr>
      <w:tr>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jc w:val="left"/>
            </w:pPr>
            <w:r>
              <w:rPr>
                <w:color w:val="555555"/>
                <w:sz w:val="18"/>
              </w:rPr>
              <w:t>Visualizzazione audit log</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jc w:val="left"/>
            </w:pPr>
            <w:r>
              <w:rPr>
                <w:color w:val="555555"/>
                <w:sz w:val="18"/>
              </w:rPr>
              <w:t>audit_log</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jc w:val="left"/>
            </w:pPr>
            <w:r>
              <w:rPr>
                <w:color w:val="555555"/>
                <w:sz w:val="18"/>
              </w:rPr>
              <w:t>Solo lettura</w:t>
            </w:r>
          </w:p>
        </w:tc>
      </w:tr>
      <w:tr>
        <w:tc>
          <w:tcPr>
            <w:tcW w:type="dxa" w:w="3969"/>
            <w:shd w:val="clear" w:color="auto" w:fill="F7FBFF"/>
            <w:tcBorders>
              <w:top w:val="single" w:sz="4" w:space="0" w:color="CCCCCC"/>
              <w:left w:val="single" w:sz="4" w:space="0" w:color="CCCCCC"/>
              <w:bottom w:val="single" w:sz="4" w:space="0" w:color="CCCCCC"/>
              <w:right w:val="single" w:sz="4" w:space="0" w:color="CCCCCC"/>
            </w:tcBorders>
            <w:vAlign w:val="center"/>
          </w:tcPr>
          <w:p>
            <w:pPr>
              <w:spacing w:before="40" w:after="40"/>
              <w:jc w:val="left"/>
            </w:pPr>
            <w:r>
              <w:rPr>
                <w:color w:val="555555"/>
                <w:sz w:val="18"/>
              </w:rPr>
              <w:t>Gestione storie famiglie</w:t>
            </w:r>
          </w:p>
        </w:tc>
        <w:tc>
          <w:tcPr>
            <w:tcW w:type="dxa" w:w="2268"/>
            <w:shd w:val="clear" w:color="auto" w:fill="F7FBFF"/>
            <w:tcBorders>
              <w:top w:val="single" w:sz="4" w:space="0" w:color="CCCCCC"/>
              <w:left w:val="single" w:sz="4" w:space="0" w:color="CCCCCC"/>
              <w:bottom w:val="single" w:sz="4" w:space="0" w:color="CCCCCC"/>
              <w:right w:val="single" w:sz="4" w:space="0" w:color="CCCCCC"/>
            </w:tcBorders>
            <w:vAlign w:val="center"/>
          </w:tcPr>
          <w:p>
            <w:pPr>
              <w:spacing w:before="40" w:after="40"/>
              <w:jc w:val="left"/>
            </w:pPr>
            <w:r>
              <w:rPr>
                <w:color w:val="555555"/>
                <w:sz w:val="18"/>
              </w:rPr>
              <w:t>storie</w:t>
            </w:r>
          </w:p>
        </w:tc>
        <w:tc>
          <w:tcPr>
            <w:tcW w:type="dxa" w:w="2835"/>
            <w:shd w:val="clear" w:color="auto" w:fill="F7FBFF"/>
            <w:tcBorders>
              <w:top w:val="single" w:sz="4" w:space="0" w:color="CCCCCC"/>
              <w:left w:val="single" w:sz="4" w:space="0" w:color="CCCCCC"/>
              <w:bottom w:val="single" w:sz="4" w:space="0" w:color="CCCCCC"/>
              <w:right w:val="single" w:sz="4" w:space="0" w:color="CCCCCC"/>
            </w:tcBorders>
            <w:vAlign w:val="center"/>
          </w:tcPr>
          <w:p>
            <w:pPr>
              <w:spacing w:before="40" w:after="40"/>
              <w:jc w:val="left"/>
            </w:pPr>
            <w:r>
              <w:rPr>
                <w:color w:val="555555"/>
                <w:sz w:val="18"/>
              </w:rPr>
              <w:t>Lettura + modifica + eliminazione</w:t>
            </w:r>
          </w:p>
        </w:tc>
      </w:tr>
      <w:tr>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jc w:val="left"/>
            </w:pPr>
            <w:r>
              <w:rPr>
                <w:color w:val="555555"/>
                <w:sz w:val="18"/>
              </w:rPr>
              <w:t>Gestione contenuti (FAQ, news…)</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jc w:val="left"/>
            </w:pPr>
            <w:r>
              <w:rPr>
                <w:color w:val="555555"/>
                <w:sz w:val="18"/>
              </w:rPr>
              <w:t>varie</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jc w:val="left"/>
            </w:pPr>
            <w:r>
              <w:rPr>
                <w:color w:val="555555"/>
                <w:sz w:val="18"/>
              </w:rPr>
              <w:t>CRUD completo</w:t>
            </w:r>
          </w:p>
        </w:tc>
      </w:tr>
      <w:tr>
        <w:tc>
          <w:tcPr>
            <w:tcW w:type="dxa" w:w="3969"/>
            <w:shd w:val="clear" w:color="auto" w:fill="F7FBFF"/>
            <w:tcBorders>
              <w:top w:val="single" w:sz="4" w:space="0" w:color="CCCCCC"/>
              <w:left w:val="single" w:sz="4" w:space="0" w:color="CCCCCC"/>
              <w:bottom w:val="single" w:sz="4" w:space="0" w:color="CCCCCC"/>
              <w:right w:val="single" w:sz="4" w:space="0" w:color="CCCCCC"/>
            </w:tcBorders>
            <w:vAlign w:val="center"/>
          </w:tcPr>
          <w:p>
            <w:pPr>
              <w:spacing w:before="40" w:after="40"/>
              <w:jc w:val="left"/>
            </w:pPr>
            <w:r>
              <w:rPr>
                <w:color w:val="555555"/>
                <w:sz w:val="18"/>
              </w:rPr>
              <w:t>Esercizio diritto all'oblio</w:t>
            </w:r>
          </w:p>
        </w:tc>
        <w:tc>
          <w:tcPr>
            <w:tcW w:type="dxa" w:w="2268"/>
            <w:shd w:val="clear" w:color="auto" w:fill="F7FBFF"/>
            <w:tcBorders>
              <w:top w:val="single" w:sz="4" w:space="0" w:color="CCCCCC"/>
              <w:left w:val="single" w:sz="4" w:space="0" w:color="CCCCCC"/>
              <w:bottom w:val="single" w:sz="4" w:space="0" w:color="CCCCCC"/>
              <w:right w:val="single" w:sz="4" w:space="0" w:color="CCCCCC"/>
            </w:tcBorders>
            <w:vAlign w:val="center"/>
          </w:tcPr>
          <w:p>
            <w:pPr>
              <w:spacing w:before="40" w:after="40"/>
              <w:jc w:val="left"/>
            </w:pPr>
            <w:r>
              <w:rPr>
                <w:color w:val="555555"/>
                <w:sz w:val="18"/>
              </w:rPr>
              <w:t>tutte</w:t>
            </w:r>
          </w:p>
        </w:tc>
        <w:tc>
          <w:tcPr>
            <w:tcW w:type="dxa" w:w="2835"/>
            <w:shd w:val="clear" w:color="auto" w:fill="F7FBFF"/>
            <w:tcBorders>
              <w:top w:val="single" w:sz="4" w:space="0" w:color="CCCCCC"/>
              <w:left w:val="single" w:sz="4" w:space="0" w:color="CCCCCC"/>
              <w:bottom w:val="single" w:sz="4" w:space="0" w:color="CCCCCC"/>
              <w:right w:val="single" w:sz="4" w:space="0" w:color="CCCCCC"/>
            </w:tcBorders>
            <w:vAlign w:val="center"/>
          </w:tcPr>
          <w:p>
            <w:pPr>
              <w:spacing w:before="40" w:after="40"/>
              <w:jc w:val="left"/>
            </w:pPr>
            <w:r>
              <w:rPr>
                <w:color w:val="555555"/>
                <w:sz w:val="18"/>
              </w:rPr>
              <w:t>Pseudonimizzazione per email</w:t>
            </w:r>
          </w:p>
        </w:tc>
      </w:tr>
    </w:tbl>
    <w:p/>
    <w:p>
      <w:pPr>
        <w:spacing w:before="80" w:after="80"/>
        <w:pBdr>
          <w:bottom w:val="single" w:sz="6" w:space="1" w:color="1078C0"/>
        </w:pBdr>
      </w:pPr>
    </w:p>
    <w:p>
      <w:pPr>
        <w:spacing w:before="200" w:after="80"/>
      </w:pPr>
      <w:r>
        <w:rPr>
          <w:b/>
          <w:color w:val="082050"/>
          <w:sz w:val="24"/>
        </w:rPr>
        <w:t>6. INFRASTRUTTURA TECNICA E SOGGETTI TERZI</w:t>
      </w:r>
    </w:p>
    <w:p>
      <w:pPr>
        <w:spacing w:before="120" w:after="40"/>
        <w:jc w:val="left"/>
      </w:pPr>
      <w:r>
        <w:rPr>
          <w:b/>
          <w:i w:val="0"/>
          <w:color w:val="1078C0"/>
          <w:sz w:val="20"/>
        </w:rPr>
        <w:t>6a. Cloudflare, Inc. — CDN e infrastruttura di rete</w:t>
      </w:r>
    </w:p>
    <w:p>
      <w:pPr>
        <w:spacing w:before="0" w:after="80"/>
        <w:jc w:val="left"/>
      </w:pPr>
      <w:r>
        <w:rPr>
          <w:b w:val="0"/>
          <w:i/>
          <w:color w:val="555555"/>
          <w:sz w:val="18"/>
        </w:rPr>
        <w:t>101 Townsend St, San Francisco, CA 94107, USA</w:t>
      </w:r>
    </w:p>
    <w:p>
      <w:pPr>
        <w:spacing w:before="0" w:after="60"/>
        <w:jc w:val="left"/>
      </w:pPr>
      <w:r>
        <w:rPr>
          <w:b w:val="0"/>
          <w:i w:val="0"/>
          <w:color w:val="555555"/>
          <w:sz w:val="20"/>
        </w:rPr>
        <w:t>Qualificazione giuridica corretta: Cloudflare agisce come TITOLARE AUTONOMO DEL TRATTAMENTO (independent data controller) per i dati tecnici dei visitatori (indirizzo IP, header HTTP, dati di routing) che elabora per proprie finalità di sicurezza della rete.</w:t>
      </w:r>
    </w:p>
    <w:p>
      <w:pPr>
        <w:spacing w:before="0" w:after="80"/>
        <w:jc w:val="left"/>
      </w:pPr>
      <w:r>
        <w:rPr>
          <w:b w:val="0"/>
          <w:i/>
          <w:color w:val="555555"/>
          <w:sz w:val="18"/>
        </w:rPr>
        <w:t>Fonte: Privacy Policy di Cloudflare, Sez. 6: "Cloudflare is a data controller for the personal information collected from all categories of data subjects listed above" (End User = visitatori dei siti dei clienti Cloudflare).</w:t>
      </w:r>
    </w:p>
    <w:p>
      <w:pPr>
        <w:pStyle w:val="ListBullet"/>
        <w:spacing w:after="40"/>
      </w:pPr>
      <w:r>
        <w:rPr>
          <w:color w:val="555555"/>
          <w:sz w:val="20"/>
        </w:rPr>
        <w:t>L'Associazione NON nomina Cloudflare come Responsabile del Trattamento ai sensi dell'Art. 28 GDPR.</w:t>
      </w:r>
    </w:p>
    <w:p>
      <w:pPr>
        <w:pStyle w:val="ListBullet"/>
        <w:spacing w:after="40"/>
      </w:pPr>
      <w:r>
        <w:rPr>
          <w:color w:val="555555"/>
          <w:sz w:val="20"/>
        </w:rPr>
        <w:t>Non è richiesta la stipula di un DPA con Cloudflare per i dati dei visitatori.</w:t>
      </w:r>
    </w:p>
    <w:p>
      <w:pPr>
        <w:pStyle w:val="ListBullet"/>
        <w:spacing w:after="40"/>
      </w:pPr>
      <w:r>
        <w:rPr>
          <w:color w:val="555555"/>
          <w:sz w:val="20"/>
        </w:rPr>
        <w:t>Il trasferimento verso USA è lecito in base all'EU-US Data Privacy Framework (Dec. adeguatezza CE 2023/1795 del 10/07/2023).</w:t>
      </w:r>
    </w:p>
    <w:p>
      <w:pPr>
        <w:pStyle w:val="ListBullet"/>
        <w:spacing w:after="40"/>
      </w:pPr>
      <w:r>
        <w:rPr>
          <w:color w:val="555555"/>
          <w:sz w:val="20"/>
        </w:rPr>
        <w:t>Cloudflare va menzionata nell'informativa privacy come terza parte titolare autonoma, con rinvio alla sua Privacy Policy.</w:t>
      </w:r>
    </w:p>
    <w:p>
      <w:pPr>
        <w:spacing w:before="160" w:after="40"/>
        <w:jc w:val="left"/>
      </w:pPr>
      <w:r>
        <w:rPr>
          <w:b/>
          <w:i w:val="0"/>
          <w:color w:val="1078C0"/>
          <w:sz w:val="20"/>
        </w:rPr>
        <w:t>6b. Resend API — Invio email transazionali</w:t>
      </w:r>
    </w:p>
    <w:p>
      <w:pPr>
        <w:spacing w:before="0" w:after="120"/>
        <w:jc w:val="left"/>
      </w:pPr>
      <w:r>
        <w:rPr>
          <w:b w:val="0"/>
          <w:i w:val="0"/>
          <w:color w:val="555555"/>
          <w:sz w:val="20"/>
        </w:rPr>
        <w:t>Qualificazione: Responsabile del Trattamento ex Art. 28 GDPR. La funzione sendEmail() è presente nel codice ma NON è attualmente collegata ad alcun endpoint attivo. Quando questa funzionalità sarà attivata, occorrerà stipulare il DPA con Resend e aggiornare l'informativa.</w:t>
      </w:r>
    </w:p>
    <w:p>
      <w:pPr>
        <w:spacing w:before="80" w:after="40"/>
        <w:jc w:val="left"/>
      </w:pPr>
      <w:r>
        <w:rPr>
          <w:b/>
          <w:i w:val="0"/>
          <w:color w:val="1078C0"/>
          <w:sz w:val="20"/>
        </w:rPr>
        <w:t>6c. jsDelivr CDN (ProspectOne Sp. z o.o., Polonia — UE)</w:t>
      </w:r>
    </w:p>
    <w:p>
      <w:pPr>
        <w:spacing w:before="0" w:after="160"/>
        <w:jc w:val="left"/>
      </w:pPr>
      <w:r>
        <w:rPr>
          <w:b w:val="0"/>
          <w:i w:val="0"/>
          <w:color w:val="555555"/>
          <w:sz w:val="20"/>
        </w:rPr>
        <w:t>Qualificazione: titolare autonomo per la trasmissione tecnica dell'IP al caricamento dei file CSS/JS (Tailwind, FontAwesome). Nessun cookie di profilazione. Trattamento interamente in UE.</w:t>
      </w:r>
    </w:p>
    <w:p>
      <w:pPr>
        <w:spacing w:before="80" w:after="80"/>
        <w:pBdr>
          <w:bottom w:val="single" w:sz="6" w:space="1" w:color="1078C0"/>
        </w:pBdr>
      </w:pPr>
    </w:p>
    <w:p>
      <w:pPr>
        <w:spacing w:before="200" w:after="80"/>
      </w:pPr>
      <w:r>
        <w:rPr>
          <w:b/>
          <w:color w:val="082050"/>
          <w:sz w:val="24"/>
        </w:rPr>
        <w:t>7. MISURE DI SICUREZZA ADOTTATE</w:t>
      </w:r>
    </w:p>
    <w:p>
      <w:pPr>
        <w:pStyle w:val="ListBullet"/>
        <w:spacing w:after="40"/>
      </w:pPr>
      <w:r>
        <w:rPr>
          <w:color w:val="555555"/>
          <w:sz w:val="20"/>
        </w:rPr>
        <w:t>Trasmissione HTTPS/TLS su tutta la rete Cloudflare.</w:t>
      </w:r>
    </w:p>
    <w:p>
      <w:pPr>
        <w:pStyle w:val="ListBullet"/>
        <w:spacing w:after="40"/>
      </w:pPr>
      <w:r>
        <w:rPr>
          <w:color w:val="555555"/>
          <w:sz w:val="20"/>
        </w:rPr>
        <w:t>Hash IP crittografico: SHA-256 con salt fisso (renu-ip-salt-2026:), troncato a 16 caratteri hex, prefisso "sha2:". Operazione non reversibile.</w:t>
      </w:r>
    </w:p>
    <w:p>
      <w:pPr>
        <w:pStyle w:val="ListBullet"/>
        <w:spacing w:after="40"/>
      </w:pPr>
      <w:r>
        <w:rPr>
          <w:color w:val="555555"/>
          <w:sz w:val="20"/>
        </w:rPr>
        <w:t>Consenso GDPR versione 2.0 registrato su entrambi i form, con versione testo e timestamp.</w:t>
      </w:r>
    </w:p>
    <w:p>
      <w:pPr>
        <w:pStyle w:val="ListBullet"/>
        <w:spacing w:after="40"/>
      </w:pPr>
      <w:r>
        <w:rPr>
          <w:color w:val="555555"/>
          <w:sz w:val="20"/>
        </w:rPr>
        <w:t>Accesso admin protetto da token segreto cifrato su Cloudflare (mai nel codice sorgente).</w:t>
      </w:r>
    </w:p>
    <w:p>
      <w:pPr>
        <w:pStyle w:val="ListBullet"/>
        <w:spacing w:after="40"/>
      </w:pPr>
      <w:r>
        <w:rPr>
          <w:color w:val="555555"/>
          <w:sz w:val="20"/>
        </w:rPr>
        <w:t>Audit log di tutte le operazioni amministrative con tracciabilità completa.</w:t>
      </w:r>
    </w:p>
    <w:p>
      <w:pPr>
        <w:pStyle w:val="ListBullet"/>
        <w:spacing w:after="40"/>
      </w:pPr>
      <w:r>
        <w:rPr>
          <w:color w:val="555555"/>
          <w:sz w:val="20"/>
        </w:rPr>
        <w:t>Diritto all'oblio automatizzato tramite pseudonimizzazione multi-tabella.</w:t>
      </w:r>
    </w:p>
    <w:p>
      <w:pPr>
        <w:pStyle w:val="ListBullet"/>
        <w:spacing w:after="40"/>
      </w:pPr>
      <w:r>
        <w:rPr>
          <w:color w:val="555555"/>
          <w:sz w:val="20"/>
        </w:rPr>
        <w:t>Infrastruttura certificata ISO 27001 (Cloudflare Pages).</w:t>
      </w:r>
    </w:p>
    <w:p>
      <w:pPr>
        <w:spacing w:before="80" w:after="80"/>
        <w:pBdr>
          <w:bottom w:val="single" w:sz="6" w:space="1" w:color="1078C0"/>
        </w:pBdr>
      </w:pPr>
    </w:p>
    <w:p>
      <w:pPr>
        <w:spacing w:before="200" w:after="80"/>
      </w:pPr>
      <w:r>
        <w:rPr>
          <w:b/>
          <w:color w:val="082050"/>
          <w:sz w:val="24"/>
        </w:rPr>
        <w:t>8. RICHIESTE ALL'AVV. CONTI — DPO</w:t>
      </w:r>
    </w:p>
    <w:p>
      <w:pPr>
        <w:spacing w:before="0" w:after="80"/>
        <w:jc w:val="left"/>
      </w:pPr>
      <w:r>
        <w:rPr>
          <w:b w:val="0"/>
          <w:i w:val="0"/>
          <w:color w:val="555555"/>
          <w:sz w:val="20"/>
        </w:rPr>
        <w:t>Si chiede all'Avv. Conti di:</w:t>
      </w:r>
    </w:p>
    <w:p>
      <w:pPr>
        <w:spacing w:before="60" w:after="60"/>
      </w:pPr>
      <w:r>
        <w:rPr>
          <w:b/>
          <w:color w:val="1078C0"/>
          <w:sz w:val="20"/>
        </w:rPr>
        <w:t xml:space="preserve">1.  </w:t>
      </w:r>
      <w:r>
        <w:rPr>
          <w:color w:val="555555"/>
          <w:sz w:val="20"/>
        </w:rPr>
        <w:t>Validare la presente ricognizione e segnalare eventuali lacune o inesattezze.</w:t>
      </w:r>
    </w:p>
    <w:p>
      <w:pPr>
        <w:spacing w:before="60" w:after="60"/>
      </w:pPr>
      <w:r>
        <w:rPr>
          <w:b/>
          <w:color w:val="1078C0"/>
          <w:sz w:val="20"/>
        </w:rPr>
        <w:t xml:space="preserve">2.  </w:t>
      </w:r>
      <w:r>
        <w:rPr>
          <w:color w:val="555555"/>
          <w:sz w:val="20"/>
        </w:rPr>
        <w:t>Verificare e controfirmare la bozza di contratto DPA Art. 28 GDPR allegata, da sottoscrivere con il Responsabile Tecnico.</w:t>
      </w:r>
    </w:p>
    <w:p>
      <w:pPr>
        <w:spacing w:before="60" w:after="60"/>
      </w:pPr>
      <w:r>
        <w:rPr>
          <w:b/>
          <w:color w:val="1078C0"/>
          <w:sz w:val="20"/>
        </w:rPr>
        <w:t xml:space="preserve">3.  </w:t>
      </w:r>
      <w:r>
        <w:rPr>
          <w:color w:val="555555"/>
          <w:sz w:val="20"/>
        </w:rPr>
        <w:t>Confermare l'impostazione giuridica adottata per Cloudflare (titolare autonomo, non responsabile nominabile ex Art. 28 GDPR).</w:t>
      </w:r>
    </w:p>
    <w:p>
      <w:pPr>
        <w:spacing w:before="60" w:after="60"/>
      </w:pPr>
      <w:r>
        <w:rPr>
          <w:b/>
          <w:color w:val="1078C0"/>
          <w:sz w:val="20"/>
        </w:rPr>
        <w:t xml:space="preserve">4.  </w:t>
      </w:r>
      <w:r>
        <w:rPr>
          <w:color w:val="555555"/>
          <w:sz w:val="20"/>
        </w:rPr>
        <w:t>Indicare se la funzione sendEmail() tramite Resend, prima di essere attivata, richiede ulteriori adempimenti (DPA Resend, aggiornamento informativa, registro trattamenti).</w:t>
      </w:r>
    </w:p>
    <w:p>
      <w:pPr>
        <w:spacing w:before="60" w:after="60"/>
      </w:pPr>
      <w:r>
        <w:rPr>
          <w:b/>
          <w:color w:val="1078C0"/>
          <w:sz w:val="20"/>
        </w:rPr>
        <w:t xml:space="preserve">5.  </w:t>
      </w:r>
      <w:r>
        <w:rPr>
          <w:color w:val="555555"/>
          <w:sz w:val="20"/>
        </w:rPr>
        <w:t>Valutare se il trattamento dei dati sanitari dei minori (storie, diagnosi, varianti genetiche) richiede una DPIA (Valutazione d'Impatto ex Art. 35 GDPR).</w:t>
      </w:r>
    </w:p>
    <w:p/>
    <w:p>
      <w:pPr>
        <w:spacing w:before="80" w:after="80"/>
        <w:pBdr>
          <w:bottom w:val="single" w:sz="6" w:space="1" w:color="1078C0"/>
        </w:pBdr>
      </w:pPr>
    </w:p>
    <w:p>
      <w:pPr>
        <w:spacing w:before="120" w:after="40"/>
        <w:jc w:val="left"/>
      </w:pPr>
      <w:r>
        <w:rPr>
          <w:b w:val="0"/>
          <w:i w:val="0"/>
          <w:color w:val="555555"/>
          <w:sz w:val="20"/>
        </w:rPr>
        <w:t>Restiamo a disposizione per qualsiasi chiarimento o integrazione.</w:t>
      </w:r>
    </w:p>
    <w:p>
      <w:pPr>
        <w:spacing w:before="0" w:after="200"/>
        <w:jc w:val="left"/>
      </w:pPr>
      <w:r>
        <w:rPr>
          <w:b w:val="0"/>
          <w:i w:val="0"/>
          <w:color w:val="555555"/>
          <w:sz w:val="20"/>
        </w:rPr>
        <w:t>Cordiali saluti,</w:t>
      </w:r>
    </w:p>
    <w:p>
      <w:pPr>
        <w:spacing w:before="20" w:after="20"/>
      </w:pPr>
      <w:r>
        <w:rPr>
          <w:b/>
          <w:color w:val="082050"/>
          <w:sz w:val="20"/>
        </w:rPr>
        <w:t xml:space="preserve"> </w:t>
      </w:r>
      <w:r>
        <w:rPr>
          <w:b w:val="0"/>
          <w:color w:val="555555"/>
          <w:sz w:val="20"/>
        </w:rPr>
        <w:t>Stefania Rocca</w:t>
      </w:r>
    </w:p>
    <w:p>
      <w:pPr>
        <w:spacing w:before="20" w:after="20"/>
      </w:pPr>
      <w:r>
        <w:rPr>
          <w:b/>
          <w:color w:val="082050"/>
          <w:sz w:val="20"/>
        </w:rPr>
        <w:t xml:space="preserve"> </w:t>
      </w:r>
      <w:r>
        <w:rPr>
          <w:b w:val="0"/>
          <w:color w:val="555555"/>
          <w:sz w:val="20"/>
        </w:rPr>
        <w:t>Presidente — Sindrome ReNU Italia APS</w:t>
      </w:r>
    </w:p>
    <w:p>
      <w:pPr>
        <w:spacing w:before="20" w:after="20"/>
      </w:pPr>
      <w:r>
        <w:rPr>
          <w:b/>
          <w:color w:val="082050"/>
          <w:sz w:val="20"/>
        </w:rPr>
        <w:t xml:space="preserve"> </w:t>
      </w:r>
      <w:r>
        <w:rPr>
          <w:b w:val="0"/>
          <w:color w:val="555555"/>
          <w:sz w:val="20"/>
        </w:rPr>
        <w:t>presidenza@sindromerenu.it</w:t>
      </w:r>
    </w:p>
    <w:p/>
    <w:p>
      <w:pPr>
        <w:spacing w:before="0" w:after="160"/>
        <w:jc w:val="left"/>
      </w:pPr>
      <w:r>
        <w:rPr>
          <w:b w:val="0"/>
          <w:i w:val="0"/>
          <w:color w:val="555555"/>
          <w:sz w:val="20"/>
        </w:rPr>
        <w:t>Data: _____________________        Firma: _____________________</w:t>
      </w:r>
    </w:p>
    <w:p>
      <w:pPr>
        <w:spacing w:before="80" w:after="80"/>
        <w:pBdr>
          <w:bottom w:val="single" w:sz="6" w:space="1" w:color="1078C0"/>
        </w:pBdr>
      </w:pPr>
    </w:p>
    <w:p>
      <w:pPr>
        <w:spacing w:before="0" w:after="80"/>
        <w:jc w:val="left"/>
      </w:pPr>
      <w:r>
        <w:rPr>
          <w:b w:val="0"/>
          <w:i/>
          <w:color w:val="555555"/>
          <w:sz w:val="18"/>
        </w:rPr>
        <w:t>Allegati: Contratto DPA Art. 28 GDPR — Responsabile Tecnico del Sito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