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9AD22" w14:textId="77777777" w:rsidR="00F35F8F" w:rsidRPr="00524E67" w:rsidRDefault="00000000">
      <w:pPr>
        <w:spacing w:after="60"/>
        <w:jc w:val="center"/>
        <w:rPr>
          <w:color w:val="000000" w:themeColor="text1"/>
        </w:rPr>
      </w:pPr>
      <w:r w:rsidRPr="00524E67">
        <w:rPr>
          <w:b/>
          <w:bCs/>
          <w:color w:val="000000" w:themeColor="text1"/>
          <w:sz w:val="26"/>
          <w:szCs w:val="26"/>
        </w:rPr>
        <w:t>UNIVERSIDAD NACIONAL DE INGENIERÍA</w:t>
      </w:r>
    </w:p>
    <w:p w14:paraId="7993B7A2" w14:textId="77777777" w:rsidR="00F35F8F" w:rsidRPr="00524E67" w:rsidRDefault="00000000">
      <w:pPr>
        <w:spacing w:after="60"/>
        <w:jc w:val="center"/>
        <w:rPr>
          <w:color w:val="000000" w:themeColor="text1"/>
        </w:rPr>
      </w:pPr>
      <w:r w:rsidRPr="00524E67">
        <w:rPr>
          <w:b/>
          <w:bCs/>
          <w:color w:val="000000" w:themeColor="text1"/>
          <w:sz w:val="24"/>
          <w:szCs w:val="24"/>
        </w:rPr>
        <w:t>FACULTAD DE CIENCIAS</w:t>
      </w:r>
    </w:p>
    <w:p w14:paraId="32F8AA3A" w14:textId="77777777" w:rsidR="00F35F8F" w:rsidRPr="00524E67" w:rsidRDefault="00000000">
      <w:pPr>
        <w:spacing w:after="300"/>
        <w:jc w:val="center"/>
        <w:rPr>
          <w:color w:val="000000" w:themeColor="text1"/>
        </w:rPr>
      </w:pPr>
      <w:r w:rsidRPr="00524E67">
        <w:rPr>
          <w:color w:val="000000" w:themeColor="text1"/>
        </w:rPr>
        <w:t>Unidad de Posgrado</w:t>
      </w:r>
    </w:p>
    <w:p w14:paraId="08A74DF6" w14:textId="77777777" w:rsidR="00F35F8F" w:rsidRPr="00524E67" w:rsidRDefault="00000000">
      <w:pPr>
        <w:spacing w:after="400"/>
        <w:jc w:val="center"/>
        <w:rPr>
          <w:color w:val="000000" w:themeColor="text1"/>
        </w:rPr>
      </w:pPr>
      <w:r w:rsidRPr="00524E67">
        <w:rPr>
          <w:b/>
          <w:bCs/>
          <w:color w:val="000000" w:themeColor="text1"/>
          <w:sz w:val="24"/>
          <w:szCs w:val="24"/>
        </w:rPr>
        <w:t>MAESTRÍA EN CIENCIAS EN MODELIZACIÓN MATEMÁTICA Y COMPUTACIONAL</w:t>
      </w:r>
    </w:p>
    <w:p w14:paraId="15669682" w14:textId="77777777" w:rsidR="00F35F8F" w:rsidRPr="00524E67" w:rsidRDefault="00000000">
      <w:pPr>
        <w:spacing w:after="500"/>
        <w:jc w:val="center"/>
        <w:rPr>
          <w:color w:val="000000" w:themeColor="text1"/>
        </w:rPr>
      </w:pPr>
      <w:r w:rsidRPr="00524E67">
        <w:rPr>
          <w:b/>
          <w:bCs/>
          <w:color w:val="000000" w:themeColor="text1"/>
          <w:sz w:val="26"/>
          <w:szCs w:val="26"/>
        </w:rPr>
        <w:t>“Detección evolutiva de regímenes del ciclo financiero peruano mediante Clasificación Factorial Jerárquica y aprendizaje automático”</w:t>
      </w:r>
    </w:p>
    <w:p w14:paraId="1BA8BF49" w14:textId="77777777" w:rsidR="00F35F8F" w:rsidRPr="00524E67" w:rsidRDefault="00000000">
      <w:pPr>
        <w:spacing w:after="500"/>
        <w:jc w:val="center"/>
        <w:rPr>
          <w:color w:val="000000" w:themeColor="text1"/>
        </w:rPr>
      </w:pPr>
      <w:r w:rsidRPr="00524E67">
        <w:rPr>
          <w:color w:val="000000" w:themeColor="text1"/>
        </w:rPr>
        <w:t>CURSO: MER611 – Seminario de Tesis I</w:t>
      </w:r>
    </w:p>
    <w:p w14:paraId="33BF26FE" w14:textId="77777777" w:rsidR="00F35F8F" w:rsidRPr="00524E67" w:rsidRDefault="00000000">
      <w:pPr>
        <w:spacing w:after="60"/>
        <w:jc w:val="center"/>
        <w:rPr>
          <w:color w:val="000000" w:themeColor="text1"/>
        </w:rPr>
      </w:pPr>
      <w:r w:rsidRPr="00524E67">
        <w:rPr>
          <w:b/>
          <w:bCs/>
          <w:color w:val="000000" w:themeColor="text1"/>
        </w:rPr>
        <w:t>ASESOR</w:t>
      </w:r>
    </w:p>
    <w:p w14:paraId="47479F16" w14:textId="77777777" w:rsidR="00F35F8F" w:rsidRPr="00524E67" w:rsidRDefault="00000000">
      <w:pPr>
        <w:spacing w:after="300"/>
        <w:jc w:val="center"/>
        <w:rPr>
          <w:color w:val="000000" w:themeColor="text1"/>
        </w:rPr>
      </w:pPr>
      <w:r w:rsidRPr="00524E67">
        <w:rPr>
          <w:color w:val="000000" w:themeColor="text1"/>
        </w:rPr>
        <w:t xml:space="preserve">Dr. Sergio </w:t>
      </w:r>
      <w:proofErr w:type="spellStart"/>
      <w:r w:rsidRPr="00524E67">
        <w:rPr>
          <w:color w:val="000000" w:themeColor="text1"/>
        </w:rPr>
        <w:t>Camiz</w:t>
      </w:r>
      <w:proofErr w:type="spellEnd"/>
    </w:p>
    <w:p w14:paraId="21AEED67" w14:textId="77777777" w:rsidR="00F35F8F" w:rsidRPr="00524E67" w:rsidRDefault="00000000">
      <w:pPr>
        <w:spacing w:after="60"/>
        <w:jc w:val="center"/>
        <w:rPr>
          <w:color w:val="000000" w:themeColor="text1"/>
        </w:rPr>
      </w:pPr>
      <w:r w:rsidRPr="00524E67">
        <w:rPr>
          <w:b/>
          <w:bCs/>
          <w:color w:val="000000" w:themeColor="text1"/>
        </w:rPr>
        <w:t>TESISTA</w:t>
      </w:r>
    </w:p>
    <w:p w14:paraId="4ED65D29" w14:textId="6BD08063" w:rsidR="00F35F8F" w:rsidRPr="00524E67" w:rsidRDefault="00000000">
      <w:pPr>
        <w:spacing w:after="60"/>
        <w:jc w:val="center"/>
        <w:rPr>
          <w:color w:val="000000" w:themeColor="text1"/>
        </w:rPr>
      </w:pPr>
      <w:r w:rsidRPr="00524E67">
        <w:rPr>
          <w:color w:val="000000" w:themeColor="text1"/>
        </w:rPr>
        <w:t xml:space="preserve">Roberto </w:t>
      </w:r>
      <w:r w:rsidR="00524E67">
        <w:rPr>
          <w:color w:val="000000" w:themeColor="text1"/>
        </w:rPr>
        <w:t xml:space="preserve">Carlos </w:t>
      </w:r>
      <w:r w:rsidRPr="00524E67">
        <w:rPr>
          <w:color w:val="000000" w:themeColor="text1"/>
        </w:rPr>
        <w:t>Samaniego Salcedo</w:t>
      </w:r>
    </w:p>
    <w:p w14:paraId="10C0D872" w14:textId="77777777" w:rsidR="00F35F8F" w:rsidRPr="00524E67" w:rsidRDefault="00000000">
      <w:pPr>
        <w:spacing w:after="500"/>
        <w:jc w:val="center"/>
        <w:rPr>
          <w:color w:val="000000" w:themeColor="text1"/>
        </w:rPr>
      </w:pPr>
      <w:r w:rsidRPr="00524E67">
        <w:rPr>
          <w:color w:val="000000" w:themeColor="text1"/>
        </w:rPr>
        <w:t>Código UNI: 20256037E</w:t>
      </w:r>
    </w:p>
    <w:p w14:paraId="513C4C21" w14:textId="77777777" w:rsidR="00F35F8F" w:rsidRPr="00524E67" w:rsidRDefault="00000000">
      <w:pPr>
        <w:spacing w:after="700"/>
        <w:jc w:val="center"/>
        <w:rPr>
          <w:color w:val="000000" w:themeColor="text1"/>
        </w:rPr>
      </w:pPr>
      <w:r w:rsidRPr="00524E67">
        <w:rPr>
          <w:color w:val="000000" w:themeColor="text1"/>
        </w:rPr>
        <w:t>NOTA FINAL: ____________</w:t>
      </w:r>
    </w:p>
    <w:p w14:paraId="1141691B" w14:textId="77777777" w:rsidR="00F35F8F" w:rsidRPr="00524E67" w:rsidRDefault="00000000">
      <w:pPr>
        <w:spacing w:after="60"/>
        <w:jc w:val="center"/>
        <w:rPr>
          <w:color w:val="000000" w:themeColor="text1"/>
        </w:rPr>
      </w:pPr>
      <w:r w:rsidRPr="00524E67">
        <w:rPr>
          <w:b/>
          <w:bCs/>
          <w:color w:val="000000" w:themeColor="text1"/>
        </w:rPr>
        <w:t>DR. ROSENDO OCHOA JIMÉNEZ</w:t>
      </w:r>
    </w:p>
    <w:p w14:paraId="1569DF7E" w14:textId="77777777" w:rsidR="00F35F8F" w:rsidRPr="00524E67" w:rsidRDefault="00000000">
      <w:pPr>
        <w:spacing w:after="700"/>
        <w:jc w:val="center"/>
        <w:rPr>
          <w:color w:val="000000" w:themeColor="text1"/>
        </w:rPr>
      </w:pPr>
      <w:r w:rsidRPr="00524E67">
        <w:rPr>
          <w:color w:val="000000" w:themeColor="text1"/>
        </w:rPr>
        <w:t>Director de la Unidad de Posgrado</w:t>
      </w:r>
    </w:p>
    <w:p w14:paraId="19AF9E79" w14:textId="77777777" w:rsidR="00F35F8F" w:rsidRPr="00524E67" w:rsidRDefault="00000000">
      <w:pPr>
        <w:spacing w:after="60"/>
        <w:jc w:val="center"/>
        <w:rPr>
          <w:color w:val="000000" w:themeColor="text1"/>
        </w:rPr>
      </w:pPr>
      <w:r w:rsidRPr="00524E67">
        <w:rPr>
          <w:color w:val="000000" w:themeColor="text1"/>
        </w:rPr>
        <w:t>Lima – Perú</w:t>
      </w:r>
    </w:p>
    <w:p w14:paraId="015F3631" w14:textId="77777777" w:rsidR="00F35F8F" w:rsidRPr="00524E67" w:rsidRDefault="00000000">
      <w:pPr>
        <w:jc w:val="center"/>
        <w:rPr>
          <w:color w:val="000000" w:themeColor="text1"/>
        </w:rPr>
      </w:pPr>
      <w:r w:rsidRPr="00524E67">
        <w:rPr>
          <w:color w:val="000000" w:themeColor="text1"/>
        </w:rPr>
        <w:t>2026</w:t>
      </w:r>
    </w:p>
    <w:p w14:paraId="3CAEAC0D" w14:textId="77777777" w:rsidR="00F35F8F" w:rsidRPr="00524E67" w:rsidRDefault="00000000">
      <w:pPr>
        <w:rPr>
          <w:color w:val="000000" w:themeColor="text1"/>
        </w:rPr>
      </w:pPr>
      <w:r w:rsidRPr="00524E67">
        <w:rPr>
          <w:color w:val="000000" w:themeColor="text1"/>
        </w:rPr>
        <w:br w:type="page"/>
      </w:r>
    </w:p>
    <w:p w14:paraId="140B35AF" w14:textId="77777777" w:rsidR="00F35F8F" w:rsidRPr="00524E67" w:rsidRDefault="00000000">
      <w:pPr>
        <w:pStyle w:val="Ttulo1"/>
        <w:spacing w:after="200"/>
        <w:rPr>
          <w:color w:val="000000" w:themeColor="text1"/>
        </w:rPr>
      </w:pPr>
      <w:bookmarkStart w:id="0" w:name="_Toc236344260"/>
      <w:r w:rsidRPr="00524E67">
        <w:rPr>
          <w:b/>
          <w:bCs/>
          <w:color w:val="000000" w:themeColor="text1"/>
          <w:sz w:val="28"/>
          <w:szCs w:val="28"/>
        </w:rPr>
        <w:lastRenderedPageBreak/>
        <w:t>Índice</w:t>
      </w:r>
      <w:bookmarkEnd w:id="0"/>
    </w:p>
    <w:sdt>
      <w:sdtPr>
        <w:rPr>
          <w:color w:val="000000" w:themeColor="text1"/>
        </w:rPr>
        <w:alias w:val="Índice"/>
        <w:id w:val="1374427160"/>
      </w:sdtPr>
      <w:sdtContent>
        <w:p w14:paraId="0D173A0B" w14:textId="1EE8C210" w:rsidR="00BF5745" w:rsidRPr="00524E67" w:rsidRDefault="00000000">
          <w:pPr>
            <w:pStyle w:val="TDC1"/>
            <w:tabs>
              <w:tab w:val="right" w:leader="dot" w:pos="8729"/>
            </w:tabs>
            <w:rPr>
              <w:noProof/>
              <w:color w:val="000000" w:themeColor="text1"/>
            </w:rPr>
          </w:pPr>
          <w:r w:rsidRPr="00524E67">
            <w:rPr>
              <w:color w:val="000000" w:themeColor="text1"/>
            </w:rPr>
            <w:fldChar w:fldCharType="begin"/>
          </w:r>
          <w:r w:rsidRPr="00524E67">
            <w:rPr>
              <w:color w:val="000000" w:themeColor="text1"/>
            </w:rPr>
            <w:instrText>TOC \h \o "1-2"</w:instrText>
          </w:r>
          <w:r w:rsidRPr="00524E67">
            <w:rPr>
              <w:color w:val="000000" w:themeColor="text1"/>
            </w:rPr>
            <w:fldChar w:fldCharType="separate"/>
          </w:r>
        </w:p>
        <w:p w14:paraId="4F1A65B4" w14:textId="77777777" w:rsidR="00BF5745" w:rsidRPr="00524E67" w:rsidRDefault="00BF5745">
          <w:pPr>
            <w:pStyle w:val="TDC1"/>
            <w:tabs>
              <w:tab w:val="right" w:leader="dot" w:pos="8729"/>
            </w:tabs>
            <w:rPr>
              <w:noProof/>
              <w:color w:val="000000" w:themeColor="text1"/>
            </w:rPr>
          </w:pPr>
          <w:hyperlink w:anchor="_Toc236344261" w:history="1">
            <w:r w:rsidRPr="00524E67">
              <w:rPr>
                <w:rStyle w:val="Hipervnculo"/>
                <w:b/>
                <w:bCs/>
                <w:noProof/>
                <w:color w:val="000000" w:themeColor="text1"/>
              </w:rPr>
              <w:t>1. Introducción</w:t>
            </w:r>
            <w:r w:rsidRPr="00524E67">
              <w:rPr>
                <w:noProof/>
                <w:color w:val="000000" w:themeColor="text1"/>
              </w:rPr>
              <w:tab/>
            </w:r>
            <w:r w:rsidRPr="00524E67">
              <w:rPr>
                <w:noProof/>
                <w:color w:val="000000" w:themeColor="text1"/>
              </w:rPr>
              <w:fldChar w:fldCharType="begin"/>
            </w:r>
            <w:r w:rsidRPr="00524E67">
              <w:rPr>
                <w:noProof/>
                <w:color w:val="000000" w:themeColor="text1"/>
              </w:rPr>
              <w:instrText xml:space="preserve"> PAGEREF _Toc236344261 \h </w:instrText>
            </w:r>
            <w:r w:rsidRPr="00524E67">
              <w:rPr>
                <w:noProof/>
                <w:color w:val="000000" w:themeColor="text1"/>
              </w:rPr>
            </w:r>
            <w:r w:rsidRPr="00524E67">
              <w:rPr>
                <w:noProof/>
                <w:color w:val="000000" w:themeColor="text1"/>
              </w:rPr>
              <w:fldChar w:fldCharType="separate"/>
            </w:r>
            <w:r w:rsidRPr="00524E67">
              <w:rPr>
                <w:noProof/>
                <w:color w:val="000000" w:themeColor="text1"/>
              </w:rPr>
              <w:t>1</w:t>
            </w:r>
            <w:r w:rsidRPr="00524E67">
              <w:rPr>
                <w:noProof/>
                <w:color w:val="000000" w:themeColor="text1"/>
              </w:rPr>
              <w:fldChar w:fldCharType="end"/>
            </w:r>
          </w:hyperlink>
        </w:p>
        <w:p w14:paraId="42BC7C96" w14:textId="77777777" w:rsidR="00BF5745" w:rsidRPr="00524E67" w:rsidRDefault="00BF5745">
          <w:pPr>
            <w:pStyle w:val="TDC1"/>
            <w:tabs>
              <w:tab w:val="right" w:leader="dot" w:pos="8729"/>
            </w:tabs>
            <w:rPr>
              <w:noProof/>
              <w:color w:val="000000" w:themeColor="text1"/>
            </w:rPr>
          </w:pPr>
          <w:hyperlink w:anchor="_Toc236344262" w:history="1">
            <w:r w:rsidRPr="00524E67">
              <w:rPr>
                <w:rStyle w:val="Hipervnculo"/>
                <w:b/>
                <w:bCs/>
                <w:noProof/>
                <w:color w:val="000000" w:themeColor="text1"/>
              </w:rPr>
              <w:t>2. Estado del Arte</w:t>
            </w:r>
            <w:r w:rsidRPr="00524E67">
              <w:rPr>
                <w:noProof/>
                <w:color w:val="000000" w:themeColor="text1"/>
              </w:rPr>
              <w:tab/>
            </w:r>
            <w:r w:rsidRPr="00524E67">
              <w:rPr>
                <w:noProof/>
                <w:color w:val="000000" w:themeColor="text1"/>
              </w:rPr>
              <w:fldChar w:fldCharType="begin"/>
            </w:r>
            <w:r w:rsidRPr="00524E67">
              <w:rPr>
                <w:noProof/>
                <w:color w:val="000000" w:themeColor="text1"/>
              </w:rPr>
              <w:instrText xml:space="preserve"> PAGEREF _Toc236344262 \h </w:instrText>
            </w:r>
            <w:r w:rsidRPr="00524E67">
              <w:rPr>
                <w:noProof/>
                <w:color w:val="000000" w:themeColor="text1"/>
              </w:rPr>
            </w:r>
            <w:r w:rsidRPr="00524E67">
              <w:rPr>
                <w:noProof/>
                <w:color w:val="000000" w:themeColor="text1"/>
              </w:rPr>
              <w:fldChar w:fldCharType="separate"/>
            </w:r>
            <w:r w:rsidRPr="00524E67">
              <w:rPr>
                <w:noProof/>
                <w:color w:val="000000" w:themeColor="text1"/>
              </w:rPr>
              <w:t>1</w:t>
            </w:r>
            <w:r w:rsidRPr="00524E67">
              <w:rPr>
                <w:noProof/>
                <w:color w:val="000000" w:themeColor="text1"/>
              </w:rPr>
              <w:fldChar w:fldCharType="end"/>
            </w:r>
          </w:hyperlink>
        </w:p>
        <w:p w14:paraId="54046A4C" w14:textId="77777777" w:rsidR="00BF5745" w:rsidRPr="00524E67" w:rsidRDefault="00BF5745">
          <w:pPr>
            <w:pStyle w:val="TDC2"/>
            <w:tabs>
              <w:tab w:val="right" w:leader="dot" w:pos="8729"/>
            </w:tabs>
            <w:rPr>
              <w:noProof/>
              <w:color w:val="000000" w:themeColor="text1"/>
            </w:rPr>
          </w:pPr>
          <w:hyperlink w:anchor="_Toc236344263" w:history="1">
            <w:r w:rsidRPr="00524E67">
              <w:rPr>
                <w:rStyle w:val="Hipervnculo"/>
                <w:b/>
                <w:bCs/>
                <w:noProof/>
                <w:color w:val="000000" w:themeColor="text1"/>
              </w:rPr>
              <w:t>2.1 Marco metodológico: PCA, HFC y EPCA</w:t>
            </w:r>
            <w:r w:rsidRPr="00524E67">
              <w:rPr>
                <w:noProof/>
                <w:color w:val="000000" w:themeColor="text1"/>
              </w:rPr>
              <w:tab/>
            </w:r>
            <w:r w:rsidRPr="00524E67">
              <w:rPr>
                <w:noProof/>
                <w:color w:val="000000" w:themeColor="text1"/>
              </w:rPr>
              <w:fldChar w:fldCharType="begin"/>
            </w:r>
            <w:r w:rsidRPr="00524E67">
              <w:rPr>
                <w:noProof/>
                <w:color w:val="000000" w:themeColor="text1"/>
              </w:rPr>
              <w:instrText xml:space="preserve"> PAGEREF _Toc236344263 \h </w:instrText>
            </w:r>
            <w:r w:rsidRPr="00524E67">
              <w:rPr>
                <w:noProof/>
                <w:color w:val="000000" w:themeColor="text1"/>
              </w:rPr>
            </w:r>
            <w:r w:rsidRPr="00524E67">
              <w:rPr>
                <w:noProof/>
                <w:color w:val="000000" w:themeColor="text1"/>
              </w:rPr>
              <w:fldChar w:fldCharType="separate"/>
            </w:r>
            <w:r w:rsidRPr="00524E67">
              <w:rPr>
                <w:noProof/>
                <w:color w:val="000000" w:themeColor="text1"/>
              </w:rPr>
              <w:t>1</w:t>
            </w:r>
            <w:r w:rsidRPr="00524E67">
              <w:rPr>
                <w:noProof/>
                <w:color w:val="000000" w:themeColor="text1"/>
              </w:rPr>
              <w:fldChar w:fldCharType="end"/>
            </w:r>
          </w:hyperlink>
        </w:p>
        <w:p w14:paraId="486EBD5A" w14:textId="77777777" w:rsidR="00BF5745" w:rsidRPr="00524E67" w:rsidRDefault="00BF5745">
          <w:pPr>
            <w:pStyle w:val="TDC2"/>
            <w:tabs>
              <w:tab w:val="right" w:leader="dot" w:pos="8729"/>
            </w:tabs>
            <w:rPr>
              <w:noProof/>
              <w:color w:val="000000" w:themeColor="text1"/>
            </w:rPr>
          </w:pPr>
          <w:hyperlink w:anchor="_Toc236344264" w:history="1">
            <w:r w:rsidRPr="00524E67">
              <w:rPr>
                <w:rStyle w:val="Hipervnculo"/>
                <w:b/>
                <w:bCs/>
                <w:noProof/>
                <w:color w:val="000000" w:themeColor="text1"/>
              </w:rPr>
              <w:t>2.2 Antecedentes directos: el ciclo financiero peruano</w:t>
            </w:r>
            <w:r w:rsidRPr="00524E67">
              <w:rPr>
                <w:noProof/>
                <w:color w:val="000000" w:themeColor="text1"/>
              </w:rPr>
              <w:tab/>
            </w:r>
            <w:r w:rsidRPr="00524E67">
              <w:rPr>
                <w:noProof/>
                <w:color w:val="000000" w:themeColor="text1"/>
              </w:rPr>
              <w:fldChar w:fldCharType="begin"/>
            </w:r>
            <w:r w:rsidRPr="00524E67">
              <w:rPr>
                <w:noProof/>
                <w:color w:val="000000" w:themeColor="text1"/>
              </w:rPr>
              <w:instrText xml:space="preserve"> PAGEREF _Toc236344264 \h </w:instrText>
            </w:r>
            <w:r w:rsidRPr="00524E67">
              <w:rPr>
                <w:noProof/>
                <w:color w:val="000000" w:themeColor="text1"/>
              </w:rPr>
            </w:r>
            <w:r w:rsidRPr="00524E67">
              <w:rPr>
                <w:noProof/>
                <w:color w:val="000000" w:themeColor="text1"/>
              </w:rPr>
              <w:fldChar w:fldCharType="separate"/>
            </w:r>
            <w:r w:rsidRPr="00524E67">
              <w:rPr>
                <w:noProof/>
                <w:color w:val="000000" w:themeColor="text1"/>
              </w:rPr>
              <w:t>1</w:t>
            </w:r>
            <w:r w:rsidRPr="00524E67">
              <w:rPr>
                <w:noProof/>
                <w:color w:val="000000" w:themeColor="text1"/>
              </w:rPr>
              <w:fldChar w:fldCharType="end"/>
            </w:r>
          </w:hyperlink>
        </w:p>
        <w:p w14:paraId="5B62F412" w14:textId="77777777" w:rsidR="00BF5745" w:rsidRPr="00524E67" w:rsidRDefault="00BF5745">
          <w:pPr>
            <w:pStyle w:val="TDC2"/>
            <w:tabs>
              <w:tab w:val="right" w:leader="dot" w:pos="8729"/>
            </w:tabs>
            <w:rPr>
              <w:noProof/>
              <w:color w:val="000000" w:themeColor="text1"/>
            </w:rPr>
          </w:pPr>
          <w:hyperlink w:anchor="_Toc236344265" w:history="1">
            <w:r w:rsidRPr="00524E67">
              <w:rPr>
                <w:rStyle w:val="Hipervnculo"/>
                <w:b/>
                <w:bCs/>
                <w:noProof/>
                <w:color w:val="000000" w:themeColor="text1"/>
              </w:rPr>
              <w:t>2.3 Aprendizaje profundo aplicado a la detección de regímenes financieros</w:t>
            </w:r>
            <w:r w:rsidRPr="00524E67">
              <w:rPr>
                <w:noProof/>
                <w:color w:val="000000" w:themeColor="text1"/>
              </w:rPr>
              <w:tab/>
            </w:r>
            <w:r w:rsidRPr="00524E67">
              <w:rPr>
                <w:noProof/>
                <w:color w:val="000000" w:themeColor="text1"/>
              </w:rPr>
              <w:fldChar w:fldCharType="begin"/>
            </w:r>
            <w:r w:rsidRPr="00524E67">
              <w:rPr>
                <w:noProof/>
                <w:color w:val="000000" w:themeColor="text1"/>
              </w:rPr>
              <w:instrText xml:space="preserve"> PAGEREF _Toc236344265 \h </w:instrText>
            </w:r>
            <w:r w:rsidRPr="00524E67">
              <w:rPr>
                <w:noProof/>
                <w:color w:val="000000" w:themeColor="text1"/>
              </w:rPr>
            </w:r>
            <w:r w:rsidRPr="00524E67">
              <w:rPr>
                <w:noProof/>
                <w:color w:val="000000" w:themeColor="text1"/>
              </w:rPr>
              <w:fldChar w:fldCharType="separate"/>
            </w:r>
            <w:r w:rsidRPr="00524E67">
              <w:rPr>
                <w:noProof/>
                <w:color w:val="000000" w:themeColor="text1"/>
              </w:rPr>
              <w:t>1</w:t>
            </w:r>
            <w:r w:rsidRPr="00524E67">
              <w:rPr>
                <w:noProof/>
                <w:color w:val="000000" w:themeColor="text1"/>
              </w:rPr>
              <w:fldChar w:fldCharType="end"/>
            </w:r>
          </w:hyperlink>
        </w:p>
        <w:p w14:paraId="7E3A303A" w14:textId="77777777" w:rsidR="00BF5745" w:rsidRPr="00524E67" w:rsidRDefault="00BF5745">
          <w:pPr>
            <w:pStyle w:val="TDC2"/>
            <w:tabs>
              <w:tab w:val="right" w:leader="dot" w:pos="8729"/>
            </w:tabs>
            <w:rPr>
              <w:noProof/>
              <w:color w:val="000000" w:themeColor="text1"/>
            </w:rPr>
          </w:pPr>
          <w:hyperlink w:anchor="_Toc236344266" w:history="1">
            <w:r w:rsidRPr="00524E67">
              <w:rPr>
                <w:rStyle w:val="Hipervnculo"/>
                <w:b/>
                <w:bCs/>
                <w:noProof/>
                <w:color w:val="000000" w:themeColor="text1"/>
              </w:rPr>
              <w:t>2.4 Vacíos identificados y aporte de la presente tesis</w:t>
            </w:r>
            <w:r w:rsidRPr="00524E67">
              <w:rPr>
                <w:noProof/>
                <w:color w:val="000000" w:themeColor="text1"/>
              </w:rPr>
              <w:tab/>
            </w:r>
            <w:r w:rsidRPr="00524E67">
              <w:rPr>
                <w:noProof/>
                <w:color w:val="000000" w:themeColor="text1"/>
              </w:rPr>
              <w:fldChar w:fldCharType="begin"/>
            </w:r>
            <w:r w:rsidRPr="00524E67">
              <w:rPr>
                <w:noProof/>
                <w:color w:val="000000" w:themeColor="text1"/>
              </w:rPr>
              <w:instrText xml:space="preserve"> PAGEREF _Toc236344266 \h </w:instrText>
            </w:r>
            <w:r w:rsidRPr="00524E67">
              <w:rPr>
                <w:noProof/>
                <w:color w:val="000000" w:themeColor="text1"/>
              </w:rPr>
            </w:r>
            <w:r w:rsidRPr="00524E67">
              <w:rPr>
                <w:noProof/>
                <w:color w:val="000000" w:themeColor="text1"/>
              </w:rPr>
              <w:fldChar w:fldCharType="separate"/>
            </w:r>
            <w:r w:rsidRPr="00524E67">
              <w:rPr>
                <w:noProof/>
                <w:color w:val="000000" w:themeColor="text1"/>
              </w:rPr>
              <w:t>1</w:t>
            </w:r>
            <w:r w:rsidRPr="00524E67">
              <w:rPr>
                <w:noProof/>
                <w:color w:val="000000" w:themeColor="text1"/>
              </w:rPr>
              <w:fldChar w:fldCharType="end"/>
            </w:r>
          </w:hyperlink>
        </w:p>
        <w:p w14:paraId="19590B2C" w14:textId="77777777" w:rsidR="00BF5745" w:rsidRPr="00524E67" w:rsidRDefault="00BF5745">
          <w:pPr>
            <w:pStyle w:val="TDC1"/>
            <w:tabs>
              <w:tab w:val="right" w:leader="dot" w:pos="8729"/>
            </w:tabs>
            <w:rPr>
              <w:noProof/>
              <w:color w:val="000000" w:themeColor="text1"/>
            </w:rPr>
          </w:pPr>
          <w:hyperlink w:anchor="_Toc236344267" w:history="1">
            <w:r w:rsidRPr="00524E67">
              <w:rPr>
                <w:rStyle w:val="Hipervnculo"/>
                <w:b/>
                <w:bCs/>
                <w:noProof/>
                <w:color w:val="000000" w:themeColor="text1"/>
              </w:rPr>
              <w:t>3. Justificación Técnica y Social</w:t>
            </w:r>
            <w:r w:rsidRPr="00524E67">
              <w:rPr>
                <w:noProof/>
                <w:color w:val="000000" w:themeColor="text1"/>
              </w:rPr>
              <w:tab/>
            </w:r>
            <w:r w:rsidRPr="00524E67">
              <w:rPr>
                <w:noProof/>
                <w:color w:val="000000" w:themeColor="text1"/>
              </w:rPr>
              <w:fldChar w:fldCharType="begin"/>
            </w:r>
            <w:r w:rsidRPr="00524E67">
              <w:rPr>
                <w:noProof/>
                <w:color w:val="000000" w:themeColor="text1"/>
              </w:rPr>
              <w:instrText xml:space="preserve"> PAGEREF _Toc236344267 \h </w:instrText>
            </w:r>
            <w:r w:rsidRPr="00524E67">
              <w:rPr>
                <w:noProof/>
                <w:color w:val="000000" w:themeColor="text1"/>
              </w:rPr>
            </w:r>
            <w:r w:rsidRPr="00524E67">
              <w:rPr>
                <w:noProof/>
                <w:color w:val="000000" w:themeColor="text1"/>
              </w:rPr>
              <w:fldChar w:fldCharType="separate"/>
            </w:r>
            <w:r w:rsidRPr="00524E67">
              <w:rPr>
                <w:noProof/>
                <w:color w:val="000000" w:themeColor="text1"/>
              </w:rPr>
              <w:t>1</w:t>
            </w:r>
            <w:r w:rsidRPr="00524E67">
              <w:rPr>
                <w:noProof/>
                <w:color w:val="000000" w:themeColor="text1"/>
              </w:rPr>
              <w:fldChar w:fldCharType="end"/>
            </w:r>
          </w:hyperlink>
        </w:p>
        <w:p w14:paraId="080E5242" w14:textId="77777777" w:rsidR="00BF5745" w:rsidRPr="00524E67" w:rsidRDefault="00BF5745">
          <w:pPr>
            <w:pStyle w:val="TDC2"/>
            <w:tabs>
              <w:tab w:val="right" w:leader="dot" w:pos="8729"/>
            </w:tabs>
            <w:rPr>
              <w:noProof/>
              <w:color w:val="000000" w:themeColor="text1"/>
            </w:rPr>
          </w:pPr>
          <w:hyperlink w:anchor="_Toc236344268" w:history="1">
            <w:r w:rsidRPr="00524E67">
              <w:rPr>
                <w:rStyle w:val="Hipervnculo"/>
                <w:b/>
                <w:bCs/>
                <w:noProof/>
                <w:color w:val="000000" w:themeColor="text1"/>
              </w:rPr>
              <w:t>3.1 Justificación técnica y científica</w:t>
            </w:r>
            <w:r w:rsidRPr="00524E67">
              <w:rPr>
                <w:noProof/>
                <w:color w:val="000000" w:themeColor="text1"/>
              </w:rPr>
              <w:tab/>
            </w:r>
            <w:r w:rsidRPr="00524E67">
              <w:rPr>
                <w:noProof/>
                <w:color w:val="000000" w:themeColor="text1"/>
              </w:rPr>
              <w:fldChar w:fldCharType="begin"/>
            </w:r>
            <w:r w:rsidRPr="00524E67">
              <w:rPr>
                <w:noProof/>
                <w:color w:val="000000" w:themeColor="text1"/>
              </w:rPr>
              <w:instrText xml:space="preserve"> PAGEREF _Toc236344268 \h </w:instrText>
            </w:r>
            <w:r w:rsidRPr="00524E67">
              <w:rPr>
                <w:noProof/>
                <w:color w:val="000000" w:themeColor="text1"/>
              </w:rPr>
            </w:r>
            <w:r w:rsidRPr="00524E67">
              <w:rPr>
                <w:noProof/>
                <w:color w:val="000000" w:themeColor="text1"/>
              </w:rPr>
              <w:fldChar w:fldCharType="separate"/>
            </w:r>
            <w:r w:rsidRPr="00524E67">
              <w:rPr>
                <w:noProof/>
                <w:color w:val="000000" w:themeColor="text1"/>
              </w:rPr>
              <w:t>1</w:t>
            </w:r>
            <w:r w:rsidRPr="00524E67">
              <w:rPr>
                <w:noProof/>
                <w:color w:val="000000" w:themeColor="text1"/>
              </w:rPr>
              <w:fldChar w:fldCharType="end"/>
            </w:r>
          </w:hyperlink>
        </w:p>
        <w:p w14:paraId="28765517" w14:textId="77777777" w:rsidR="00BF5745" w:rsidRPr="00524E67" w:rsidRDefault="00BF5745">
          <w:pPr>
            <w:pStyle w:val="TDC2"/>
            <w:tabs>
              <w:tab w:val="right" w:leader="dot" w:pos="8729"/>
            </w:tabs>
            <w:rPr>
              <w:noProof/>
              <w:color w:val="000000" w:themeColor="text1"/>
            </w:rPr>
          </w:pPr>
          <w:hyperlink w:anchor="_Toc236344269" w:history="1">
            <w:r w:rsidRPr="00524E67">
              <w:rPr>
                <w:rStyle w:val="Hipervnculo"/>
                <w:b/>
                <w:bCs/>
                <w:noProof/>
                <w:color w:val="000000" w:themeColor="text1"/>
              </w:rPr>
              <w:t>3.2 Justificación social y económica</w:t>
            </w:r>
            <w:r w:rsidRPr="00524E67">
              <w:rPr>
                <w:noProof/>
                <w:color w:val="000000" w:themeColor="text1"/>
              </w:rPr>
              <w:tab/>
            </w:r>
            <w:r w:rsidRPr="00524E67">
              <w:rPr>
                <w:noProof/>
                <w:color w:val="000000" w:themeColor="text1"/>
              </w:rPr>
              <w:fldChar w:fldCharType="begin"/>
            </w:r>
            <w:r w:rsidRPr="00524E67">
              <w:rPr>
                <w:noProof/>
                <w:color w:val="000000" w:themeColor="text1"/>
              </w:rPr>
              <w:instrText xml:space="preserve"> PAGEREF _Toc236344269 \h </w:instrText>
            </w:r>
            <w:r w:rsidRPr="00524E67">
              <w:rPr>
                <w:noProof/>
                <w:color w:val="000000" w:themeColor="text1"/>
              </w:rPr>
            </w:r>
            <w:r w:rsidRPr="00524E67">
              <w:rPr>
                <w:noProof/>
                <w:color w:val="000000" w:themeColor="text1"/>
              </w:rPr>
              <w:fldChar w:fldCharType="separate"/>
            </w:r>
            <w:r w:rsidRPr="00524E67">
              <w:rPr>
                <w:noProof/>
                <w:color w:val="000000" w:themeColor="text1"/>
              </w:rPr>
              <w:t>1</w:t>
            </w:r>
            <w:r w:rsidRPr="00524E67">
              <w:rPr>
                <w:noProof/>
                <w:color w:val="000000" w:themeColor="text1"/>
              </w:rPr>
              <w:fldChar w:fldCharType="end"/>
            </w:r>
          </w:hyperlink>
        </w:p>
        <w:p w14:paraId="5EAB2626" w14:textId="77777777" w:rsidR="00BF5745" w:rsidRPr="00524E67" w:rsidRDefault="00BF5745">
          <w:pPr>
            <w:pStyle w:val="TDC1"/>
            <w:tabs>
              <w:tab w:val="right" w:leader="dot" w:pos="8729"/>
            </w:tabs>
            <w:rPr>
              <w:noProof/>
              <w:color w:val="000000" w:themeColor="text1"/>
            </w:rPr>
          </w:pPr>
          <w:hyperlink w:anchor="_Toc236344270" w:history="1">
            <w:r w:rsidRPr="00524E67">
              <w:rPr>
                <w:rStyle w:val="Hipervnculo"/>
                <w:b/>
                <w:bCs/>
                <w:noProof/>
                <w:color w:val="000000" w:themeColor="text1"/>
              </w:rPr>
              <w:t>4. Plan de Tesis</w:t>
            </w:r>
            <w:r w:rsidRPr="00524E67">
              <w:rPr>
                <w:noProof/>
                <w:color w:val="000000" w:themeColor="text1"/>
              </w:rPr>
              <w:tab/>
            </w:r>
            <w:r w:rsidRPr="00524E67">
              <w:rPr>
                <w:noProof/>
                <w:color w:val="000000" w:themeColor="text1"/>
              </w:rPr>
              <w:fldChar w:fldCharType="begin"/>
            </w:r>
            <w:r w:rsidRPr="00524E67">
              <w:rPr>
                <w:noProof/>
                <w:color w:val="000000" w:themeColor="text1"/>
              </w:rPr>
              <w:instrText xml:space="preserve"> PAGEREF _Toc236344270 \h </w:instrText>
            </w:r>
            <w:r w:rsidRPr="00524E67">
              <w:rPr>
                <w:noProof/>
                <w:color w:val="000000" w:themeColor="text1"/>
              </w:rPr>
            </w:r>
            <w:r w:rsidRPr="00524E67">
              <w:rPr>
                <w:noProof/>
                <w:color w:val="000000" w:themeColor="text1"/>
              </w:rPr>
              <w:fldChar w:fldCharType="separate"/>
            </w:r>
            <w:r w:rsidRPr="00524E67">
              <w:rPr>
                <w:noProof/>
                <w:color w:val="000000" w:themeColor="text1"/>
              </w:rPr>
              <w:t>1</w:t>
            </w:r>
            <w:r w:rsidRPr="00524E67">
              <w:rPr>
                <w:noProof/>
                <w:color w:val="000000" w:themeColor="text1"/>
              </w:rPr>
              <w:fldChar w:fldCharType="end"/>
            </w:r>
          </w:hyperlink>
        </w:p>
        <w:p w14:paraId="66E374FE" w14:textId="77777777" w:rsidR="00BF5745" w:rsidRPr="00524E67" w:rsidRDefault="00BF5745">
          <w:pPr>
            <w:pStyle w:val="TDC2"/>
            <w:tabs>
              <w:tab w:val="right" w:leader="dot" w:pos="8729"/>
            </w:tabs>
            <w:rPr>
              <w:noProof/>
              <w:color w:val="000000" w:themeColor="text1"/>
            </w:rPr>
          </w:pPr>
          <w:hyperlink w:anchor="_Toc236344271" w:history="1">
            <w:r w:rsidRPr="00524E67">
              <w:rPr>
                <w:rStyle w:val="Hipervnculo"/>
                <w:b/>
                <w:bCs/>
                <w:noProof/>
                <w:color w:val="000000" w:themeColor="text1"/>
              </w:rPr>
              <w:t>4.1 Objetivos</w:t>
            </w:r>
            <w:r w:rsidRPr="00524E67">
              <w:rPr>
                <w:noProof/>
                <w:color w:val="000000" w:themeColor="text1"/>
              </w:rPr>
              <w:tab/>
            </w:r>
            <w:r w:rsidRPr="00524E67">
              <w:rPr>
                <w:noProof/>
                <w:color w:val="000000" w:themeColor="text1"/>
              </w:rPr>
              <w:fldChar w:fldCharType="begin"/>
            </w:r>
            <w:r w:rsidRPr="00524E67">
              <w:rPr>
                <w:noProof/>
                <w:color w:val="000000" w:themeColor="text1"/>
              </w:rPr>
              <w:instrText xml:space="preserve"> PAGEREF _Toc236344271 \h </w:instrText>
            </w:r>
            <w:r w:rsidRPr="00524E67">
              <w:rPr>
                <w:noProof/>
                <w:color w:val="000000" w:themeColor="text1"/>
              </w:rPr>
            </w:r>
            <w:r w:rsidRPr="00524E67">
              <w:rPr>
                <w:noProof/>
                <w:color w:val="000000" w:themeColor="text1"/>
              </w:rPr>
              <w:fldChar w:fldCharType="separate"/>
            </w:r>
            <w:r w:rsidRPr="00524E67">
              <w:rPr>
                <w:noProof/>
                <w:color w:val="000000" w:themeColor="text1"/>
              </w:rPr>
              <w:t>1</w:t>
            </w:r>
            <w:r w:rsidRPr="00524E67">
              <w:rPr>
                <w:noProof/>
                <w:color w:val="000000" w:themeColor="text1"/>
              </w:rPr>
              <w:fldChar w:fldCharType="end"/>
            </w:r>
          </w:hyperlink>
        </w:p>
        <w:p w14:paraId="3F0C1169" w14:textId="77777777" w:rsidR="00BF5745" w:rsidRPr="00524E67" w:rsidRDefault="00BF5745">
          <w:pPr>
            <w:pStyle w:val="TDC2"/>
            <w:tabs>
              <w:tab w:val="right" w:leader="dot" w:pos="8729"/>
            </w:tabs>
            <w:rPr>
              <w:noProof/>
              <w:color w:val="000000" w:themeColor="text1"/>
            </w:rPr>
          </w:pPr>
          <w:hyperlink w:anchor="_Toc236344272" w:history="1">
            <w:r w:rsidRPr="00524E67">
              <w:rPr>
                <w:rStyle w:val="Hipervnculo"/>
                <w:b/>
                <w:bCs/>
                <w:noProof/>
                <w:color w:val="000000" w:themeColor="text1"/>
              </w:rPr>
              <w:t>4.2 Cronograma actualizado</w:t>
            </w:r>
            <w:r w:rsidRPr="00524E67">
              <w:rPr>
                <w:noProof/>
                <w:color w:val="000000" w:themeColor="text1"/>
              </w:rPr>
              <w:tab/>
            </w:r>
            <w:r w:rsidRPr="00524E67">
              <w:rPr>
                <w:noProof/>
                <w:color w:val="000000" w:themeColor="text1"/>
              </w:rPr>
              <w:fldChar w:fldCharType="begin"/>
            </w:r>
            <w:r w:rsidRPr="00524E67">
              <w:rPr>
                <w:noProof/>
                <w:color w:val="000000" w:themeColor="text1"/>
              </w:rPr>
              <w:instrText xml:space="preserve"> PAGEREF _Toc236344272 \h </w:instrText>
            </w:r>
            <w:r w:rsidRPr="00524E67">
              <w:rPr>
                <w:noProof/>
                <w:color w:val="000000" w:themeColor="text1"/>
              </w:rPr>
            </w:r>
            <w:r w:rsidRPr="00524E67">
              <w:rPr>
                <w:noProof/>
                <w:color w:val="000000" w:themeColor="text1"/>
              </w:rPr>
              <w:fldChar w:fldCharType="separate"/>
            </w:r>
            <w:r w:rsidRPr="00524E67">
              <w:rPr>
                <w:noProof/>
                <w:color w:val="000000" w:themeColor="text1"/>
              </w:rPr>
              <w:t>1</w:t>
            </w:r>
            <w:r w:rsidRPr="00524E67">
              <w:rPr>
                <w:noProof/>
                <w:color w:val="000000" w:themeColor="text1"/>
              </w:rPr>
              <w:fldChar w:fldCharType="end"/>
            </w:r>
          </w:hyperlink>
        </w:p>
        <w:p w14:paraId="4D04BA84" w14:textId="77777777" w:rsidR="00BF5745" w:rsidRPr="00524E67" w:rsidRDefault="00BF5745">
          <w:pPr>
            <w:pStyle w:val="TDC2"/>
            <w:tabs>
              <w:tab w:val="right" w:leader="dot" w:pos="8729"/>
            </w:tabs>
            <w:rPr>
              <w:noProof/>
              <w:color w:val="000000" w:themeColor="text1"/>
            </w:rPr>
          </w:pPr>
          <w:hyperlink w:anchor="_Toc236344273" w:history="1">
            <w:r w:rsidRPr="00524E67">
              <w:rPr>
                <w:rStyle w:val="Hipervnculo"/>
                <w:b/>
                <w:bCs/>
                <w:noProof/>
                <w:color w:val="000000" w:themeColor="text1"/>
              </w:rPr>
              <w:t>4.3 Productos esperados</w:t>
            </w:r>
            <w:r w:rsidRPr="00524E67">
              <w:rPr>
                <w:noProof/>
                <w:color w:val="000000" w:themeColor="text1"/>
              </w:rPr>
              <w:tab/>
            </w:r>
            <w:r w:rsidRPr="00524E67">
              <w:rPr>
                <w:noProof/>
                <w:color w:val="000000" w:themeColor="text1"/>
              </w:rPr>
              <w:fldChar w:fldCharType="begin"/>
            </w:r>
            <w:r w:rsidRPr="00524E67">
              <w:rPr>
                <w:noProof/>
                <w:color w:val="000000" w:themeColor="text1"/>
              </w:rPr>
              <w:instrText xml:space="preserve"> PAGEREF _Toc236344273 \h </w:instrText>
            </w:r>
            <w:r w:rsidRPr="00524E67">
              <w:rPr>
                <w:noProof/>
                <w:color w:val="000000" w:themeColor="text1"/>
              </w:rPr>
            </w:r>
            <w:r w:rsidRPr="00524E67">
              <w:rPr>
                <w:noProof/>
                <w:color w:val="000000" w:themeColor="text1"/>
              </w:rPr>
              <w:fldChar w:fldCharType="separate"/>
            </w:r>
            <w:r w:rsidRPr="00524E67">
              <w:rPr>
                <w:noProof/>
                <w:color w:val="000000" w:themeColor="text1"/>
              </w:rPr>
              <w:t>1</w:t>
            </w:r>
            <w:r w:rsidRPr="00524E67">
              <w:rPr>
                <w:noProof/>
                <w:color w:val="000000" w:themeColor="text1"/>
              </w:rPr>
              <w:fldChar w:fldCharType="end"/>
            </w:r>
          </w:hyperlink>
        </w:p>
        <w:p w14:paraId="49743DD5" w14:textId="77777777" w:rsidR="00BF5745" w:rsidRPr="00524E67" w:rsidRDefault="00BF5745">
          <w:pPr>
            <w:pStyle w:val="TDC1"/>
            <w:tabs>
              <w:tab w:val="right" w:leader="dot" w:pos="8729"/>
            </w:tabs>
            <w:rPr>
              <w:noProof/>
              <w:color w:val="000000" w:themeColor="text1"/>
            </w:rPr>
          </w:pPr>
          <w:hyperlink w:anchor="_Toc236344274" w:history="1">
            <w:r w:rsidRPr="00524E67">
              <w:rPr>
                <w:rStyle w:val="Hipervnculo"/>
                <w:b/>
                <w:bCs/>
                <w:noProof/>
                <w:color w:val="000000" w:themeColor="text1"/>
              </w:rPr>
              <w:t>5. Referencias Bibliográficas</w:t>
            </w:r>
            <w:r w:rsidRPr="00524E67">
              <w:rPr>
                <w:noProof/>
                <w:color w:val="000000" w:themeColor="text1"/>
              </w:rPr>
              <w:tab/>
            </w:r>
            <w:r w:rsidRPr="00524E67">
              <w:rPr>
                <w:noProof/>
                <w:color w:val="000000" w:themeColor="text1"/>
              </w:rPr>
              <w:fldChar w:fldCharType="begin"/>
            </w:r>
            <w:r w:rsidRPr="00524E67">
              <w:rPr>
                <w:noProof/>
                <w:color w:val="000000" w:themeColor="text1"/>
              </w:rPr>
              <w:instrText xml:space="preserve"> PAGEREF _Toc236344274 \h </w:instrText>
            </w:r>
            <w:r w:rsidRPr="00524E67">
              <w:rPr>
                <w:noProof/>
                <w:color w:val="000000" w:themeColor="text1"/>
              </w:rPr>
            </w:r>
            <w:r w:rsidRPr="00524E67">
              <w:rPr>
                <w:noProof/>
                <w:color w:val="000000" w:themeColor="text1"/>
              </w:rPr>
              <w:fldChar w:fldCharType="separate"/>
            </w:r>
            <w:r w:rsidRPr="00524E67">
              <w:rPr>
                <w:noProof/>
                <w:color w:val="000000" w:themeColor="text1"/>
              </w:rPr>
              <w:t>1</w:t>
            </w:r>
            <w:r w:rsidRPr="00524E67">
              <w:rPr>
                <w:noProof/>
                <w:color w:val="000000" w:themeColor="text1"/>
              </w:rPr>
              <w:fldChar w:fldCharType="end"/>
            </w:r>
          </w:hyperlink>
        </w:p>
        <w:p w14:paraId="0B74F318" w14:textId="77777777" w:rsidR="00BF5745" w:rsidRPr="00524E67" w:rsidRDefault="00BF5745">
          <w:pPr>
            <w:pStyle w:val="TDC1"/>
            <w:tabs>
              <w:tab w:val="right" w:leader="dot" w:pos="8729"/>
            </w:tabs>
            <w:rPr>
              <w:noProof/>
              <w:color w:val="000000" w:themeColor="text1"/>
            </w:rPr>
          </w:pPr>
          <w:hyperlink w:anchor="_Toc236344275" w:history="1">
            <w:r w:rsidRPr="00524E67">
              <w:rPr>
                <w:rStyle w:val="Hipervnculo"/>
                <w:b/>
                <w:bCs/>
                <w:noProof/>
                <w:color w:val="000000" w:themeColor="text1"/>
              </w:rPr>
              <w:t>6. Anexos</w:t>
            </w:r>
            <w:r w:rsidRPr="00524E67">
              <w:rPr>
                <w:noProof/>
                <w:color w:val="000000" w:themeColor="text1"/>
              </w:rPr>
              <w:tab/>
            </w:r>
            <w:r w:rsidRPr="00524E67">
              <w:rPr>
                <w:noProof/>
                <w:color w:val="000000" w:themeColor="text1"/>
              </w:rPr>
              <w:fldChar w:fldCharType="begin"/>
            </w:r>
            <w:r w:rsidRPr="00524E67">
              <w:rPr>
                <w:noProof/>
                <w:color w:val="000000" w:themeColor="text1"/>
              </w:rPr>
              <w:instrText xml:space="preserve"> PAGEREF _Toc236344275 \h </w:instrText>
            </w:r>
            <w:r w:rsidRPr="00524E67">
              <w:rPr>
                <w:noProof/>
                <w:color w:val="000000" w:themeColor="text1"/>
              </w:rPr>
            </w:r>
            <w:r w:rsidRPr="00524E67">
              <w:rPr>
                <w:noProof/>
                <w:color w:val="000000" w:themeColor="text1"/>
              </w:rPr>
              <w:fldChar w:fldCharType="separate"/>
            </w:r>
            <w:r w:rsidRPr="00524E67">
              <w:rPr>
                <w:noProof/>
                <w:color w:val="000000" w:themeColor="text1"/>
              </w:rPr>
              <w:t>1</w:t>
            </w:r>
            <w:r w:rsidRPr="00524E67">
              <w:rPr>
                <w:noProof/>
                <w:color w:val="000000" w:themeColor="text1"/>
              </w:rPr>
              <w:fldChar w:fldCharType="end"/>
            </w:r>
          </w:hyperlink>
        </w:p>
        <w:p w14:paraId="209E839D" w14:textId="77777777" w:rsidR="00BF5745" w:rsidRPr="00524E67" w:rsidRDefault="00BF5745">
          <w:pPr>
            <w:pStyle w:val="TDC2"/>
            <w:tabs>
              <w:tab w:val="right" w:leader="dot" w:pos="8729"/>
            </w:tabs>
            <w:rPr>
              <w:noProof/>
              <w:color w:val="000000" w:themeColor="text1"/>
            </w:rPr>
          </w:pPr>
          <w:hyperlink w:anchor="_Toc236344276" w:history="1">
            <w:r w:rsidRPr="00524E67">
              <w:rPr>
                <w:rStyle w:val="Hipervnculo"/>
                <w:b/>
                <w:bCs/>
                <w:noProof/>
                <w:color w:val="000000" w:themeColor="text1"/>
              </w:rPr>
              <w:t>Anexo A: Fichas bibliográficas generadas</w:t>
            </w:r>
            <w:r w:rsidRPr="00524E67">
              <w:rPr>
                <w:noProof/>
                <w:color w:val="000000" w:themeColor="text1"/>
              </w:rPr>
              <w:tab/>
            </w:r>
            <w:r w:rsidRPr="00524E67">
              <w:rPr>
                <w:noProof/>
                <w:color w:val="000000" w:themeColor="text1"/>
              </w:rPr>
              <w:fldChar w:fldCharType="begin"/>
            </w:r>
            <w:r w:rsidRPr="00524E67">
              <w:rPr>
                <w:noProof/>
                <w:color w:val="000000" w:themeColor="text1"/>
              </w:rPr>
              <w:instrText xml:space="preserve"> PAGEREF _Toc236344276 \h </w:instrText>
            </w:r>
            <w:r w:rsidRPr="00524E67">
              <w:rPr>
                <w:noProof/>
                <w:color w:val="000000" w:themeColor="text1"/>
              </w:rPr>
            </w:r>
            <w:r w:rsidRPr="00524E67">
              <w:rPr>
                <w:noProof/>
                <w:color w:val="000000" w:themeColor="text1"/>
              </w:rPr>
              <w:fldChar w:fldCharType="separate"/>
            </w:r>
            <w:r w:rsidRPr="00524E67">
              <w:rPr>
                <w:noProof/>
                <w:color w:val="000000" w:themeColor="text1"/>
              </w:rPr>
              <w:t>1</w:t>
            </w:r>
            <w:r w:rsidRPr="00524E67">
              <w:rPr>
                <w:noProof/>
                <w:color w:val="000000" w:themeColor="text1"/>
              </w:rPr>
              <w:fldChar w:fldCharType="end"/>
            </w:r>
          </w:hyperlink>
        </w:p>
        <w:p w14:paraId="7C2BD1BB" w14:textId="77777777" w:rsidR="00BF5745" w:rsidRPr="00524E67" w:rsidRDefault="00BF5745">
          <w:pPr>
            <w:pStyle w:val="TDC2"/>
            <w:tabs>
              <w:tab w:val="right" w:leader="dot" w:pos="8729"/>
            </w:tabs>
            <w:rPr>
              <w:noProof/>
              <w:color w:val="000000" w:themeColor="text1"/>
            </w:rPr>
          </w:pPr>
          <w:hyperlink w:anchor="_Toc236344277" w:history="1">
            <w:r w:rsidRPr="00524E67">
              <w:rPr>
                <w:rStyle w:val="Hipervnculo"/>
                <w:b/>
                <w:bCs/>
                <w:noProof/>
                <w:color w:val="000000" w:themeColor="text1"/>
              </w:rPr>
              <w:t>Anexo B: Estado del pipeline de datos y notebooks</w:t>
            </w:r>
            <w:r w:rsidRPr="00524E67">
              <w:rPr>
                <w:noProof/>
                <w:color w:val="000000" w:themeColor="text1"/>
              </w:rPr>
              <w:tab/>
            </w:r>
            <w:r w:rsidRPr="00524E67">
              <w:rPr>
                <w:noProof/>
                <w:color w:val="000000" w:themeColor="text1"/>
              </w:rPr>
              <w:fldChar w:fldCharType="begin"/>
            </w:r>
            <w:r w:rsidRPr="00524E67">
              <w:rPr>
                <w:noProof/>
                <w:color w:val="000000" w:themeColor="text1"/>
              </w:rPr>
              <w:instrText xml:space="preserve"> PAGEREF _Toc236344277 \h </w:instrText>
            </w:r>
            <w:r w:rsidRPr="00524E67">
              <w:rPr>
                <w:noProof/>
                <w:color w:val="000000" w:themeColor="text1"/>
              </w:rPr>
            </w:r>
            <w:r w:rsidRPr="00524E67">
              <w:rPr>
                <w:noProof/>
                <w:color w:val="000000" w:themeColor="text1"/>
              </w:rPr>
              <w:fldChar w:fldCharType="separate"/>
            </w:r>
            <w:r w:rsidRPr="00524E67">
              <w:rPr>
                <w:noProof/>
                <w:color w:val="000000" w:themeColor="text1"/>
              </w:rPr>
              <w:t>1</w:t>
            </w:r>
            <w:r w:rsidRPr="00524E67">
              <w:rPr>
                <w:noProof/>
                <w:color w:val="000000" w:themeColor="text1"/>
              </w:rPr>
              <w:fldChar w:fldCharType="end"/>
            </w:r>
          </w:hyperlink>
        </w:p>
        <w:p w14:paraId="3819FFE0" w14:textId="77777777" w:rsidR="00BF5745" w:rsidRPr="00524E67" w:rsidRDefault="00BF5745">
          <w:pPr>
            <w:pStyle w:val="TDC2"/>
            <w:tabs>
              <w:tab w:val="right" w:leader="dot" w:pos="8729"/>
            </w:tabs>
            <w:rPr>
              <w:noProof/>
              <w:color w:val="000000" w:themeColor="text1"/>
            </w:rPr>
          </w:pPr>
          <w:hyperlink w:anchor="_Toc236344278" w:history="1">
            <w:r w:rsidRPr="00524E67">
              <w:rPr>
                <w:rStyle w:val="Hipervnculo"/>
                <w:b/>
                <w:bCs/>
                <w:noProof/>
                <w:color w:val="000000" w:themeColor="text1"/>
              </w:rPr>
              <w:t>Anexo C: Literatura identificada pendiente de Ficha Estándar</w:t>
            </w:r>
            <w:r w:rsidRPr="00524E67">
              <w:rPr>
                <w:noProof/>
                <w:color w:val="000000" w:themeColor="text1"/>
              </w:rPr>
              <w:tab/>
            </w:r>
            <w:r w:rsidRPr="00524E67">
              <w:rPr>
                <w:noProof/>
                <w:color w:val="000000" w:themeColor="text1"/>
              </w:rPr>
              <w:fldChar w:fldCharType="begin"/>
            </w:r>
            <w:r w:rsidRPr="00524E67">
              <w:rPr>
                <w:noProof/>
                <w:color w:val="000000" w:themeColor="text1"/>
              </w:rPr>
              <w:instrText xml:space="preserve"> PAGEREF _Toc236344278 \h </w:instrText>
            </w:r>
            <w:r w:rsidRPr="00524E67">
              <w:rPr>
                <w:noProof/>
                <w:color w:val="000000" w:themeColor="text1"/>
              </w:rPr>
            </w:r>
            <w:r w:rsidRPr="00524E67">
              <w:rPr>
                <w:noProof/>
                <w:color w:val="000000" w:themeColor="text1"/>
              </w:rPr>
              <w:fldChar w:fldCharType="separate"/>
            </w:r>
            <w:r w:rsidRPr="00524E67">
              <w:rPr>
                <w:noProof/>
                <w:color w:val="000000" w:themeColor="text1"/>
              </w:rPr>
              <w:t>1</w:t>
            </w:r>
            <w:r w:rsidRPr="00524E67">
              <w:rPr>
                <w:noProof/>
                <w:color w:val="000000" w:themeColor="text1"/>
              </w:rPr>
              <w:fldChar w:fldCharType="end"/>
            </w:r>
          </w:hyperlink>
        </w:p>
        <w:p w14:paraId="587A017A" w14:textId="77777777" w:rsidR="00F35F8F" w:rsidRPr="00524E67" w:rsidRDefault="00000000">
          <w:pPr>
            <w:rPr>
              <w:color w:val="000000" w:themeColor="text1"/>
            </w:rPr>
          </w:pPr>
          <w:r w:rsidRPr="00524E67">
            <w:rPr>
              <w:color w:val="000000" w:themeColor="text1"/>
            </w:rPr>
            <w:fldChar w:fldCharType="end"/>
          </w:r>
        </w:p>
      </w:sdtContent>
    </w:sdt>
    <w:p w14:paraId="5B977BA3" w14:textId="77777777" w:rsidR="00F35F8F" w:rsidRPr="00524E67" w:rsidRDefault="00000000">
      <w:pPr>
        <w:rPr>
          <w:color w:val="000000" w:themeColor="text1"/>
        </w:rPr>
      </w:pPr>
      <w:r w:rsidRPr="00524E67">
        <w:rPr>
          <w:color w:val="000000" w:themeColor="text1"/>
        </w:rPr>
        <w:br w:type="page"/>
      </w:r>
    </w:p>
    <w:p w14:paraId="5D6EFFA5" w14:textId="77777777" w:rsidR="00F35F8F" w:rsidRPr="00524E67" w:rsidRDefault="00000000">
      <w:pPr>
        <w:pStyle w:val="Ttulo1"/>
        <w:spacing w:before="320" w:after="200"/>
        <w:rPr>
          <w:color w:val="000000" w:themeColor="text1"/>
        </w:rPr>
      </w:pPr>
      <w:bookmarkStart w:id="1" w:name="_Toc236344261"/>
      <w:r w:rsidRPr="00524E67">
        <w:rPr>
          <w:b/>
          <w:bCs/>
          <w:color w:val="000000" w:themeColor="text1"/>
          <w:sz w:val="28"/>
          <w:szCs w:val="28"/>
        </w:rPr>
        <w:lastRenderedPageBreak/>
        <w:t>1. Introducción</w:t>
      </w:r>
      <w:bookmarkEnd w:id="1"/>
    </w:p>
    <w:p w14:paraId="06523835" w14:textId="77777777" w:rsidR="00F35F8F" w:rsidRPr="00524E67" w:rsidRDefault="00000000">
      <w:pPr>
        <w:spacing w:after="160" w:line="276" w:lineRule="auto"/>
        <w:jc w:val="both"/>
        <w:rPr>
          <w:color w:val="000000" w:themeColor="text1"/>
        </w:rPr>
      </w:pPr>
      <w:r w:rsidRPr="00524E67">
        <w:rPr>
          <w:color w:val="000000" w:themeColor="text1"/>
        </w:rPr>
        <w:t xml:space="preserve">El ciclo financiero —entendido como la fluctuación de mediano a largo plazo entre fases de expansión y contracción del crédito, los precios de activos y la tolerancia al riesgo— constituye un fenómeno distinto del ciclo económico tradicional, con implicancias directas sobre la estabilidad </w:t>
      </w:r>
      <w:proofErr w:type="spellStart"/>
      <w:r w:rsidRPr="00524E67">
        <w:rPr>
          <w:color w:val="000000" w:themeColor="text1"/>
        </w:rPr>
        <w:t>macrofinanciera</w:t>
      </w:r>
      <w:proofErr w:type="spellEnd"/>
      <w:r w:rsidRPr="00524E67">
        <w:rPr>
          <w:color w:val="000000" w:themeColor="text1"/>
        </w:rPr>
        <w:t xml:space="preserve"> (</w:t>
      </w:r>
      <w:proofErr w:type="spellStart"/>
      <w:r w:rsidRPr="00524E67">
        <w:rPr>
          <w:color w:val="000000" w:themeColor="text1"/>
        </w:rPr>
        <w:t>Drehmann</w:t>
      </w:r>
      <w:proofErr w:type="spellEnd"/>
      <w:r w:rsidRPr="00524E67">
        <w:rPr>
          <w:color w:val="000000" w:themeColor="text1"/>
        </w:rPr>
        <w:t xml:space="preserve">, </w:t>
      </w:r>
      <w:proofErr w:type="spellStart"/>
      <w:r w:rsidRPr="00524E67">
        <w:rPr>
          <w:color w:val="000000" w:themeColor="text1"/>
        </w:rPr>
        <w:t>Borio</w:t>
      </w:r>
      <w:proofErr w:type="spellEnd"/>
      <w:r w:rsidRPr="00524E67">
        <w:rPr>
          <w:color w:val="000000" w:themeColor="text1"/>
        </w:rPr>
        <w:t xml:space="preserve">, &amp; </w:t>
      </w:r>
      <w:proofErr w:type="spellStart"/>
      <w:r w:rsidRPr="00524E67">
        <w:rPr>
          <w:color w:val="000000" w:themeColor="text1"/>
        </w:rPr>
        <w:t>Tsatsaronis</w:t>
      </w:r>
      <w:proofErr w:type="spellEnd"/>
      <w:r w:rsidRPr="00524E67">
        <w:rPr>
          <w:color w:val="000000" w:themeColor="text1"/>
        </w:rPr>
        <w:t>, 2012). La crisis financiera global de 2007-2008 mostró que las fluctuaciones del sistema financiero pueden amplificarse y propagarse hacia la economía real, lo que motiva el desarrollo de metodologías capaces de identificar y caracterizar dicho ciclo de forma rigurosa.</w:t>
      </w:r>
    </w:p>
    <w:p w14:paraId="1B4305E0" w14:textId="77777777" w:rsidR="00F35F8F" w:rsidRPr="00524E67" w:rsidRDefault="00000000">
      <w:pPr>
        <w:spacing w:after="160" w:line="276" w:lineRule="auto"/>
        <w:jc w:val="both"/>
        <w:rPr>
          <w:color w:val="000000" w:themeColor="text1"/>
        </w:rPr>
      </w:pPr>
      <w:r w:rsidRPr="00524E67">
        <w:rPr>
          <w:color w:val="000000" w:themeColor="text1"/>
        </w:rPr>
        <w:t xml:space="preserve">En el caso peruano, la identificación del ciclo financiero mediante técnicas exploratorias de reducción dimensional cuenta con dos antecedentes directos: la tesis de maestría de Atoche Murrieta (2022, Pontificia Universidad Católica del Perú) y su desarrollo posterior en </w:t>
      </w:r>
      <w:proofErr w:type="spellStart"/>
      <w:r w:rsidRPr="00524E67">
        <w:rPr>
          <w:color w:val="000000" w:themeColor="text1"/>
        </w:rPr>
        <w:t>Camiz</w:t>
      </w:r>
      <w:proofErr w:type="spellEnd"/>
      <w:r w:rsidRPr="00524E67">
        <w:rPr>
          <w:color w:val="000000" w:themeColor="text1"/>
        </w:rPr>
        <w:t xml:space="preserve">, Cerda Hernández y Atoche Murrieta (2026). Ambos trabajos aplican Análisis de Componentes Principales (PCA), Clasificación Factorial Jerárquica (HFC) y Análisis Evolutivo de Componentes Principales (EPCA) sobre indicadores </w:t>
      </w:r>
      <w:proofErr w:type="spellStart"/>
      <w:r w:rsidRPr="00524E67">
        <w:rPr>
          <w:color w:val="000000" w:themeColor="text1"/>
        </w:rPr>
        <w:t>macrofinancieros</w:t>
      </w:r>
      <w:proofErr w:type="spellEnd"/>
      <w:r w:rsidRPr="00524E67">
        <w:rPr>
          <w:color w:val="000000" w:themeColor="text1"/>
        </w:rPr>
        <w:t xml:space="preserve"> del Banco Central de Reserva del Perú (BCRP), identificando de forma consistente tres componentes del ciclo financiero peruano: uno de larga duración asociado a la salud general del sistema financiero, uno de mediano plazo asociado a las tasas de interés, y uno de corto plazo asociado a la volatilidad del mercado.</w:t>
      </w:r>
    </w:p>
    <w:p w14:paraId="754513D3" w14:textId="77777777" w:rsidR="00F35F8F" w:rsidRPr="00524E67" w:rsidRDefault="00000000">
      <w:pPr>
        <w:spacing w:after="160" w:line="276" w:lineRule="auto"/>
        <w:jc w:val="both"/>
        <w:rPr>
          <w:color w:val="000000" w:themeColor="text1"/>
        </w:rPr>
      </w:pPr>
      <w:r w:rsidRPr="00524E67">
        <w:rPr>
          <w:color w:val="000000" w:themeColor="text1"/>
        </w:rPr>
        <w:t>Estos antecedentes validan el enfoque exploratorio clásico (PCA-HFC-EPCA) para el caso peruano, pero se mantienen dentro de dicho marco: no incorporan métodos de aprendizaje profundo, no formalizan una clasificación explícita de regímenes o fases del ciclo (expansión, contracción, transición) validada contra episodios históricos conocidos, y su ventana temporal de datos no cubre el período posterior a 2020-2021.</w:t>
      </w:r>
    </w:p>
    <w:p w14:paraId="7616815B" w14:textId="77777777" w:rsidR="00F35F8F" w:rsidRPr="00524E67" w:rsidRDefault="00000000">
      <w:pPr>
        <w:spacing w:after="160" w:line="276" w:lineRule="auto"/>
        <w:jc w:val="both"/>
        <w:rPr>
          <w:color w:val="000000" w:themeColor="text1"/>
        </w:rPr>
      </w:pPr>
      <w:r w:rsidRPr="00524E67">
        <w:rPr>
          <w:color w:val="000000" w:themeColor="text1"/>
        </w:rPr>
        <w:t xml:space="preserve">La presente investigación toma este marco metodológico como punto de partida y lo extiende incorporando </w:t>
      </w:r>
      <w:proofErr w:type="spellStart"/>
      <w:r w:rsidRPr="00524E67">
        <w:rPr>
          <w:color w:val="000000" w:themeColor="text1"/>
        </w:rPr>
        <w:t>Autoencoders</w:t>
      </w:r>
      <w:proofErr w:type="spellEnd"/>
      <w:r w:rsidRPr="00524E67">
        <w:rPr>
          <w:color w:val="000000" w:themeColor="text1"/>
        </w:rPr>
        <w:t xml:space="preserve"> temporales y redes LSTM (Long Short-</w:t>
      </w:r>
      <w:proofErr w:type="spellStart"/>
      <w:r w:rsidRPr="00524E67">
        <w:rPr>
          <w:color w:val="000000" w:themeColor="text1"/>
        </w:rPr>
        <w:t>Term</w:t>
      </w:r>
      <w:proofErr w:type="spellEnd"/>
      <w:r w:rsidRPr="00524E67">
        <w:rPr>
          <w:color w:val="000000" w:themeColor="text1"/>
        </w:rPr>
        <w:t xml:space="preserve"> </w:t>
      </w:r>
      <w:proofErr w:type="spellStart"/>
      <w:r w:rsidRPr="00524E67">
        <w:rPr>
          <w:color w:val="000000" w:themeColor="text1"/>
        </w:rPr>
        <w:t>Memory</w:t>
      </w:r>
      <w:proofErr w:type="spellEnd"/>
      <w:r w:rsidRPr="00524E67">
        <w:rPr>
          <w:color w:val="000000" w:themeColor="text1"/>
        </w:rPr>
        <w:t>) para construir representaciones latentes no lineales del sistema financiero peruano y formalizar la detección automática de cambios de régimen. El problema de investigación es, por tanto, doble: replicar y actualizar el análisis exploratorio clásico sobre datos BCRP más recientes, y extenderlo metodológicamente hacia técnicas de aprendizaje profundo que permitan una detección de régimen explícita y validable.</w:t>
      </w:r>
    </w:p>
    <w:p w14:paraId="586D7C10" w14:textId="77777777" w:rsidR="00F35F8F" w:rsidRPr="00524E67" w:rsidRDefault="00000000">
      <w:pPr>
        <w:spacing w:after="160" w:line="276" w:lineRule="auto"/>
        <w:jc w:val="both"/>
        <w:rPr>
          <w:color w:val="000000" w:themeColor="text1"/>
        </w:rPr>
      </w:pPr>
      <w:r w:rsidRPr="00524E67">
        <w:rPr>
          <w:color w:val="000000" w:themeColor="text1"/>
        </w:rPr>
        <w:t>Este informe documenta el avance de la investigación en su etapa de revisión bibliográfica y planeamiento: estado del arte identificado, justificación técnica y social, plan de tesis actualizado y referencias bibliográficas verificadas a la fecha.</w:t>
      </w:r>
    </w:p>
    <w:p w14:paraId="7B3D6353" w14:textId="77777777" w:rsidR="00F35F8F" w:rsidRPr="00524E67" w:rsidRDefault="00000000">
      <w:pPr>
        <w:pStyle w:val="Ttulo1"/>
        <w:spacing w:before="320" w:after="200"/>
        <w:rPr>
          <w:color w:val="000000" w:themeColor="text1"/>
        </w:rPr>
      </w:pPr>
      <w:bookmarkStart w:id="2" w:name="_Toc236344262"/>
      <w:r w:rsidRPr="00524E67">
        <w:rPr>
          <w:b/>
          <w:bCs/>
          <w:color w:val="000000" w:themeColor="text1"/>
          <w:sz w:val="28"/>
          <w:szCs w:val="28"/>
        </w:rPr>
        <w:t>2. Estado del Arte</w:t>
      </w:r>
      <w:bookmarkEnd w:id="2"/>
    </w:p>
    <w:p w14:paraId="7D186E78" w14:textId="77777777" w:rsidR="00F35F8F" w:rsidRPr="00524E67" w:rsidRDefault="00000000">
      <w:pPr>
        <w:pStyle w:val="Ttulo2"/>
        <w:spacing w:before="220" w:after="140"/>
        <w:rPr>
          <w:color w:val="000000" w:themeColor="text1"/>
        </w:rPr>
      </w:pPr>
      <w:bookmarkStart w:id="3" w:name="_Toc236344263"/>
      <w:r w:rsidRPr="00524E67">
        <w:rPr>
          <w:b/>
          <w:bCs/>
          <w:color w:val="000000" w:themeColor="text1"/>
          <w:sz w:val="24"/>
          <w:szCs w:val="24"/>
        </w:rPr>
        <w:t>2.1 Marco metodológico: PCA, HFC y EPCA</w:t>
      </w:r>
      <w:bookmarkEnd w:id="3"/>
    </w:p>
    <w:p w14:paraId="2D52F372" w14:textId="77777777" w:rsidR="00F35F8F" w:rsidRPr="00524E67" w:rsidRDefault="00000000">
      <w:pPr>
        <w:spacing w:after="160" w:line="276" w:lineRule="auto"/>
        <w:jc w:val="both"/>
        <w:rPr>
          <w:color w:val="000000" w:themeColor="text1"/>
        </w:rPr>
      </w:pPr>
      <w:r w:rsidRPr="00524E67">
        <w:rPr>
          <w:color w:val="000000" w:themeColor="text1"/>
        </w:rPr>
        <w:t xml:space="preserve">El marco exploratorio en el que se inscribe esta tesis proviene de la línea de trabajo desarrollada por Sergio </w:t>
      </w:r>
      <w:proofErr w:type="spellStart"/>
      <w:r w:rsidRPr="00524E67">
        <w:rPr>
          <w:color w:val="000000" w:themeColor="text1"/>
        </w:rPr>
        <w:t>Camiz</w:t>
      </w:r>
      <w:proofErr w:type="spellEnd"/>
      <w:r w:rsidRPr="00524E67">
        <w:rPr>
          <w:color w:val="000000" w:themeColor="text1"/>
        </w:rPr>
        <w:t xml:space="preserve"> y colaboradores. </w:t>
      </w:r>
      <w:proofErr w:type="spellStart"/>
      <w:r w:rsidRPr="00524E67">
        <w:rPr>
          <w:color w:val="000000" w:themeColor="text1"/>
        </w:rPr>
        <w:t>Camiz</w:t>
      </w:r>
      <w:proofErr w:type="spellEnd"/>
      <w:r w:rsidRPr="00524E67">
        <w:rPr>
          <w:color w:val="000000" w:themeColor="text1"/>
        </w:rPr>
        <w:t xml:space="preserve">, </w:t>
      </w:r>
      <w:proofErr w:type="spellStart"/>
      <w:r w:rsidRPr="00524E67">
        <w:rPr>
          <w:color w:val="000000" w:themeColor="text1"/>
        </w:rPr>
        <w:t>Spada</w:t>
      </w:r>
      <w:proofErr w:type="spellEnd"/>
      <w:r w:rsidRPr="00524E67">
        <w:rPr>
          <w:color w:val="000000" w:themeColor="text1"/>
        </w:rPr>
        <w:t xml:space="preserve">, </w:t>
      </w:r>
      <w:proofErr w:type="spellStart"/>
      <w:r w:rsidRPr="00524E67">
        <w:rPr>
          <w:color w:val="000000" w:themeColor="text1"/>
        </w:rPr>
        <w:t>Denimal</w:t>
      </w:r>
      <w:proofErr w:type="spellEnd"/>
      <w:r w:rsidRPr="00524E67">
        <w:rPr>
          <w:color w:val="000000" w:themeColor="text1"/>
        </w:rPr>
        <w:t xml:space="preserve"> y </w:t>
      </w:r>
      <w:proofErr w:type="spellStart"/>
      <w:r w:rsidRPr="00524E67">
        <w:rPr>
          <w:color w:val="000000" w:themeColor="text1"/>
        </w:rPr>
        <w:t>Piraino</w:t>
      </w:r>
      <w:proofErr w:type="spellEnd"/>
      <w:r w:rsidRPr="00524E67">
        <w:rPr>
          <w:color w:val="000000" w:themeColor="text1"/>
        </w:rPr>
        <w:t xml:space="preserve"> (2020) formalizan la Clasificación Factorial Jerárquica (HFC), propuesta originalmente por </w:t>
      </w:r>
      <w:proofErr w:type="spellStart"/>
      <w:r w:rsidRPr="00524E67">
        <w:rPr>
          <w:color w:val="000000" w:themeColor="text1"/>
        </w:rPr>
        <w:t>Denimal</w:t>
      </w:r>
      <w:proofErr w:type="spellEnd"/>
      <w:r w:rsidRPr="00524E67">
        <w:rPr>
          <w:color w:val="000000" w:themeColor="text1"/>
        </w:rPr>
        <w:t xml:space="preserve">, como alternativa al PCA para construir indicadores sintéticos que resuman el comportamiento de conjuntos de series de tiempo sincrónicas. A diferencia del PCA, que impone ortogonalidad entre componentes, la HFC construye una jerarquía de variables donde cada nodo posee un plano </w:t>
      </w:r>
      <w:proofErr w:type="gramStart"/>
      <w:r w:rsidRPr="00524E67">
        <w:rPr>
          <w:color w:val="000000" w:themeColor="text1"/>
        </w:rPr>
        <w:t>factorial propio</w:t>
      </w:r>
      <w:proofErr w:type="gramEnd"/>
      <w:r w:rsidRPr="00524E67">
        <w:rPr>
          <w:color w:val="000000" w:themeColor="text1"/>
        </w:rPr>
        <w:t xml:space="preserve">: el primer componente principal del nodo </w:t>
      </w:r>
      <w:r w:rsidRPr="00524E67">
        <w:rPr>
          <w:color w:val="000000" w:themeColor="text1"/>
        </w:rPr>
        <w:lastRenderedPageBreak/>
        <w:t xml:space="preserve">sintetiza lo que las variables agrupadas tienen en común, y el </w:t>
      </w:r>
      <w:proofErr w:type="gramStart"/>
      <w:r w:rsidRPr="00524E67">
        <w:rPr>
          <w:color w:val="000000" w:themeColor="text1"/>
        </w:rPr>
        <w:t>segundo captura</w:t>
      </w:r>
      <w:proofErr w:type="gramEnd"/>
      <w:r w:rsidRPr="00524E67">
        <w:rPr>
          <w:color w:val="000000" w:themeColor="text1"/>
        </w:rPr>
        <w:t xml:space="preserve"> sus diferencias internas. El resultado son agrupamientos de series altamente correlacionadas, cada uno representado por una serie sintética de interpretación más simple que los componentes de un PCA global.</w:t>
      </w:r>
    </w:p>
    <w:p w14:paraId="62522E02" w14:textId="77777777" w:rsidR="00F35F8F" w:rsidRPr="00524E67" w:rsidRDefault="00000000">
      <w:pPr>
        <w:spacing w:after="160" w:line="276" w:lineRule="auto"/>
        <w:jc w:val="both"/>
        <w:rPr>
          <w:color w:val="000000" w:themeColor="text1"/>
        </w:rPr>
      </w:pPr>
      <w:proofErr w:type="spellStart"/>
      <w:r w:rsidRPr="00524E67">
        <w:rPr>
          <w:color w:val="000000" w:themeColor="text1"/>
        </w:rPr>
        <w:t>Camiz</w:t>
      </w:r>
      <w:proofErr w:type="spellEnd"/>
      <w:r w:rsidRPr="00524E67">
        <w:rPr>
          <w:color w:val="000000" w:themeColor="text1"/>
        </w:rPr>
        <w:t xml:space="preserve">, </w:t>
      </w:r>
      <w:proofErr w:type="spellStart"/>
      <w:r w:rsidRPr="00524E67">
        <w:rPr>
          <w:color w:val="000000" w:themeColor="text1"/>
        </w:rPr>
        <w:t>Maulucci</w:t>
      </w:r>
      <w:proofErr w:type="spellEnd"/>
      <w:r w:rsidRPr="00524E67">
        <w:rPr>
          <w:color w:val="000000" w:themeColor="text1"/>
        </w:rPr>
        <w:t xml:space="preserve"> y Roig (2010) constituyen el antecedente metodológico directo del Análisis Evolutivo de Componentes Principales (EPCA): PCA aplicado sobre una ventana móvil a lo largo de la serie temporal, generando series de autovalores y correlaciones que muestran cómo cambia la estructura de correlación entre variables a través del tiempo. </w:t>
      </w:r>
      <w:proofErr w:type="spellStart"/>
      <w:r w:rsidRPr="00524E67">
        <w:rPr>
          <w:color w:val="000000" w:themeColor="text1"/>
        </w:rPr>
        <w:t>Camiz</w:t>
      </w:r>
      <w:proofErr w:type="spellEnd"/>
      <w:r w:rsidRPr="00524E67">
        <w:rPr>
          <w:color w:val="000000" w:themeColor="text1"/>
        </w:rPr>
        <w:t xml:space="preserve"> y Roig (2011) aplican HFC estático y EPCA conjuntamente sobre un caso dendrocronológico, incorporando además el algoritmo de agrupamiento de Fisher (1958) sobre la serie temporal del primer autovalor del EPCA para identificar de forma objetiva períodos de mayor o menor homogeneidad estructural —procedimiento directamente transferible a la detección de regímenes financieros. Ninguno de los dos antecedentes fusiona HFC y EPCA en un único algoritmo evolutivo unificado (una eventual “HFC evolutiva” o EHFC formal); ambos aplican las dos técnicas de forma secuencial e independiente sobre el mismo conjunto de datos.</w:t>
      </w:r>
    </w:p>
    <w:p w14:paraId="05BBFB84" w14:textId="77777777" w:rsidR="00F35F8F" w:rsidRPr="00524E67" w:rsidRDefault="00000000">
      <w:pPr>
        <w:spacing w:before="120" w:after="80"/>
        <w:jc w:val="center"/>
        <w:rPr>
          <w:color w:val="000000" w:themeColor="text1"/>
        </w:rPr>
      </w:pPr>
      <w:r w:rsidRPr="00524E67">
        <w:rPr>
          <w:noProof/>
          <w:color w:val="000000" w:themeColor="text1"/>
        </w:rPr>
        <w:drawing>
          <wp:inline distT="0" distB="0" distL="0" distR="0" wp14:anchorId="39B0F376" wp14:editId="08965AFC">
            <wp:extent cx="5494166" cy="2156460"/>
            <wp:effectExtent l="0" t="0" r="508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02480" cy="2198973"/>
                    </a:xfrm>
                    <a:prstGeom prst="rect">
                      <a:avLst/>
                    </a:prstGeom>
                  </pic:spPr>
                </pic:pic>
              </a:graphicData>
            </a:graphic>
          </wp:inline>
        </w:drawing>
      </w:r>
    </w:p>
    <w:p w14:paraId="17ACA2F0" w14:textId="77777777" w:rsidR="00F35F8F" w:rsidRPr="00524E67" w:rsidRDefault="00000000">
      <w:pPr>
        <w:spacing w:after="240"/>
        <w:jc w:val="center"/>
        <w:rPr>
          <w:color w:val="000000" w:themeColor="text1"/>
        </w:rPr>
      </w:pPr>
      <w:r w:rsidRPr="00524E67">
        <w:rPr>
          <w:i/>
          <w:iCs/>
          <w:color w:val="000000" w:themeColor="text1"/>
          <w:sz w:val="18"/>
          <w:szCs w:val="18"/>
        </w:rPr>
        <w:t>Figura 1. Cadena metodológica: marco exploratorio clásico y extensión propuesta en la tesis.</w:t>
      </w:r>
    </w:p>
    <w:p w14:paraId="54F39C90" w14:textId="77777777" w:rsidR="00F35F8F" w:rsidRPr="00524E67" w:rsidRDefault="00000000">
      <w:pPr>
        <w:pStyle w:val="Ttulo2"/>
        <w:spacing w:before="220" w:after="140"/>
        <w:rPr>
          <w:color w:val="000000" w:themeColor="text1"/>
        </w:rPr>
      </w:pPr>
      <w:bookmarkStart w:id="4" w:name="_Toc236344264"/>
      <w:r w:rsidRPr="00524E67">
        <w:rPr>
          <w:b/>
          <w:bCs/>
          <w:color w:val="000000" w:themeColor="text1"/>
          <w:sz w:val="24"/>
          <w:szCs w:val="24"/>
        </w:rPr>
        <w:t>2.2 Antecedentes directos: el ciclo financiero peruano</w:t>
      </w:r>
      <w:bookmarkEnd w:id="4"/>
    </w:p>
    <w:p w14:paraId="20CA362D" w14:textId="77777777" w:rsidR="00F35F8F" w:rsidRPr="00524E67" w:rsidRDefault="00000000">
      <w:pPr>
        <w:spacing w:after="160" w:line="276" w:lineRule="auto"/>
        <w:jc w:val="both"/>
        <w:rPr>
          <w:color w:val="000000" w:themeColor="text1"/>
        </w:rPr>
      </w:pPr>
      <w:r w:rsidRPr="00524E67">
        <w:rPr>
          <w:color w:val="000000" w:themeColor="text1"/>
        </w:rPr>
        <w:t>Atoche Murrieta (2022) aplicó PCA, HFC y análisis evolutivo sobre series mensuales de indicadores del BCRP, identificando tres componentes del ciclo financiero peruano: uno de larga duración que mide la evolución general del sistema financiero, uno de mediano plazo asociado a las tasas activas y pasivas, y uno asociado a la volatilidad del mercado financiero.</w:t>
      </w:r>
    </w:p>
    <w:p w14:paraId="088D2B7A" w14:textId="77777777" w:rsidR="00F35F8F" w:rsidRPr="00524E67" w:rsidRDefault="00000000">
      <w:pPr>
        <w:spacing w:after="160" w:line="276" w:lineRule="auto"/>
        <w:jc w:val="both"/>
        <w:rPr>
          <w:color w:val="000000" w:themeColor="text1"/>
        </w:rPr>
      </w:pPr>
      <w:proofErr w:type="spellStart"/>
      <w:r w:rsidRPr="00524E67">
        <w:rPr>
          <w:color w:val="000000" w:themeColor="text1"/>
        </w:rPr>
        <w:t>Camiz</w:t>
      </w:r>
      <w:proofErr w:type="spellEnd"/>
      <w:r w:rsidRPr="00524E67">
        <w:rPr>
          <w:color w:val="000000" w:themeColor="text1"/>
        </w:rPr>
        <w:t xml:space="preserve">, Cerda Hernández y Atoche Murrieta (2026) retoman y profundizan este estudio, aplicando PCA, HFC y EPCA sobre 17 indicadores mensuales del BCRP (enero de 1999 a noviembre/diciembre de 2020). Tras excluir dos series de comportamiento errático (tipo de cambio interbancario y apalancamiento global bancario), identifican mediante HFC tres grupos homogéneos —salud económica y financiera, tasas de interés, y riesgo de mercado financiero—, consistentes con Atoche Murrieta (2022), y aplican EPCA con ventana móvil gaussiana de 48 meses, empleando el criterio de </w:t>
      </w:r>
      <w:proofErr w:type="spellStart"/>
      <w:r w:rsidRPr="00524E67">
        <w:rPr>
          <w:color w:val="000000" w:themeColor="text1"/>
        </w:rPr>
        <w:t>Calinski</w:t>
      </w:r>
      <w:proofErr w:type="spellEnd"/>
      <w:r w:rsidRPr="00524E67">
        <w:rPr>
          <w:color w:val="000000" w:themeColor="text1"/>
        </w:rPr>
        <w:t xml:space="preserve"> y </w:t>
      </w:r>
      <w:proofErr w:type="spellStart"/>
      <w:r w:rsidRPr="00524E67">
        <w:rPr>
          <w:color w:val="000000" w:themeColor="text1"/>
        </w:rPr>
        <w:t>Harabász</w:t>
      </w:r>
      <w:proofErr w:type="spellEnd"/>
      <w:r w:rsidRPr="00524E67">
        <w:rPr>
          <w:color w:val="000000" w:themeColor="text1"/>
        </w:rPr>
        <w:t xml:space="preserve"> (1974) para seleccionar el número de períodos de estabilidad estructural.</w:t>
      </w:r>
    </w:p>
    <w:p w14:paraId="2AC9939B" w14:textId="77777777" w:rsidR="00F35F8F" w:rsidRPr="00524E67" w:rsidRDefault="00000000">
      <w:pPr>
        <w:spacing w:after="160" w:line="276" w:lineRule="auto"/>
        <w:jc w:val="both"/>
        <w:rPr>
          <w:color w:val="000000" w:themeColor="text1"/>
        </w:rPr>
      </w:pPr>
      <w:r w:rsidRPr="00524E67">
        <w:rPr>
          <w:color w:val="000000" w:themeColor="text1"/>
        </w:rPr>
        <w:lastRenderedPageBreak/>
        <w:t>Ambos trabajos comparten con la presente tesis el país, la fuente de datos (BCRP) y el núcleo metodológico (PCA-HFC-EPCA); constituyen el antecedente más directo y exigen una definición explícita del aporte diferencial de esta investigación, desarrollada en la sección 2.4.</w:t>
      </w:r>
    </w:p>
    <w:p w14:paraId="12306233" w14:textId="77777777" w:rsidR="00F35F8F" w:rsidRPr="00524E67" w:rsidRDefault="00000000">
      <w:pPr>
        <w:pStyle w:val="Ttulo2"/>
        <w:spacing w:before="220" w:after="140"/>
        <w:rPr>
          <w:color w:val="000000" w:themeColor="text1"/>
        </w:rPr>
      </w:pPr>
      <w:bookmarkStart w:id="5" w:name="_Toc236344265"/>
      <w:r w:rsidRPr="00524E67">
        <w:rPr>
          <w:b/>
          <w:bCs/>
          <w:color w:val="000000" w:themeColor="text1"/>
          <w:sz w:val="24"/>
          <w:szCs w:val="24"/>
        </w:rPr>
        <w:t>2.3 Aprendizaje profundo aplicado a la detección de regímenes financieros</w:t>
      </w:r>
      <w:bookmarkEnd w:id="5"/>
    </w:p>
    <w:p w14:paraId="6533FD8A" w14:textId="77777777" w:rsidR="00F35F8F" w:rsidRPr="00524E67" w:rsidRDefault="00000000">
      <w:pPr>
        <w:spacing w:after="160" w:line="276" w:lineRule="auto"/>
        <w:jc w:val="both"/>
        <w:rPr>
          <w:color w:val="000000" w:themeColor="text1"/>
        </w:rPr>
      </w:pPr>
      <w:r w:rsidRPr="00524E67">
        <w:rPr>
          <w:color w:val="000000" w:themeColor="text1"/>
        </w:rPr>
        <w:t>La arquitectura Long Short-</w:t>
      </w:r>
      <w:proofErr w:type="spellStart"/>
      <w:r w:rsidRPr="00524E67">
        <w:rPr>
          <w:color w:val="000000" w:themeColor="text1"/>
        </w:rPr>
        <w:t>Term</w:t>
      </w:r>
      <w:proofErr w:type="spellEnd"/>
      <w:r w:rsidRPr="00524E67">
        <w:rPr>
          <w:color w:val="000000" w:themeColor="text1"/>
        </w:rPr>
        <w:t xml:space="preserve"> </w:t>
      </w:r>
      <w:proofErr w:type="spellStart"/>
      <w:r w:rsidRPr="00524E67">
        <w:rPr>
          <w:color w:val="000000" w:themeColor="text1"/>
        </w:rPr>
        <w:t>Memory</w:t>
      </w:r>
      <w:proofErr w:type="spellEnd"/>
      <w:r w:rsidRPr="00524E67">
        <w:rPr>
          <w:color w:val="000000" w:themeColor="text1"/>
        </w:rPr>
        <w:t xml:space="preserve"> (LSTM), propuesta por </w:t>
      </w:r>
      <w:proofErr w:type="spellStart"/>
      <w:r w:rsidRPr="00524E67">
        <w:rPr>
          <w:color w:val="000000" w:themeColor="text1"/>
        </w:rPr>
        <w:t>Hochreiter</w:t>
      </w:r>
      <w:proofErr w:type="spellEnd"/>
      <w:r w:rsidRPr="00524E67">
        <w:rPr>
          <w:color w:val="000000" w:themeColor="text1"/>
        </w:rPr>
        <w:t xml:space="preserve"> y </w:t>
      </w:r>
      <w:proofErr w:type="spellStart"/>
      <w:r w:rsidRPr="00524E67">
        <w:rPr>
          <w:color w:val="000000" w:themeColor="text1"/>
        </w:rPr>
        <w:t>Schmidhuber</w:t>
      </w:r>
      <w:proofErr w:type="spellEnd"/>
      <w:r w:rsidRPr="00524E67">
        <w:rPr>
          <w:color w:val="000000" w:themeColor="text1"/>
        </w:rPr>
        <w:t xml:space="preserve"> (1997), resuelve el problema del gradiente que se desvanece o explota en redes recurrentes convencionales mediante un mecanismo de “carrusel de error constante” protegido por compuertas multiplicativas de entrada y salida, lo que permite aprender dependencias temporales de cientos o miles de pasos —capacidad no disponible en los métodos exploratorios clásicos de PCA/HFC/EPCA, esencialmente lineales y estáticos o semi-estáticos.</w:t>
      </w:r>
    </w:p>
    <w:p w14:paraId="16928E1F" w14:textId="77777777" w:rsidR="00F35F8F" w:rsidRPr="00524E67" w:rsidRDefault="00000000">
      <w:pPr>
        <w:spacing w:after="160" w:line="276" w:lineRule="auto"/>
        <w:jc w:val="both"/>
        <w:rPr>
          <w:color w:val="000000" w:themeColor="text1"/>
        </w:rPr>
      </w:pPr>
      <w:r w:rsidRPr="00524E67">
        <w:rPr>
          <w:color w:val="000000" w:themeColor="text1"/>
        </w:rPr>
        <w:t xml:space="preserve">Hinton y </w:t>
      </w:r>
      <w:proofErr w:type="spellStart"/>
      <w:r w:rsidRPr="00524E67">
        <w:rPr>
          <w:color w:val="000000" w:themeColor="text1"/>
        </w:rPr>
        <w:t>Salakhutdinov</w:t>
      </w:r>
      <w:proofErr w:type="spellEnd"/>
      <w:r w:rsidRPr="00524E67">
        <w:rPr>
          <w:color w:val="000000" w:themeColor="text1"/>
        </w:rPr>
        <w:t xml:space="preserve"> (2006) formalizan el uso de </w:t>
      </w:r>
      <w:proofErr w:type="spellStart"/>
      <w:r w:rsidRPr="00524E67">
        <w:rPr>
          <w:color w:val="000000" w:themeColor="text1"/>
        </w:rPr>
        <w:t>Autoencoders</w:t>
      </w:r>
      <w:proofErr w:type="spellEnd"/>
      <w:r w:rsidRPr="00524E67">
        <w:rPr>
          <w:color w:val="000000" w:themeColor="text1"/>
        </w:rPr>
        <w:t xml:space="preserve"> profundos, con preentrenamiento capa por capa mediante Máquinas de Boltzmann Restringidas, para la reducción de dimensionalidad no lineal, y muestran en datos de dígitos manuscritos, rostros y documentos de texto que estas arquitecturas superan al PCA en la calidad de la representación de baja dimensión, en particular cuando la estructura subyacente de los datos no es lineal.</w:t>
      </w:r>
    </w:p>
    <w:p w14:paraId="0F62FFD3" w14:textId="77777777" w:rsidR="00F35F8F" w:rsidRPr="00524E67" w:rsidRDefault="00000000">
      <w:pPr>
        <w:spacing w:after="160" w:line="276" w:lineRule="auto"/>
        <w:jc w:val="both"/>
        <w:rPr>
          <w:color w:val="000000" w:themeColor="text1"/>
        </w:rPr>
      </w:pPr>
      <w:proofErr w:type="spellStart"/>
      <w:r w:rsidRPr="00524E67">
        <w:rPr>
          <w:color w:val="000000" w:themeColor="text1"/>
        </w:rPr>
        <w:t>Tuhin</w:t>
      </w:r>
      <w:proofErr w:type="spellEnd"/>
      <w:r w:rsidRPr="00524E67">
        <w:rPr>
          <w:color w:val="000000" w:themeColor="text1"/>
        </w:rPr>
        <w:t xml:space="preserve">, </w:t>
      </w:r>
      <w:proofErr w:type="spellStart"/>
      <w:r w:rsidRPr="00524E67">
        <w:rPr>
          <w:color w:val="000000" w:themeColor="text1"/>
        </w:rPr>
        <w:t>Nobi</w:t>
      </w:r>
      <w:proofErr w:type="spellEnd"/>
      <w:r w:rsidRPr="00524E67">
        <w:rPr>
          <w:color w:val="000000" w:themeColor="text1"/>
        </w:rPr>
        <w:t xml:space="preserve">, </w:t>
      </w:r>
      <w:proofErr w:type="spellStart"/>
      <w:r w:rsidRPr="00524E67">
        <w:rPr>
          <w:color w:val="000000" w:themeColor="text1"/>
        </w:rPr>
        <w:t>Rakib</w:t>
      </w:r>
      <w:proofErr w:type="spellEnd"/>
      <w:r w:rsidRPr="00524E67">
        <w:rPr>
          <w:color w:val="000000" w:themeColor="text1"/>
        </w:rPr>
        <w:t xml:space="preserve"> y Lee (2025) entrenan un </w:t>
      </w:r>
      <w:proofErr w:type="spellStart"/>
      <w:r w:rsidRPr="00524E67">
        <w:rPr>
          <w:color w:val="000000" w:themeColor="text1"/>
        </w:rPr>
        <w:t>Autoencoder</w:t>
      </w:r>
      <w:proofErr w:type="spellEnd"/>
      <w:r w:rsidRPr="00524E67">
        <w:rPr>
          <w:color w:val="000000" w:themeColor="text1"/>
        </w:rPr>
        <w:t xml:space="preserve"> LSTM sobre retornos diarios de 375 acciones del S&amp;P 500 (2000-2022) y extraen de la capa densa central del modelo una matriz de influencia direccional entre series, con la cual construyen redes de umbral y calculan métricas topológicas (coeficiente de </w:t>
      </w:r>
      <w:proofErr w:type="spellStart"/>
      <w:r w:rsidRPr="00524E67">
        <w:rPr>
          <w:color w:val="000000" w:themeColor="text1"/>
        </w:rPr>
        <w:t>clustering</w:t>
      </w:r>
      <w:proofErr w:type="spellEnd"/>
      <w:r w:rsidRPr="00524E67">
        <w:rPr>
          <w:color w:val="000000" w:themeColor="text1"/>
        </w:rPr>
        <w:t>, entropía estructural, densidad de red, centralidad de alcance global). Estas métricas muestran patrones distintivos durante los períodos de crisis (burbuja punto-</w:t>
      </w:r>
      <w:proofErr w:type="spellStart"/>
      <w:r w:rsidRPr="00524E67">
        <w:rPr>
          <w:color w:val="000000" w:themeColor="text1"/>
        </w:rPr>
        <w:t>com</w:t>
      </w:r>
      <w:proofErr w:type="spellEnd"/>
      <w:r w:rsidRPr="00524E67">
        <w:rPr>
          <w:color w:val="000000" w:themeColor="text1"/>
        </w:rPr>
        <w:t xml:space="preserve"> de 2002, crisis financiera global de 2008, crisis de deuda soberana europea de 2011, caída global de 2015 y pandemia de COVID-19 de 2020), con mayor claridad que los métodos clásicos de construcción de redes (correlación de Pearson, información mutua, causalidad de </w:t>
      </w:r>
      <w:proofErr w:type="spellStart"/>
      <w:r w:rsidRPr="00524E67">
        <w:rPr>
          <w:color w:val="000000" w:themeColor="text1"/>
        </w:rPr>
        <w:t>Granger</w:t>
      </w:r>
      <w:proofErr w:type="spellEnd"/>
      <w:r w:rsidRPr="00524E67">
        <w:rPr>
          <w:color w:val="000000" w:themeColor="text1"/>
        </w:rPr>
        <w:t xml:space="preserve">, transferencia de entropía). Este procedimiento constituye un puente metodológico entre la salida de un </w:t>
      </w:r>
      <w:proofErr w:type="spellStart"/>
      <w:r w:rsidRPr="00524E67">
        <w:rPr>
          <w:color w:val="000000" w:themeColor="text1"/>
        </w:rPr>
        <w:t>Autoencoder</w:t>
      </w:r>
      <w:proofErr w:type="spellEnd"/>
      <w:r w:rsidRPr="00524E67">
        <w:rPr>
          <w:color w:val="000000" w:themeColor="text1"/>
        </w:rPr>
        <w:t>/LSTM y un indicador cuantitativo de régimen o crisis financiera, directamente adaptable al caso peruano.</w:t>
      </w:r>
    </w:p>
    <w:p w14:paraId="63FCFCD8" w14:textId="77777777" w:rsidR="00F35F8F" w:rsidRPr="00524E67" w:rsidRDefault="00000000">
      <w:pPr>
        <w:pStyle w:val="Ttulo2"/>
        <w:spacing w:before="220" w:after="140"/>
        <w:rPr>
          <w:color w:val="000000" w:themeColor="text1"/>
        </w:rPr>
      </w:pPr>
      <w:bookmarkStart w:id="6" w:name="_Toc236344266"/>
      <w:r w:rsidRPr="00524E67">
        <w:rPr>
          <w:b/>
          <w:bCs/>
          <w:color w:val="000000" w:themeColor="text1"/>
          <w:sz w:val="24"/>
          <w:szCs w:val="24"/>
        </w:rPr>
        <w:t>2.4 Vacíos identificados y aporte de la presente tesis</w:t>
      </w:r>
      <w:bookmarkEnd w:id="6"/>
    </w:p>
    <w:p w14:paraId="7B7CD756" w14:textId="77777777" w:rsidR="00F35F8F" w:rsidRPr="00524E67" w:rsidRDefault="00000000">
      <w:pPr>
        <w:spacing w:after="100" w:line="276" w:lineRule="auto"/>
        <w:jc w:val="both"/>
        <w:rPr>
          <w:color w:val="000000" w:themeColor="text1"/>
        </w:rPr>
      </w:pPr>
      <w:r w:rsidRPr="00524E67">
        <w:rPr>
          <w:color w:val="000000" w:themeColor="text1"/>
        </w:rPr>
        <w:t>De la revisión anterior se desprenden los siguientes vacíos metodológicos:</w:t>
      </w:r>
    </w:p>
    <w:p w14:paraId="7F5DFB85" w14:textId="77777777" w:rsidR="00F35F8F" w:rsidRPr="00524E67" w:rsidRDefault="00000000">
      <w:pPr>
        <w:pStyle w:val="Prrafodelista"/>
        <w:numPr>
          <w:ilvl w:val="0"/>
          <w:numId w:val="2"/>
        </w:numPr>
        <w:spacing w:after="100" w:line="276" w:lineRule="auto"/>
        <w:jc w:val="both"/>
        <w:rPr>
          <w:color w:val="000000" w:themeColor="text1"/>
        </w:rPr>
      </w:pPr>
      <w:r w:rsidRPr="00524E67">
        <w:rPr>
          <w:color w:val="000000" w:themeColor="text1"/>
        </w:rPr>
        <w:t>Ausencia de métodos de aprendizaje profundo (</w:t>
      </w:r>
      <w:proofErr w:type="spellStart"/>
      <w:r w:rsidRPr="00524E67">
        <w:rPr>
          <w:color w:val="000000" w:themeColor="text1"/>
        </w:rPr>
        <w:t>Autoencoders</w:t>
      </w:r>
      <w:proofErr w:type="spellEnd"/>
      <w:r w:rsidRPr="00524E67">
        <w:rPr>
          <w:color w:val="000000" w:themeColor="text1"/>
        </w:rPr>
        <w:t xml:space="preserve">, LSTM) en los antecedentes peruanos (Atoche Murrieta, 2022; </w:t>
      </w:r>
      <w:proofErr w:type="spellStart"/>
      <w:r w:rsidRPr="00524E67">
        <w:rPr>
          <w:color w:val="000000" w:themeColor="text1"/>
        </w:rPr>
        <w:t>Camiz</w:t>
      </w:r>
      <w:proofErr w:type="spellEnd"/>
      <w:r w:rsidRPr="00524E67">
        <w:rPr>
          <w:color w:val="000000" w:themeColor="text1"/>
        </w:rPr>
        <w:t xml:space="preserve"> et al., 2026), limitados al marco exploratorio clásico.</w:t>
      </w:r>
    </w:p>
    <w:p w14:paraId="53871221" w14:textId="77777777" w:rsidR="00F35F8F" w:rsidRPr="00524E67" w:rsidRDefault="00000000">
      <w:pPr>
        <w:pStyle w:val="Prrafodelista"/>
        <w:numPr>
          <w:ilvl w:val="0"/>
          <w:numId w:val="2"/>
        </w:numPr>
        <w:spacing w:after="100" w:line="276" w:lineRule="auto"/>
        <w:jc w:val="both"/>
        <w:rPr>
          <w:color w:val="000000" w:themeColor="text1"/>
        </w:rPr>
      </w:pPr>
      <w:r w:rsidRPr="00524E67">
        <w:rPr>
          <w:color w:val="000000" w:themeColor="text1"/>
        </w:rPr>
        <w:t>Ausencia de una “HFC evolutiva” (EHFC) formalmente unificada en la literatura metodológica revisada (</w:t>
      </w:r>
      <w:proofErr w:type="spellStart"/>
      <w:r w:rsidRPr="00524E67">
        <w:rPr>
          <w:color w:val="000000" w:themeColor="text1"/>
        </w:rPr>
        <w:t>Camiz</w:t>
      </w:r>
      <w:proofErr w:type="spellEnd"/>
      <w:r w:rsidRPr="00524E67">
        <w:rPr>
          <w:color w:val="000000" w:themeColor="text1"/>
        </w:rPr>
        <w:t xml:space="preserve"> &amp; Roig, 2011; </w:t>
      </w:r>
      <w:proofErr w:type="spellStart"/>
      <w:r w:rsidRPr="00524E67">
        <w:rPr>
          <w:color w:val="000000" w:themeColor="text1"/>
        </w:rPr>
        <w:t>Camiz</w:t>
      </w:r>
      <w:proofErr w:type="spellEnd"/>
      <w:r w:rsidRPr="00524E67">
        <w:rPr>
          <w:color w:val="000000" w:themeColor="text1"/>
        </w:rPr>
        <w:t xml:space="preserve"> et al., 2026): HFC y EPCA se aplican de forma secuencial, no fusionada.</w:t>
      </w:r>
    </w:p>
    <w:p w14:paraId="7FCF5CB8" w14:textId="77777777" w:rsidR="00F35F8F" w:rsidRPr="00524E67" w:rsidRDefault="00000000">
      <w:pPr>
        <w:pStyle w:val="Prrafodelista"/>
        <w:numPr>
          <w:ilvl w:val="0"/>
          <w:numId w:val="2"/>
        </w:numPr>
        <w:spacing w:after="100" w:line="276" w:lineRule="auto"/>
        <w:jc w:val="both"/>
        <w:rPr>
          <w:color w:val="000000" w:themeColor="text1"/>
        </w:rPr>
      </w:pPr>
      <w:r w:rsidRPr="00524E67">
        <w:rPr>
          <w:color w:val="000000" w:themeColor="text1"/>
        </w:rPr>
        <w:t>Ausencia de una clasificación explícita de fases o regímenes del ciclo financiero peruano (expansión, contracción, transición) validada contra episodios históricos conocidos; los antecedentes peruanos se limitan a interpretar tres indicadores de grupo por separado, sin fechar regímenes.</w:t>
      </w:r>
    </w:p>
    <w:p w14:paraId="5124EBCA" w14:textId="77777777" w:rsidR="00F35F8F" w:rsidRPr="00524E67" w:rsidRDefault="00000000">
      <w:pPr>
        <w:pStyle w:val="Prrafodelista"/>
        <w:numPr>
          <w:ilvl w:val="0"/>
          <w:numId w:val="2"/>
        </w:numPr>
        <w:spacing w:after="100" w:line="276" w:lineRule="auto"/>
        <w:jc w:val="both"/>
        <w:rPr>
          <w:color w:val="000000" w:themeColor="text1"/>
        </w:rPr>
      </w:pPr>
      <w:r w:rsidRPr="00524E67">
        <w:rPr>
          <w:color w:val="000000" w:themeColor="text1"/>
        </w:rPr>
        <w:lastRenderedPageBreak/>
        <w:t xml:space="preserve">Ventana temporal de datos limitada a 2020-2021 en ambos antecedentes peruanos, sin cobertura de la dinámica </w:t>
      </w:r>
      <w:proofErr w:type="gramStart"/>
      <w:r w:rsidRPr="00524E67">
        <w:rPr>
          <w:color w:val="000000" w:themeColor="text1"/>
        </w:rPr>
        <w:t>post-pandemia</w:t>
      </w:r>
      <w:proofErr w:type="gramEnd"/>
      <w:r w:rsidRPr="00524E67">
        <w:rPr>
          <w:color w:val="000000" w:themeColor="text1"/>
        </w:rPr>
        <w:t>.</w:t>
      </w:r>
    </w:p>
    <w:p w14:paraId="10768245" w14:textId="451E4279" w:rsidR="00F35F8F" w:rsidRPr="00524E67" w:rsidRDefault="00000000">
      <w:pPr>
        <w:spacing w:after="160" w:line="276" w:lineRule="auto"/>
        <w:jc w:val="both"/>
        <w:rPr>
          <w:color w:val="000000" w:themeColor="text1"/>
        </w:rPr>
      </w:pPr>
      <w:r w:rsidRPr="00524E67">
        <w:rPr>
          <w:color w:val="000000" w:themeColor="text1"/>
        </w:rPr>
        <w:t xml:space="preserve">Esta tesis toma como punto de partida metodológico validado el enfoque PCA→HFC→EPCA de Atoche Murrieta (2022) y </w:t>
      </w:r>
      <w:proofErr w:type="spellStart"/>
      <w:r w:rsidRPr="00524E67">
        <w:rPr>
          <w:color w:val="000000" w:themeColor="text1"/>
        </w:rPr>
        <w:t>Camiz</w:t>
      </w:r>
      <w:proofErr w:type="spellEnd"/>
      <w:r w:rsidRPr="00524E67">
        <w:rPr>
          <w:color w:val="000000" w:themeColor="text1"/>
        </w:rPr>
        <w:t xml:space="preserve"> et al. (2026), y lo extiende en tres direcciones: (1) incorporación de </w:t>
      </w:r>
      <w:proofErr w:type="spellStart"/>
      <w:r w:rsidRPr="00524E67">
        <w:rPr>
          <w:color w:val="000000" w:themeColor="text1"/>
        </w:rPr>
        <w:t>Autoencoders</w:t>
      </w:r>
      <w:proofErr w:type="spellEnd"/>
      <w:r w:rsidRPr="00524E67">
        <w:rPr>
          <w:color w:val="000000" w:themeColor="text1"/>
        </w:rPr>
        <w:t xml:space="preserve"> temporales y redes LSTM —siguiendo el precedente de </w:t>
      </w:r>
      <w:proofErr w:type="spellStart"/>
      <w:r w:rsidRPr="00524E67">
        <w:rPr>
          <w:color w:val="000000" w:themeColor="text1"/>
        </w:rPr>
        <w:t>Tuhin</w:t>
      </w:r>
      <w:proofErr w:type="spellEnd"/>
      <w:r w:rsidRPr="00524E67">
        <w:rPr>
          <w:color w:val="000000" w:themeColor="text1"/>
        </w:rPr>
        <w:t xml:space="preserve"> et al. (2025)— para construir representaciones latentes no lineales y derivar de ellas un indicador cuantitativo de régimen financiero; (2) formalización de una clasificación explícita de regímenes financieros peruanos, con criterios de validación contra episodios de crisis conocidos (2008, </w:t>
      </w:r>
      <w:proofErr w:type="spellStart"/>
      <w:r w:rsidRPr="00524E67">
        <w:rPr>
          <w:color w:val="000000" w:themeColor="text1"/>
        </w:rPr>
        <w:t>taper</w:t>
      </w:r>
      <w:proofErr w:type="spellEnd"/>
      <w:r w:rsidRPr="00524E67">
        <w:rPr>
          <w:color w:val="000000" w:themeColor="text1"/>
        </w:rPr>
        <w:t xml:space="preserve"> </w:t>
      </w:r>
      <w:proofErr w:type="spellStart"/>
      <w:r w:rsidRPr="00524E67">
        <w:rPr>
          <w:color w:val="000000" w:themeColor="text1"/>
        </w:rPr>
        <w:t>tantrum</w:t>
      </w:r>
      <w:proofErr w:type="spellEnd"/>
      <w:r w:rsidRPr="00524E67">
        <w:rPr>
          <w:color w:val="000000" w:themeColor="text1"/>
        </w:rPr>
        <w:t xml:space="preserve"> de 2013, COVID-19 de 2020); y (3) actualización del período de análisis con datos del BCRP más recientes, incorporando la dinámica post-pandemia. El aporte principal de la tesis se concentra en la extensión hacia aprendizaje profundo y en la formalización de la detección de régimen.</w:t>
      </w:r>
    </w:p>
    <w:p w14:paraId="2D705B66" w14:textId="34E8F5A6" w:rsidR="00F35F8F" w:rsidRPr="00524E67" w:rsidRDefault="00000000">
      <w:pPr>
        <w:spacing w:after="160" w:line="276" w:lineRule="auto"/>
        <w:jc w:val="both"/>
        <w:rPr>
          <w:color w:val="000000" w:themeColor="text1"/>
        </w:rPr>
      </w:pPr>
      <w:r w:rsidRPr="00524E67">
        <w:rPr>
          <w:color w:val="000000" w:themeColor="text1"/>
        </w:rPr>
        <w:t xml:space="preserve">Dentro del marco clásico (PCA-HFC-EPCA) el vacío real identificado es la ausencia de un criterio objetivo para la selección del ancho de ventana en EPCA. </w:t>
      </w:r>
      <w:proofErr w:type="spellStart"/>
      <w:r w:rsidRPr="00524E67">
        <w:rPr>
          <w:color w:val="000000" w:themeColor="text1"/>
        </w:rPr>
        <w:t>Camiz</w:t>
      </w:r>
      <w:proofErr w:type="spellEnd"/>
      <w:r w:rsidRPr="00524E67">
        <w:rPr>
          <w:color w:val="000000" w:themeColor="text1"/>
        </w:rPr>
        <w:t xml:space="preserve">, </w:t>
      </w:r>
      <w:proofErr w:type="spellStart"/>
      <w:r w:rsidRPr="00524E67">
        <w:rPr>
          <w:color w:val="000000" w:themeColor="text1"/>
        </w:rPr>
        <w:t>Maulucci</w:t>
      </w:r>
      <w:proofErr w:type="spellEnd"/>
      <w:r w:rsidRPr="00524E67">
        <w:rPr>
          <w:color w:val="000000" w:themeColor="text1"/>
        </w:rPr>
        <w:t xml:space="preserve"> y Roig (2010) señalan cualitativamente que ventanas de mayor amplitud reducen la sensibilidad del método al cambio estructural, sin ofrecer una regla de decisión; </w:t>
      </w:r>
      <w:proofErr w:type="spellStart"/>
      <w:r w:rsidRPr="00524E67">
        <w:rPr>
          <w:color w:val="000000" w:themeColor="text1"/>
        </w:rPr>
        <w:t>Camiz</w:t>
      </w:r>
      <w:proofErr w:type="spellEnd"/>
      <w:r w:rsidRPr="00524E67">
        <w:rPr>
          <w:color w:val="000000" w:themeColor="text1"/>
        </w:rPr>
        <w:t xml:space="preserve"> et al. (2026) fijan una ventana de 48 meses sin justificación empírica explícita. La formalización de dicho criterio es el aporte correspondiente a esta parte de la tesis, y se detalla en la sección 4.1.</w:t>
      </w:r>
    </w:p>
    <w:p w14:paraId="4A6F12B9" w14:textId="77777777" w:rsidR="00F35F8F" w:rsidRPr="00524E67" w:rsidRDefault="00000000">
      <w:pPr>
        <w:pStyle w:val="Ttulo1"/>
        <w:spacing w:before="320" w:after="200"/>
        <w:rPr>
          <w:color w:val="000000" w:themeColor="text1"/>
        </w:rPr>
      </w:pPr>
      <w:bookmarkStart w:id="7" w:name="_Toc236344267"/>
      <w:r w:rsidRPr="00524E67">
        <w:rPr>
          <w:b/>
          <w:bCs/>
          <w:color w:val="000000" w:themeColor="text1"/>
          <w:sz w:val="28"/>
          <w:szCs w:val="28"/>
        </w:rPr>
        <w:t>3. Justificación Técnica y Social</w:t>
      </w:r>
      <w:bookmarkEnd w:id="7"/>
    </w:p>
    <w:p w14:paraId="222E25AA" w14:textId="77777777" w:rsidR="00F35F8F" w:rsidRPr="00524E67" w:rsidRDefault="00000000">
      <w:pPr>
        <w:pStyle w:val="Ttulo2"/>
        <w:spacing w:before="220" w:after="140"/>
        <w:rPr>
          <w:color w:val="000000" w:themeColor="text1"/>
        </w:rPr>
      </w:pPr>
      <w:bookmarkStart w:id="8" w:name="_Toc236344268"/>
      <w:r w:rsidRPr="00524E67">
        <w:rPr>
          <w:b/>
          <w:bCs/>
          <w:color w:val="000000" w:themeColor="text1"/>
          <w:sz w:val="24"/>
          <w:szCs w:val="24"/>
        </w:rPr>
        <w:t>3.1 Justificación técnica y científica</w:t>
      </w:r>
      <w:bookmarkEnd w:id="8"/>
    </w:p>
    <w:p w14:paraId="5F67B828" w14:textId="77777777" w:rsidR="00F35F8F" w:rsidRPr="00524E67" w:rsidRDefault="00000000">
      <w:pPr>
        <w:spacing w:after="160" w:line="276" w:lineRule="auto"/>
        <w:jc w:val="both"/>
        <w:rPr>
          <w:color w:val="000000" w:themeColor="text1"/>
        </w:rPr>
      </w:pPr>
      <w:r w:rsidRPr="00524E67">
        <w:rPr>
          <w:color w:val="000000" w:themeColor="text1"/>
        </w:rPr>
        <w:t xml:space="preserve">Esta investigación aporta en dos frentes concretos. Primero, extiende el marco exploratorio multivariado clásico (PCA, HFC, EPCA) —ya validado para el caso peruano por Atoche Murrieta (2022) y </w:t>
      </w:r>
      <w:proofErr w:type="spellStart"/>
      <w:r w:rsidRPr="00524E67">
        <w:rPr>
          <w:color w:val="000000" w:themeColor="text1"/>
        </w:rPr>
        <w:t>Camiz</w:t>
      </w:r>
      <w:proofErr w:type="spellEnd"/>
      <w:r w:rsidRPr="00524E67">
        <w:rPr>
          <w:color w:val="000000" w:themeColor="text1"/>
        </w:rPr>
        <w:t xml:space="preserve"> et al. (2026)— mediante la incorporación de </w:t>
      </w:r>
      <w:proofErr w:type="spellStart"/>
      <w:r w:rsidRPr="00524E67">
        <w:rPr>
          <w:color w:val="000000" w:themeColor="text1"/>
        </w:rPr>
        <w:t>Autoencoders</w:t>
      </w:r>
      <w:proofErr w:type="spellEnd"/>
      <w:r w:rsidRPr="00524E67">
        <w:rPr>
          <w:color w:val="000000" w:themeColor="text1"/>
        </w:rPr>
        <w:t xml:space="preserve"> temporales y redes LSTM, siguiendo el precedente de </w:t>
      </w:r>
      <w:proofErr w:type="spellStart"/>
      <w:r w:rsidRPr="00524E67">
        <w:rPr>
          <w:color w:val="000000" w:themeColor="text1"/>
        </w:rPr>
        <w:t>Tuhin</w:t>
      </w:r>
      <w:proofErr w:type="spellEnd"/>
      <w:r w:rsidRPr="00524E67">
        <w:rPr>
          <w:color w:val="000000" w:themeColor="text1"/>
        </w:rPr>
        <w:t xml:space="preserve"> et al. (2025), quienes muestran que las métricas topológicas derivadas de un </w:t>
      </w:r>
      <w:proofErr w:type="spellStart"/>
      <w:r w:rsidRPr="00524E67">
        <w:rPr>
          <w:color w:val="000000" w:themeColor="text1"/>
        </w:rPr>
        <w:t>Autoencoder</w:t>
      </w:r>
      <w:proofErr w:type="spellEnd"/>
      <w:r w:rsidRPr="00524E67">
        <w:rPr>
          <w:color w:val="000000" w:themeColor="text1"/>
        </w:rPr>
        <w:t xml:space="preserve"> LSTM identifican crisis financieras con mayor claridad que los métodos clásicos de construcción de redes. Segundo, formaliza un procedimiento de detección explícita de regímenes del ciclo financiero peruano, validado contra episodios históricos conocidos, lo que supera la limitación de los antecedentes peruanos, restringidos a interpretar tres indicadores de grupo sin fechar transiciones de régimen.</w:t>
      </w:r>
    </w:p>
    <w:p w14:paraId="2910C8B9" w14:textId="77777777" w:rsidR="00F35F8F" w:rsidRPr="00524E67" w:rsidRDefault="00000000">
      <w:pPr>
        <w:spacing w:after="160" w:line="276" w:lineRule="auto"/>
        <w:jc w:val="both"/>
        <w:rPr>
          <w:color w:val="000000" w:themeColor="text1"/>
        </w:rPr>
      </w:pPr>
      <w:r w:rsidRPr="00524E67">
        <w:rPr>
          <w:color w:val="000000" w:themeColor="text1"/>
        </w:rPr>
        <w:t xml:space="preserve">Una consideración técnica identificada durante la revisión bibliográfica es la diferencia de escala entre los </w:t>
      </w:r>
      <w:proofErr w:type="spellStart"/>
      <w:r w:rsidRPr="00524E67">
        <w:rPr>
          <w:color w:val="000000" w:themeColor="text1"/>
        </w:rPr>
        <w:t>datasets</w:t>
      </w:r>
      <w:proofErr w:type="spellEnd"/>
      <w:r w:rsidRPr="00524E67">
        <w:rPr>
          <w:color w:val="000000" w:themeColor="text1"/>
        </w:rPr>
        <w:t xml:space="preserve"> de los antecedentes de aprendizaje profundo revisados (miles a cientos de miles de observaciones en </w:t>
      </w:r>
      <w:proofErr w:type="spellStart"/>
      <w:r w:rsidRPr="00524E67">
        <w:rPr>
          <w:color w:val="000000" w:themeColor="text1"/>
        </w:rPr>
        <w:t>Tuhin</w:t>
      </w:r>
      <w:proofErr w:type="spellEnd"/>
      <w:r w:rsidRPr="00524E67">
        <w:rPr>
          <w:color w:val="000000" w:themeColor="text1"/>
        </w:rPr>
        <w:t xml:space="preserve"> et al., 2025; Hinton &amp; </w:t>
      </w:r>
      <w:proofErr w:type="spellStart"/>
      <w:r w:rsidRPr="00524E67">
        <w:rPr>
          <w:color w:val="000000" w:themeColor="text1"/>
        </w:rPr>
        <w:t>Salakhutdinov</w:t>
      </w:r>
      <w:proofErr w:type="spellEnd"/>
      <w:r w:rsidRPr="00524E67">
        <w:rPr>
          <w:color w:val="000000" w:themeColor="text1"/>
        </w:rPr>
        <w:t xml:space="preserve">, 2006) y el </w:t>
      </w:r>
      <w:proofErr w:type="spellStart"/>
      <w:r w:rsidRPr="00524E67">
        <w:rPr>
          <w:color w:val="000000" w:themeColor="text1"/>
        </w:rPr>
        <w:t>dataset</w:t>
      </w:r>
      <w:proofErr w:type="spellEnd"/>
      <w:r w:rsidRPr="00524E67">
        <w:rPr>
          <w:color w:val="000000" w:themeColor="text1"/>
        </w:rPr>
        <w:t xml:space="preserve"> BCRP disponible para esta tesis (aproximadamente 263 observaciones mensuales, 15 a 17 variables). Esta diferencia de más de un orden de magnitud exige un diseño arquitectónico cuidadoso —arquitecturas simplificadas, regularización adecuada— para evitar el sobreajuste, y constituye en sí misma una contribución metodológica: documentar la adaptación de </w:t>
      </w:r>
      <w:proofErr w:type="spellStart"/>
      <w:r w:rsidRPr="00524E67">
        <w:rPr>
          <w:color w:val="000000" w:themeColor="text1"/>
        </w:rPr>
        <w:t>Autoencoders</w:t>
      </w:r>
      <w:proofErr w:type="spellEnd"/>
      <w:r w:rsidRPr="00524E67">
        <w:rPr>
          <w:color w:val="000000" w:themeColor="text1"/>
        </w:rPr>
        <w:t xml:space="preserve">/LSTM a contextos de datos </w:t>
      </w:r>
      <w:proofErr w:type="spellStart"/>
      <w:r w:rsidRPr="00524E67">
        <w:rPr>
          <w:color w:val="000000" w:themeColor="text1"/>
        </w:rPr>
        <w:t>macrofinancieros</w:t>
      </w:r>
      <w:proofErr w:type="spellEnd"/>
      <w:r w:rsidRPr="00524E67">
        <w:rPr>
          <w:color w:val="000000" w:themeColor="text1"/>
        </w:rPr>
        <w:t xml:space="preserve"> mensuales de países en desarrollo, típicamente más escasos que los </w:t>
      </w:r>
      <w:proofErr w:type="spellStart"/>
      <w:r w:rsidRPr="00524E67">
        <w:rPr>
          <w:color w:val="000000" w:themeColor="text1"/>
        </w:rPr>
        <w:t>datasets</w:t>
      </w:r>
      <w:proofErr w:type="spellEnd"/>
      <w:r w:rsidRPr="00524E67">
        <w:rPr>
          <w:color w:val="000000" w:themeColor="text1"/>
        </w:rPr>
        <w:t xml:space="preserve"> financieros de mercados desarrollados usados en la literatura revisada.</w:t>
      </w:r>
    </w:p>
    <w:p w14:paraId="03F13428" w14:textId="77777777" w:rsidR="00F35F8F" w:rsidRPr="00524E67" w:rsidRDefault="00000000">
      <w:pPr>
        <w:pStyle w:val="Ttulo2"/>
        <w:spacing w:before="220" w:after="140"/>
        <w:rPr>
          <w:color w:val="000000" w:themeColor="text1"/>
        </w:rPr>
      </w:pPr>
      <w:bookmarkStart w:id="9" w:name="_Toc236344269"/>
      <w:r w:rsidRPr="00524E67">
        <w:rPr>
          <w:b/>
          <w:bCs/>
          <w:color w:val="000000" w:themeColor="text1"/>
          <w:sz w:val="24"/>
          <w:szCs w:val="24"/>
        </w:rPr>
        <w:t>3.2 Justificación social y económica</w:t>
      </w:r>
      <w:bookmarkEnd w:id="9"/>
    </w:p>
    <w:p w14:paraId="576A98EE" w14:textId="7DCE54B4" w:rsidR="00F35F8F" w:rsidRPr="00524E67" w:rsidRDefault="00000000">
      <w:pPr>
        <w:spacing w:after="160" w:line="276" w:lineRule="auto"/>
        <w:jc w:val="both"/>
        <w:rPr>
          <w:color w:val="000000" w:themeColor="text1"/>
        </w:rPr>
      </w:pPr>
      <w:r w:rsidRPr="00524E67">
        <w:rPr>
          <w:color w:val="000000" w:themeColor="text1"/>
        </w:rPr>
        <w:t xml:space="preserve">La identificación oportuna de regímenes del ciclo financiero interesa directamente al Banco Central de Reserva del Perú y a otros hacedores de política económica, en la medida en </w:t>
      </w:r>
      <w:r w:rsidRPr="00524E67">
        <w:rPr>
          <w:color w:val="000000" w:themeColor="text1"/>
        </w:rPr>
        <w:lastRenderedPageBreak/>
        <w:t xml:space="preserve">que permite calibrar políticas </w:t>
      </w:r>
      <w:r w:rsidR="00524E67">
        <w:rPr>
          <w:color w:val="000000" w:themeColor="text1"/>
        </w:rPr>
        <w:t xml:space="preserve">económicas </w:t>
      </w:r>
      <w:proofErr w:type="spellStart"/>
      <w:r w:rsidRPr="00524E67">
        <w:rPr>
          <w:color w:val="000000" w:themeColor="text1"/>
        </w:rPr>
        <w:t>contracíclicas</w:t>
      </w:r>
      <w:proofErr w:type="spellEnd"/>
      <w:r w:rsidRPr="00524E67">
        <w:rPr>
          <w:color w:val="000000" w:themeColor="text1"/>
        </w:rPr>
        <w:t xml:space="preserve"> (por ejemplo, ajustes de capital bancario o límites al crecimiento del crédito) según la fase del ciclo financiero identificada. Un indicador de régimen validado empíricamente contra episodios de crisis conocidos podría constituir un insumo exploratorio adicional para los ejercicios de estabilidad financiera que realiza el BCRP.</w:t>
      </w:r>
    </w:p>
    <w:p w14:paraId="2F79B75B" w14:textId="77777777" w:rsidR="00F35F8F" w:rsidRPr="00524E67" w:rsidRDefault="00000000">
      <w:pPr>
        <w:spacing w:after="160" w:line="276" w:lineRule="auto"/>
        <w:jc w:val="both"/>
        <w:rPr>
          <w:color w:val="000000" w:themeColor="text1"/>
        </w:rPr>
      </w:pPr>
      <w:r w:rsidRPr="00524E67">
        <w:rPr>
          <w:color w:val="000000" w:themeColor="text1"/>
        </w:rPr>
        <w:t xml:space="preserve">Adicionalmente, esta investigación contribuye a una literatura de aprendizaje profundo aplicado a ciclos financieros hoy dominada por estudios sobre mercados desarrollados y de gran escala (Estados Unidos, mercados bursátiles globales), aportando evidencia empírica y metodológica específica para una economía emergente con características particulares: un sistema bancario concentrado en pocas entidades, un mercado de bonos poco profundo, y series </w:t>
      </w:r>
      <w:proofErr w:type="spellStart"/>
      <w:r w:rsidRPr="00524E67">
        <w:rPr>
          <w:color w:val="000000" w:themeColor="text1"/>
        </w:rPr>
        <w:t>macrofinancieras</w:t>
      </w:r>
      <w:proofErr w:type="spellEnd"/>
      <w:r w:rsidRPr="00524E67">
        <w:rPr>
          <w:color w:val="000000" w:themeColor="text1"/>
        </w:rPr>
        <w:t xml:space="preserve"> de menor longitud y frecuencia que las disponibles en mercados desarrollados.</w:t>
      </w:r>
    </w:p>
    <w:p w14:paraId="6B7BF02D" w14:textId="77777777" w:rsidR="00F35F8F" w:rsidRPr="00524E67" w:rsidRDefault="00000000">
      <w:pPr>
        <w:pStyle w:val="Ttulo1"/>
        <w:spacing w:before="320" w:after="200"/>
        <w:rPr>
          <w:color w:val="000000" w:themeColor="text1"/>
        </w:rPr>
      </w:pPr>
      <w:bookmarkStart w:id="10" w:name="_Toc236344270"/>
      <w:r w:rsidRPr="00524E67">
        <w:rPr>
          <w:b/>
          <w:bCs/>
          <w:color w:val="000000" w:themeColor="text1"/>
          <w:sz w:val="28"/>
          <w:szCs w:val="28"/>
        </w:rPr>
        <w:t>4. Plan de Tesis</w:t>
      </w:r>
      <w:bookmarkEnd w:id="10"/>
    </w:p>
    <w:p w14:paraId="0CB9F18D" w14:textId="77777777" w:rsidR="00F35F8F" w:rsidRPr="00524E67" w:rsidRDefault="00000000">
      <w:pPr>
        <w:pStyle w:val="Ttulo2"/>
        <w:spacing w:before="220" w:after="140"/>
        <w:rPr>
          <w:color w:val="000000" w:themeColor="text1"/>
        </w:rPr>
      </w:pPr>
      <w:bookmarkStart w:id="11" w:name="_Toc236344271"/>
      <w:r w:rsidRPr="00524E67">
        <w:rPr>
          <w:b/>
          <w:bCs/>
          <w:color w:val="000000" w:themeColor="text1"/>
          <w:sz w:val="24"/>
          <w:szCs w:val="24"/>
        </w:rPr>
        <w:t>4.1 Objetivos</w:t>
      </w:r>
      <w:bookmarkEnd w:id="11"/>
    </w:p>
    <w:p w14:paraId="547463CC" w14:textId="77777777" w:rsidR="00F35F8F" w:rsidRPr="00524E67" w:rsidRDefault="00000000">
      <w:pPr>
        <w:spacing w:after="140" w:line="276" w:lineRule="auto"/>
        <w:jc w:val="both"/>
        <w:rPr>
          <w:color w:val="000000" w:themeColor="text1"/>
        </w:rPr>
      </w:pPr>
      <w:r w:rsidRPr="00524E67">
        <w:rPr>
          <w:color w:val="000000" w:themeColor="text1"/>
        </w:rPr>
        <w:t xml:space="preserve">Objetivo general: formalizar y validar una metodología híbrida (PCA-HFC-EPCA extendida con </w:t>
      </w:r>
      <w:proofErr w:type="spellStart"/>
      <w:r w:rsidRPr="00524E67">
        <w:rPr>
          <w:color w:val="000000" w:themeColor="text1"/>
        </w:rPr>
        <w:t>Autoencoders</w:t>
      </w:r>
      <w:proofErr w:type="spellEnd"/>
      <w:r w:rsidRPr="00524E67">
        <w:rPr>
          <w:color w:val="000000" w:themeColor="text1"/>
        </w:rPr>
        <w:t xml:space="preserve"> temporales y redes LSTM) para la detección evolutiva de regímenes del ciclo financiero peruano, extendiendo el marco exploratorio ya aplicado por Atoche Murrieta (2022) y </w:t>
      </w:r>
      <w:proofErr w:type="spellStart"/>
      <w:r w:rsidRPr="00524E67">
        <w:rPr>
          <w:color w:val="000000" w:themeColor="text1"/>
        </w:rPr>
        <w:t>Camiz</w:t>
      </w:r>
      <w:proofErr w:type="spellEnd"/>
      <w:r w:rsidRPr="00524E67">
        <w:rPr>
          <w:color w:val="000000" w:themeColor="text1"/>
        </w:rPr>
        <w:t>, Cerda Hernández y Atoche Murrieta (2026).</w:t>
      </w:r>
    </w:p>
    <w:p w14:paraId="10255E15" w14:textId="77777777" w:rsidR="00F35F8F" w:rsidRPr="00524E67" w:rsidRDefault="00000000">
      <w:pPr>
        <w:spacing w:after="100" w:line="276" w:lineRule="auto"/>
        <w:jc w:val="both"/>
        <w:rPr>
          <w:color w:val="000000" w:themeColor="text1"/>
        </w:rPr>
      </w:pPr>
      <w:r w:rsidRPr="00524E67">
        <w:rPr>
          <w:color w:val="000000" w:themeColor="text1"/>
        </w:rPr>
        <w:t>Objetivos específicos —compromisos firmes:</w:t>
      </w:r>
    </w:p>
    <w:p w14:paraId="0496FE5C" w14:textId="77777777" w:rsidR="00F35F8F" w:rsidRPr="00524E67" w:rsidRDefault="00000000">
      <w:pPr>
        <w:pStyle w:val="Prrafodelista"/>
        <w:numPr>
          <w:ilvl w:val="0"/>
          <w:numId w:val="2"/>
        </w:numPr>
        <w:spacing w:after="100" w:line="276" w:lineRule="auto"/>
        <w:jc w:val="both"/>
        <w:rPr>
          <w:color w:val="000000" w:themeColor="text1"/>
        </w:rPr>
      </w:pPr>
      <w:r w:rsidRPr="00524E67">
        <w:rPr>
          <w:color w:val="000000" w:themeColor="text1"/>
        </w:rPr>
        <w:t>Sistematizar el estado del arte metodológico y empírico del ciclo financiero peruano y de las técnicas de reducción dimensional aplicables (en curso).</w:t>
      </w:r>
    </w:p>
    <w:p w14:paraId="2FA8C1C6" w14:textId="77777777" w:rsidR="00F35F8F" w:rsidRPr="00524E67" w:rsidRDefault="00000000">
      <w:pPr>
        <w:pStyle w:val="Prrafodelista"/>
        <w:numPr>
          <w:ilvl w:val="0"/>
          <w:numId w:val="2"/>
        </w:numPr>
        <w:spacing w:after="100" w:line="276" w:lineRule="auto"/>
        <w:jc w:val="both"/>
        <w:rPr>
          <w:color w:val="000000" w:themeColor="text1"/>
        </w:rPr>
      </w:pPr>
      <w:r w:rsidRPr="00524E67">
        <w:rPr>
          <w:color w:val="000000" w:themeColor="text1"/>
        </w:rPr>
        <w:t xml:space="preserve">Construir y validar el pipeline de extracción, carga y preprocesamiento de series </w:t>
      </w:r>
      <w:proofErr w:type="spellStart"/>
      <w:r w:rsidRPr="00524E67">
        <w:rPr>
          <w:color w:val="000000" w:themeColor="text1"/>
        </w:rPr>
        <w:t>macrofinancieras</w:t>
      </w:r>
      <w:proofErr w:type="spellEnd"/>
      <w:r w:rsidRPr="00524E67">
        <w:rPr>
          <w:color w:val="000000" w:themeColor="text1"/>
        </w:rPr>
        <w:t xml:space="preserve"> del BCRP (completado).</w:t>
      </w:r>
    </w:p>
    <w:p w14:paraId="781EA52A" w14:textId="77777777" w:rsidR="00F35F8F" w:rsidRPr="00524E67" w:rsidRDefault="00000000">
      <w:pPr>
        <w:pStyle w:val="Prrafodelista"/>
        <w:numPr>
          <w:ilvl w:val="0"/>
          <w:numId w:val="2"/>
        </w:numPr>
        <w:spacing w:after="100" w:line="276" w:lineRule="auto"/>
        <w:jc w:val="both"/>
        <w:rPr>
          <w:color w:val="000000" w:themeColor="text1"/>
        </w:rPr>
      </w:pPr>
      <w:r w:rsidRPr="00524E67">
        <w:rPr>
          <w:color w:val="000000" w:themeColor="text1"/>
        </w:rPr>
        <w:t xml:space="preserve">Aplicar PCA, HFC y EPCA sobre el </w:t>
      </w:r>
      <w:proofErr w:type="spellStart"/>
      <w:r w:rsidRPr="00524E67">
        <w:rPr>
          <w:color w:val="000000" w:themeColor="text1"/>
        </w:rPr>
        <w:t>dataset</w:t>
      </w:r>
      <w:proofErr w:type="spellEnd"/>
      <w:r w:rsidRPr="00524E67">
        <w:rPr>
          <w:color w:val="000000" w:themeColor="text1"/>
        </w:rPr>
        <w:t xml:space="preserve"> actualizado, contrastando los resultados con los de Atoche Murrieta (2022) y </w:t>
      </w:r>
      <w:proofErr w:type="spellStart"/>
      <w:r w:rsidRPr="00524E67">
        <w:rPr>
          <w:color w:val="000000" w:themeColor="text1"/>
        </w:rPr>
        <w:t>Camiz</w:t>
      </w:r>
      <w:proofErr w:type="spellEnd"/>
      <w:r w:rsidRPr="00524E67">
        <w:rPr>
          <w:color w:val="000000" w:themeColor="text1"/>
        </w:rPr>
        <w:t xml:space="preserve"> et al. (2026).</w:t>
      </w:r>
    </w:p>
    <w:p w14:paraId="4AB32D19" w14:textId="77777777" w:rsidR="00F35F8F" w:rsidRPr="00524E67" w:rsidRDefault="00000000">
      <w:pPr>
        <w:pStyle w:val="Prrafodelista"/>
        <w:numPr>
          <w:ilvl w:val="0"/>
          <w:numId w:val="2"/>
        </w:numPr>
        <w:spacing w:after="100" w:line="276" w:lineRule="auto"/>
        <w:jc w:val="both"/>
        <w:rPr>
          <w:color w:val="000000" w:themeColor="text1"/>
        </w:rPr>
      </w:pPr>
      <w:r w:rsidRPr="00524E67">
        <w:rPr>
          <w:color w:val="000000" w:themeColor="text1"/>
        </w:rPr>
        <w:t xml:space="preserve">Formalizar un criterio objetivo de selección del ancho de ventana en EPCA, mediante el coeficiente RV o la distancia de Procrustes entre las cargas factoriales de ventanas consecutivas, resolviendo la ausencia de dicho criterio en </w:t>
      </w:r>
      <w:proofErr w:type="spellStart"/>
      <w:r w:rsidRPr="00524E67">
        <w:rPr>
          <w:color w:val="000000" w:themeColor="text1"/>
        </w:rPr>
        <w:t>Camiz</w:t>
      </w:r>
      <w:proofErr w:type="spellEnd"/>
      <w:r w:rsidRPr="00524E67">
        <w:rPr>
          <w:color w:val="000000" w:themeColor="text1"/>
        </w:rPr>
        <w:t xml:space="preserve">, </w:t>
      </w:r>
      <w:proofErr w:type="spellStart"/>
      <w:r w:rsidRPr="00524E67">
        <w:rPr>
          <w:color w:val="000000" w:themeColor="text1"/>
        </w:rPr>
        <w:t>Maulucci</w:t>
      </w:r>
      <w:proofErr w:type="spellEnd"/>
      <w:r w:rsidRPr="00524E67">
        <w:rPr>
          <w:color w:val="000000" w:themeColor="text1"/>
        </w:rPr>
        <w:t xml:space="preserve"> y Roig (2010) y </w:t>
      </w:r>
      <w:proofErr w:type="spellStart"/>
      <w:r w:rsidRPr="00524E67">
        <w:rPr>
          <w:color w:val="000000" w:themeColor="text1"/>
        </w:rPr>
        <w:t>Camiz</w:t>
      </w:r>
      <w:proofErr w:type="spellEnd"/>
      <w:r w:rsidRPr="00524E67">
        <w:rPr>
          <w:color w:val="000000" w:themeColor="text1"/>
        </w:rPr>
        <w:t xml:space="preserve"> et al. (2026).</w:t>
      </w:r>
    </w:p>
    <w:p w14:paraId="56D6070D" w14:textId="77777777" w:rsidR="00F35F8F" w:rsidRPr="00524E67" w:rsidRDefault="00000000">
      <w:pPr>
        <w:pStyle w:val="Prrafodelista"/>
        <w:numPr>
          <w:ilvl w:val="0"/>
          <w:numId w:val="2"/>
        </w:numPr>
        <w:spacing w:after="100" w:line="276" w:lineRule="auto"/>
        <w:jc w:val="both"/>
        <w:rPr>
          <w:color w:val="000000" w:themeColor="text1"/>
        </w:rPr>
      </w:pPr>
      <w:r w:rsidRPr="00524E67">
        <w:rPr>
          <w:color w:val="000000" w:themeColor="text1"/>
        </w:rPr>
        <w:t xml:space="preserve">Validar la robustez de los agrupamientos obtenidos por HFC mediante </w:t>
      </w:r>
      <w:proofErr w:type="spellStart"/>
      <w:r w:rsidRPr="00524E67">
        <w:rPr>
          <w:color w:val="000000" w:themeColor="text1"/>
        </w:rPr>
        <w:t>bootstrap</w:t>
      </w:r>
      <w:proofErr w:type="spellEnd"/>
      <w:r w:rsidRPr="00524E67">
        <w:rPr>
          <w:color w:val="000000" w:themeColor="text1"/>
        </w:rPr>
        <w:t xml:space="preserve"> sobre observaciones y correlación </w:t>
      </w:r>
      <w:proofErr w:type="spellStart"/>
      <w:r w:rsidRPr="00524E67">
        <w:rPr>
          <w:color w:val="000000" w:themeColor="text1"/>
        </w:rPr>
        <w:t>cofenética</w:t>
      </w:r>
      <w:proofErr w:type="spellEnd"/>
      <w:r w:rsidRPr="00524E67">
        <w:rPr>
          <w:color w:val="000000" w:themeColor="text1"/>
        </w:rPr>
        <w:t xml:space="preserve"> entre el árbol jerárquico y la matriz de distancias original.</w:t>
      </w:r>
    </w:p>
    <w:p w14:paraId="6BD957EF" w14:textId="77777777" w:rsidR="00F35F8F" w:rsidRPr="00524E67" w:rsidRDefault="00000000">
      <w:pPr>
        <w:pStyle w:val="Prrafodelista"/>
        <w:numPr>
          <w:ilvl w:val="0"/>
          <w:numId w:val="2"/>
        </w:numPr>
        <w:spacing w:after="100" w:line="276" w:lineRule="auto"/>
        <w:jc w:val="both"/>
        <w:rPr>
          <w:color w:val="000000" w:themeColor="text1"/>
        </w:rPr>
      </w:pPr>
      <w:r w:rsidRPr="00524E67">
        <w:rPr>
          <w:color w:val="000000" w:themeColor="text1"/>
        </w:rPr>
        <w:t xml:space="preserve">Triangular el número de componentes retenidos en PCA mediante los criterios </w:t>
      </w:r>
      <w:proofErr w:type="spellStart"/>
      <w:r w:rsidRPr="00524E67">
        <w:rPr>
          <w:color w:val="000000" w:themeColor="text1"/>
        </w:rPr>
        <w:t>brokenstick</w:t>
      </w:r>
      <w:proofErr w:type="spellEnd"/>
      <w:r w:rsidRPr="00524E67">
        <w:rPr>
          <w:color w:val="000000" w:themeColor="text1"/>
        </w:rPr>
        <w:t xml:space="preserve">, </w:t>
      </w:r>
      <w:proofErr w:type="spellStart"/>
      <w:r w:rsidRPr="00524E67">
        <w:rPr>
          <w:color w:val="000000" w:themeColor="text1"/>
        </w:rPr>
        <w:t>Rencher</w:t>
      </w:r>
      <w:proofErr w:type="spellEnd"/>
      <w:r w:rsidRPr="00524E67">
        <w:rPr>
          <w:color w:val="000000" w:themeColor="text1"/>
        </w:rPr>
        <w:t xml:space="preserve"> y análisis paralelo de </w:t>
      </w:r>
      <w:proofErr w:type="spellStart"/>
      <w:r w:rsidRPr="00524E67">
        <w:rPr>
          <w:color w:val="000000" w:themeColor="text1"/>
        </w:rPr>
        <w:t>Horn</w:t>
      </w:r>
      <w:proofErr w:type="spellEnd"/>
      <w:r w:rsidRPr="00524E67">
        <w:rPr>
          <w:color w:val="000000" w:themeColor="text1"/>
        </w:rPr>
        <w:t xml:space="preserve"> (1965).</w:t>
      </w:r>
    </w:p>
    <w:p w14:paraId="0C0F6057" w14:textId="77777777" w:rsidR="00F35F8F" w:rsidRPr="00524E67" w:rsidRDefault="00000000">
      <w:pPr>
        <w:pStyle w:val="Prrafodelista"/>
        <w:numPr>
          <w:ilvl w:val="0"/>
          <w:numId w:val="2"/>
        </w:numPr>
        <w:spacing w:after="100" w:line="276" w:lineRule="auto"/>
        <w:jc w:val="both"/>
        <w:rPr>
          <w:color w:val="000000" w:themeColor="text1"/>
        </w:rPr>
      </w:pPr>
      <w:r w:rsidRPr="00524E67">
        <w:rPr>
          <w:color w:val="000000" w:themeColor="text1"/>
        </w:rPr>
        <w:t xml:space="preserve">Diseñar e implementar </w:t>
      </w:r>
      <w:proofErr w:type="spellStart"/>
      <w:r w:rsidRPr="00524E67">
        <w:rPr>
          <w:color w:val="000000" w:themeColor="text1"/>
        </w:rPr>
        <w:t>Autoencoders</w:t>
      </w:r>
      <w:proofErr w:type="spellEnd"/>
      <w:r w:rsidRPr="00524E67">
        <w:rPr>
          <w:color w:val="000000" w:themeColor="text1"/>
        </w:rPr>
        <w:t xml:space="preserve"> temporales y redes LSTM adaptados a la escala reducida de los datos </w:t>
      </w:r>
      <w:proofErr w:type="spellStart"/>
      <w:r w:rsidRPr="00524E67">
        <w:rPr>
          <w:color w:val="000000" w:themeColor="text1"/>
        </w:rPr>
        <w:t>macrofinancieros</w:t>
      </w:r>
      <w:proofErr w:type="spellEnd"/>
      <w:r w:rsidRPr="00524E67">
        <w:rPr>
          <w:color w:val="000000" w:themeColor="text1"/>
        </w:rPr>
        <w:t xml:space="preserve"> peruanos, incorporando pesos compartidos (</w:t>
      </w:r>
      <w:proofErr w:type="spellStart"/>
      <w:r w:rsidRPr="00524E67">
        <w:rPr>
          <w:color w:val="000000" w:themeColor="text1"/>
        </w:rPr>
        <w:t>tied</w:t>
      </w:r>
      <w:proofErr w:type="spellEnd"/>
      <w:r w:rsidRPr="00524E67">
        <w:rPr>
          <w:color w:val="000000" w:themeColor="text1"/>
        </w:rPr>
        <w:t xml:space="preserve"> </w:t>
      </w:r>
      <w:proofErr w:type="spellStart"/>
      <w:r w:rsidRPr="00524E67">
        <w:rPr>
          <w:color w:val="000000" w:themeColor="text1"/>
        </w:rPr>
        <w:t>weights</w:t>
      </w:r>
      <w:proofErr w:type="spellEnd"/>
      <w:r w:rsidRPr="00524E67">
        <w:rPr>
          <w:color w:val="000000" w:themeColor="text1"/>
        </w:rPr>
        <w:t xml:space="preserve">), preentrenamiento sobre datos financieros de mayor escala siguiendo a </w:t>
      </w:r>
      <w:proofErr w:type="spellStart"/>
      <w:r w:rsidRPr="00524E67">
        <w:rPr>
          <w:color w:val="000000" w:themeColor="text1"/>
        </w:rPr>
        <w:t>Tuhin</w:t>
      </w:r>
      <w:proofErr w:type="spellEnd"/>
      <w:r w:rsidRPr="00524E67">
        <w:rPr>
          <w:color w:val="000000" w:themeColor="text1"/>
        </w:rPr>
        <w:t xml:space="preserve"> et al. (2025), y validación cruzada por bloques temporales (</w:t>
      </w:r>
      <w:proofErr w:type="spellStart"/>
      <w:r w:rsidRPr="00524E67">
        <w:rPr>
          <w:color w:val="000000" w:themeColor="text1"/>
        </w:rPr>
        <w:t>walk</w:t>
      </w:r>
      <w:proofErr w:type="spellEnd"/>
      <w:r w:rsidRPr="00524E67">
        <w:rPr>
          <w:color w:val="000000" w:themeColor="text1"/>
        </w:rPr>
        <w:t>-forward).</w:t>
      </w:r>
    </w:p>
    <w:p w14:paraId="44EFAE77" w14:textId="77777777" w:rsidR="00F35F8F" w:rsidRPr="00524E67" w:rsidRDefault="00000000">
      <w:pPr>
        <w:pStyle w:val="Prrafodelista"/>
        <w:numPr>
          <w:ilvl w:val="0"/>
          <w:numId w:val="2"/>
        </w:numPr>
        <w:spacing w:after="100" w:line="276" w:lineRule="auto"/>
        <w:jc w:val="both"/>
        <w:rPr>
          <w:color w:val="000000" w:themeColor="text1"/>
        </w:rPr>
      </w:pPr>
      <w:r w:rsidRPr="00524E67">
        <w:rPr>
          <w:color w:val="000000" w:themeColor="text1"/>
        </w:rPr>
        <w:lastRenderedPageBreak/>
        <w:t xml:space="preserve">Cuantificar la incertidumbre de las representaciones latentes del </w:t>
      </w:r>
      <w:proofErr w:type="spellStart"/>
      <w:r w:rsidRPr="00524E67">
        <w:rPr>
          <w:color w:val="000000" w:themeColor="text1"/>
        </w:rPr>
        <w:t>Autoencoder</w:t>
      </w:r>
      <w:proofErr w:type="spellEnd"/>
      <w:r w:rsidRPr="00524E67">
        <w:rPr>
          <w:color w:val="000000" w:themeColor="text1"/>
        </w:rPr>
        <w:t xml:space="preserve"> mediante Monte Carlo </w:t>
      </w:r>
      <w:proofErr w:type="spellStart"/>
      <w:r w:rsidRPr="00524E67">
        <w:rPr>
          <w:color w:val="000000" w:themeColor="text1"/>
        </w:rPr>
        <w:t>Dropout</w:t>
      </w:r>
      <w:proofErr w:type="spellEnd"/>
      <w:r w:rsidRPr="00524E67">
        <w:rPr>
          <w:color w:val="000000" w:themeColor="text1"/>
        </w:rPr>
        <w:t>, reportando intervalos de error de reconstrucción y no solo su valor puntual.</w:t>
      </w:r>
    </w:p>
    <w:p w14:paraId="3A04E24C" w14:textId="77777777" w:rsidR="00F35F8F" w:rsidRPr="00524E67" w:rsidRDefault="00000000">
      <w:pPr>
        <w:pStyle w:val="Prrafodelista"/>
        <w:numPr>
          <w:ilvl w:val="0"/>
          <w:numId w:val="2"/>
        </w:numPr>
        <w:spacing w:after="100" w:line="276" w:lineRule="auto"/>
        <w:jc w:val="both"/>
        <w:rPr>
          <w:color w:val="000000" w:themeColor="text1"/>
        </w:rPr>
      </w:pPr>
      <w:r w:rsidRPr="00524E67">
        <w:rPr>
          <w:color w:val="000000" w:themeColor="text1"/>
        </w:rPr>
        <w:t xml:space="preserve">Formalizar un procedimiento de detección y datación explícita de regímenes financieros mediante el algoritmo de agrupamiento de Fisher (1958) sobre la serie del primer autovalor del EPCA, calibrando el umbral de transición contra episodios históricos conocidos (2008, </w:t>
      </w:r>
      <w:proofErr w:type="spellStart"/>
      <w:r w:rsidRPr="00524E67">
        <w:rPr>
          <w:color w:val="000000" w:themeColor="text1"/>
        </w:rPr>
        <w:t>taper</w:t>
      </w:r>
      <w:proofErr w:type="spellEnd"/>
      <w:r w:rsidRPr="00524E67">
        <w:rPr>
          <w:color w:val="000000" w:themeColor="text1"/>
        </w:rPr>
        <w:t xml:space="preserve"> </w:t>
      </w:r>
      <w:proofErr w:type="spellStart"/>
      <w:r w:rsidRPr="00524E67">
        <w:rPr>
          <w:color w:val="000000" w:themeColor="text1"/>
        </w:rPr>
        <w:t>tantrum</w:t>
      </w:r>
      <w:proofErr w:type="spellEnd"/>
      <w:r w:rsidRPr="00524E67">
        <w:rPr>
          <w:color w:val="000000" w:themeColor="text1"/>
        </w:rPr>
        <w:t xml:space="preserve"> de 2013, COVID-19 de 2020) y midiendo la tasa de coincidencia dentro de una ventana temporal razonable.</w:t>
      </w:r>
    </w:p>
    <w:p w14:paraId="686A59FE" w14:textId="77777777" w:rsidR="00F35F8F" w:rsidRPr="00524E67" w:rsidRDefault="00000000">
      <w:pPr>
        <w:pStyle w:val="Prrafodelista"/>
        <w:numPr>
          <w:ilvl w:val="0"/>
          <w:numId w:val="2"/>
        </w:numPr>
        <w:spacing w:after="100" w:line="276" w:lineRule="auto"/>
        <w:jc w:val="both"/>
        <w:rPr>
          <w:color w:val="000000" w:themeColor="text1"/>
        </w:rPr>
      </w:pPr>
      <w:r w:rsidRPr="00524E67">
        <w:rPr>
          <w:color w:val="000000" w:themeColor="text1"/>
        </w:rPr>
        <w:t>Comparar los métodos exploratorios clásicos y los modelos de aprendizaje profundo bajo los criterios de interpretabilidad, estabilidad temporal, capacidad descriptiva y robustez.</w:t>
      </w:r>
    </w:p>
    <w:p w14:paraId="530B640D" w14:textId="445A34C3" w:rsidR="00F35F8F" w:rsidRPr="00524E67" w:rsidRDefault="00000000">
      <w:pPr>
        <w:spacing w:after="100" w:line="276" w:lineRule="auto"/>
        <w:jc w:val="both"/>
        <w:rPr>
          <w:color w:val="000000" w:themeColor="text1"/>
        </w:rPr>
      </w:pPr>
      <w:r w:rsidRPr="00524E67">
        <w:rPr>
          <w:color w:val="000000" w:themeColor="text1"/>
        </w:rPr>
        <w:t>Objetivos exploratorios</w:t>
      </w:r>
      <w:r w:rsidR="00524E67">
        <w:rPr>
          <w:color w:val="000000" w:themeColor="text1"/>
        </w:rPr>
        <w:t xml:space="preserve"> </w:t>
      </w:r>
      <w:r w:rsidRPr="00524E67">
        <w:rPr>
          <w:color w:val="000000" w:themeColor="text1"/>
        </w:rPr>
        <w:t>condicionales, sujetos a validación metodológica adicional:</w:t>
      </w:r>
    </w:p>
    <w:p w14:paraId="770A2D72" w14:textId="77777777" w:rsidR="00F35F8F" w:rsidRPr="00524E67" w:rsidRDefault="00000000">
      <w:pPr>
        <w:pStyle w:val="Prrafodelista"/>
        <w:numPr>
          <w:ilvl w:val="0"/>
          <w:numId w:val="2"/>
        </w:numPr>
        <w:spacing w:after="100" w:line="276" w:lineRule="auto"/>
        <w:jc w:val="both"/>
        <w:rPr>
          <w:color w:val="000000" w:themeColor="text1"/>
        </w:rPr>
      </w:pPr>
      <w:r w:rsidRPr="00524E67">
        <w:rPr>
          <w:color w:val="000000" w:themeColor="text1"/>
        </w:rPr>
        <w:t>Evaluar la viabilidad de una formalización evolutiva conjunta de HFC (EHFC), aplicando la jerarquía completa dentro de cada ventana móvil, en lugar de la aplicación secuencial e independiente de HFC y EPCA presente en todos los antecedentes revisados.</w:t>
      </w:r>
    </w:p>
    <w:p w14:paraId="5C7E6FBD" w14:textId="77777777" w:rsidR="00F35F8F" w:rsidRPr="00524E67" w:rsidRDefault="00000000">
      <w:pPr>
        <w:pStyle w:val="Prrafodelista"/>
        <w:numPr>
          <w:ilvl w:val="0"/>
          <w:numId w:val="2"/>
        </w:numPr>
        <w:spacing w:after="100" w:line="276" w:lineRule="auto"/>
        <w:jc w:val="both"/>
        <w:rPr>
          <w:color w:val="000000" w:themeColor="text1"/>
        </w:rPr>
      </w:pPr>
      <w:r w:rsidRPr="00524E67">
        <w:rPr>
          <w:color w:val="000000" w:themeColor="text1"/>
        </w:rPr>
        <w:t xml:space="preserve">Explorar la aplicación de </w:t>
      </w:r>
      <w:proofErr w:type="spellStart"/>
      <w:r w:rsidRPr="00524E67">
        <w:rPr>
          <w:color w:val="000000" w:themeColor="text1"/>
        </w:rPr>
        <w:t>Statis</w:t>
      </w:r>
      <w:proofErr w:type="spellEnd"/>
      <w:r w:rsidRPr="00524E67">
        <w:rPr>
          <w:color w:val="000000" w:themeColor="text1"/>
        </w:rPr>
        <w:t xml:space="preserve"> dual (</w:t>
      </w:r>
      <w:proofErr w:type="spellStart"/>
      <w:r w:rsidRPr="00524E67">
        <w:rPr>
          <w:color w:val="000000" w:themeColor="text1"/>
        </w:rPr>
        <w:t>Camiz</w:t>
      </w:r>
      <w:proofErr w:type="spellEnd"/>
      <w:r w:rsidRPr="00524E67">
        <w:rPr>
          <w:color w:val="000000" w:themeColor="text1"/>
        </w:rPr>
        <w:t xml:space="preserve">, </w:t>
      </w:r>
      <w:proofErr w:type="spellStart"/>
      <w:r w:rsidRPr="00524E67">
        <w:rPr>
          <w:color w:val="000000" w:themeColor="text1"/>
        </w:rPr>
        <w:t>Maulucci</w:t>
      </w:r>
      <w:proofErr w:type="spellEnd"/>
      <w:r w:rsidRPr="00524E67">
        <w:rPr>
          <w:color w:val="000000" w:themeColor="text1"/>
        </w:rPr>
        <w:t xml:space="preserve"> &amp; Roig, 2010) como método independiente de detección de puntos de quiebre estructural, contrastando sus resultados con los de la alineación de ventanas EPCA.</w:t>
      </w:r>
    </w:p>
    <w:p w14:paraId="79919321" w14:textId="77777777" w:rsidR="00F35F8F" w:rsidRPr="00524E67" w:rsidRDefault="00000000">
      <w:pPr>
        <w:pStyle w:val="Prrafodelista"/>
        <w:numPr>
          <w:ilvl w:val="0"/>
          <w:numId w:val="2"/>
        </w:numPr>
        <w:spacing w:after="100" w:line="276" w:lineRule="auto"/>
        <w:jc w:val="both"/>
        <w:rPr>
          <w:color w:val="000000" w:themeColor="text1"/>
        </w:rPr>
      </w:pPr>
      <w:r w:rsidRPr="00524E67">
        <w:rPr>
          <w:color w:val="000000" w:themeColor="text1"/>
        </w:rPr>
        <w:t xml:space="preserve">Explorar la capacidad predictiva —no solo retrospectiva— del LSTM para anticipar transiciones de régimen, sujeta a validación </w:t>
      </w:r>
      <w:proofErr w:type="spellStart"/>
      <w:r w:rsidRPr="00524E67">
        <w:rPr>
          <w:color w:val="000000" w:themeColor="text1"/>
        </w:rPr>
        <w:t>out-of-sample</w:t>
      </w:r>
      <w:proofErr w:type="spellEnd"/>
      <w:r w:rsidRPr="00524E67">
        <w:rPr>
          <w:color w:val="000000" w:themeColor="text1"/>
        </w:rPr>
        <w:t xml:space="preserve"> estricta y a la documentación explícita de las limitaciones de poder estadístico dado el tamaño muestral (≈263 observaciones, un número reducido de transiciones de régimen identificables).</w:t>
      </w:r>
    </w:p>
    <w:p w14:paraId="60C64149" w14:textId="77777777" w:rsidR="00F35F8F" w:rsidRPr="00524E67" w:rsidRDefault="00000000">
      <w:pPr>
        <w:pStyle w:val="Ttulo2"/>
        <w:spacing w:before="220" w:after="140"/>
        <w:rPr>
          <w:color w:val="000000" w:themeColor="text1"/>
        </w:rPr>
      </w:pPr>
      <w:bookmarkStart w:id="12" w:name="_Toc236344272"/>
      <w:r w:rsidRPr="00524E67">
        <w:rPr>
          <w:b/>
          <w:bCs/>
          <w:color w:val="000000" w:themeColor="text1"/>
          <w:sz w:val="24"/>
          <w:szCs w:val="24"/>
        </w:rPr>
        <w:t>4.2 Cronograma actualizado</w:t>
      </w:r>
      <w:bookmarkEnd w:id="12"/>
    </w:p>
    <w:p w14:paraId="30C387BB" w14:textId="77777777" w:rsidR="00F35F8F" w:rsidRPr="00524E67" w:rsidRDefault="00000000">
      <w:pPr>
        <w:spacing w:after="200" w:line="276" w:lineRule="auto"/>
        <w:jc w:val="both"/>
        <w:rPr>
          <w:color w:val="000000" w:themeColor="text1"/>
        </w:rPr>
      </w:pPr>
      <w:r w:rsidRPr="00524E67">
        <w:rPr>
          <w:color w:val="000000" w:themeColor="text1"/>
        </w:rPr>
        <w:t>El siguiente cronograma actualiza el plan de trabajo original presentado en la Ficha de Inscripción de Tesis (15 de mayo de 2026, planificado para 10 meses), incorporando el avance logrado a la fecha del presente informe.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1500"/>
        <w:gridCol w:w="2900"/>
        <w:gridCol w:w="1500"/>
      </w:tblGrid>
      <w:tr w:rsidR="00524E67" w:rsidRPr="00524E67" w14:paraId="4B431CC2" w14:textId="77777777">
        <w:tblPrEx>
          <w:tblCellMar>
            <w:top w:w="0" w:type="dxa"/>
            <w:bottom w:w="0" w:type="dxa"/>
          </w:tblCellMar>
        </w:tblPrEx>
        <w:trPr>
          <w:tblHeader/>
        </w:trPr>
        <w:tc>
          <w:tcPr>
            <w:tcW w:w="3100" w:type="dxa"/>
            <w:shd w:val="clear" w:color="auto" w:fill="D9D9D9"/>
            <w:tcMar>
              <w:top w:w="80" w:type="dxa"/>
              <w:left w:w="100" w:type="dxa"/>
              <w:bottom w:w="80" w:type="dxa"/>
              <w:right w:w="100" w:type="dxa"/>
            </w:tcMar>
            <w:vAlign w:val="center"/>
          </w:tcPr>
          <w:p w14:paraId="583ACE39" w14:textId="77777777" w:rsidR="00F35F8F" w:rsidRPr="00524E67" w:rsidRDefault="00000000">
            <w:pPr>
              <w:rPr>
                <w:color w:val="000000" w:themeColor="text1"/>
              </w:rPr>
            </w:pPr>
            <w:r w:rsidRPr="00524E67">
              <w:rPr>
                <w:b/>
                <w:bCs/>
                <w:color w:val="000000" w:themeColor="text1"/>
                <w:sz w:val="18"/>
                <w:szCs w:val="18"/>
              </w:rPr>
              <w:t>Etapa</w:t>
            </w:r>
          </w:p>
        </w:tc>
        <w:tc>
          <w:tcPr>
            <w:tcW w:w="1500" w:type="dxa"/>
            <w:shd w:val="clear" w:color="auto" w:fill="D9D9D9"/>
            <w:tcMar>
              <w:top w:w="80" w:type="dxa"/>
              <w:left w:w="100" w:type="dxa"/>
              <w:bottom w:w="80" w:type="dxa"/>
              <w:right w:w="100" w:type="dxa"/>
            </w:tcMar>
            <w:vAlign w:val="center"/>
          </w:tcPr>
          <w:p w14:paraId="630650DF" w14:textId="77777777" w:rsidR="00F35F8F" w:rsidRPr="00524E67" w:rsidRDefault="00000000">
            <w:pPr>
              <w:jc w:val="center"/>
              <w:rPr>
                <w:color w:val="000000" w:themeColor="text1"/>
              </w:rPr>
            </w:pPr>
            <w:r w:rsidRPr="00524E67">
              <w:rPr>
                <w:b/>
                <w:bCs/>
                <w:color w:val="000000" w:themeColor="text1"/>
                <w:sz w:val="18"/>
                <w:szCs w:val="18"/>
              </w:rPr>
              <w:t>Periodo original</w:t>
            </w:r>
          </w:p>
        </w:tc>
        <w:tc>
          <w:tcPr>
            <w:tcW w:w="2900" w:type="dxa"/>
            <w:shd w:val="clear" w:color="auto" w:fill="D9D9D9"/>
            <w:tcMar>
              <w:top w:w="80" w:type="dxa"/>
              <w:left w:w="100" w:type="dxa"/>
              <w:bottom w:w="80" w:type="dxa"/>
              <w:right w:w="100" w:type="dxa"/>
            </w:tcMar>
            <w:vAlign w:val="center"/>
          </w:tcPr>
          <w:p w14:paraId="045977FF" w14:textId="77777777" w:rsidR="00F35F8F" w:rsidRPr="00524E67" w:rsidRDefault="00000000">
            <w:pPr>
              <w:rPr>
                <w:color w:val="000000" w:themeColor="text1"/>
              </w:rPr>
            </w:pPr>
            <w:r w:rsidRPr="00524E67">
              <w:rPr>
                <w:b/>
                <w:bCs/>
                <w:color w:val="000000" w:themeColor="text1"/>
                <w:sz w:val="18"/>
                <w:szCs w:val="18"/>
              </w:rPr>
              <w:t>Estado actual</w:t>
            </w:r>
          </w:p>
        </w:tc>
        <w:tc>
          <w:tcPr>
            <w:tcW w:w="1500" w:type="dxa"/>
            <w:shd w:val="clear" w:color="auto" w:fill="D9D9D9"/>
            <w:tcMar>
              <w:top w:w="80" w:type="dxa"/>
              <w:left w:w="100" w:type="dxa"/>
              <w:bottom w:w="80" w:type="dxa"/>
              <w:right w:w="100" w:type="dxa"/>
            </w:tcMar>
            <w:vAlign w:val="center"/>
          </w:tcPr>
          <w:p w14:paraId="775D2436" w14:textId="77777777" w:rsidR="00F35F8F" w:rsidRPr="00524E67" w:rsidRDefault="00000000">
            <w:pPr>
              <w:jc w:val="center"/>
              <w:rPr>
                <w:color w:val="000000" w:themeColor="text1"/>
              </w:rPr>
            </w:pPr>
            <w:r w:rsidRPr="00524E67">
              <w:rPr>
                <w:b/>
                <w:bCs/>
                <w:color w:val="000000" w:themeColor="text1"/>
                <w:sz w:val="18"/>
                <w:szCs w:val="18"/>
              </w:rPr>
              <w:t>Periodo ajustado</w:t>
            </w:r>
          </w:p>
        </w:tc>
      </w:tr>
      <w:tr w:rsidR="00524E67" w:rsidRPr="00524E67" w14:paraId="212B363A" w14:textId="77777777">
        <w:tblPrEx>
          <w:tblCellMar>
            <w:top w:w="0" w:type="dxa"/>
            <w:bottom w:w="0" w:type="dxa"/>
          </w:tblCellMar>
        </w:tblPrEx>
        <w:tc>
          <w:tcPr>
            <w:tcW w:w="3100" w:type="dxa"/>
            <w:tcMar>
              <w:top w:w="80" w:type="dxa"/>
              <w:left w:w="100" w:type="dxa"/>
              <w:bottom w:w="80" w:type="dxa"/>
              <w:right w:w="100" w:type="dxa"/>
            </w:tcMar>
            <w:vAlign w:val="center"/>
          </w:tcPr>
          <w:p w14:paraId="68B322F4" w14:textId="77777777" w:rsidR="00F35F8F" w:rsidRPr="00524E67" w:rsidRDefault="00000000">
            <w:pPr>
              <w:rPr>
                <w:color w:val="000000" w:themeColor="text1"/>
              </w:rPr>
            </w:pPr>
            <w:r w:rsidRPr="00524E67">
              <w:rPr>
                <w:color w:val="000000" w:themeColor="text1"/>
                <w:sz w:val="18"/>
                <w:szCs w:val="18"/>
              </w:rPr>
              <w:t>1. Revisión bibliográfica</w:t>
            </w:r>
          </w:p>
        </w:tc>
        <w:tc>
          <w:tcPr>
            <w:tcW w:w="1500" w:type="dxa"/>
            <w:tcMar>
              <w:top w:w="80" w:type="dxa"/>
              <w:left w:w="100" w:type="dxa"/>
              <w:bottom w:w="80" w:type="dxa"/>
              <w:right w:w="100" w:type="dxa"/>
            </w:tcMar>
            <w:vAlign w:val="center"/>
          </w:tcPr>
          <w:p w14:paraId="3B50DABC" w14:textId="77777777" w:rsidR="00F35F8F" w:rsidRPr="00524E67" w:rsidRDefault="00000000">
            <w:pPr>
              <w:jc w:val="center"/>
              <w:rPr>
                <w:color w:val="000000" w:themeColor="text1"/>
              </w:rPr>
            </w:pPr>
            <w:r w:rsidRPr="00524E67">
              <w:rPr>
                <w:color w:val="000000" w:themeColor="text1"/>
                <w:sz w:val="18"/>
                <w:szCs w:val="18"/>
              </w:rPr>
              <w:t>Meses 1-2</w:t>
            </w:r>
          </w:p>
        </w:tc>
        <w:tc>
          <w:tcPr>
            <w:tcW w:w="2900" w:type="dxa"/>
            <w:tcMar>
              <w:top w:w="80" w:type="dxa"/>
              <w:left w:w="100" w:type="dxa"/>
              <w:bottom w:w="80" w:type="dxa"/>
              <w:right w:w="100" w:type="dxa"/>
            </w:tcMar>
            <w:vAlign w:val="center"/>
          </w:tcPr>
          <w:p w14:paraId="27E42DF3" w14:textId="77777777" w:rsidR="00F35F8F" w:rsidRPr="00524E67" w:rsidRDefault="00000000">
            <w:pPr>
              <w:rPr>
                <w:color w:val="000000" w:themeColor="text1"/>
              </w:rPr>
            </w:pPr>
            <w:r w:rsidRPr="00524E67">
              <w:rPr>
                <w:color w:val="000000" w:themeColor="text1"/>
                <w:sz w:val="18"/>
                <w:szCs w:val="18"/>
              </w:rPr>
              <w:t xml:space="preserve">En curso — 8/15 referencias </w:t>
            </w:r>
            <w:proofErr w:type="spellStart"/>
            <w:r w:rsidRPr="00524E67">
              <w:rPr>
                <w:color w:val="000000" w:themeColor="text1"/>
                <w:sz w:val="18"/>
                <w:szCs w:val="18"/>
              </w:rPr>
              <w:t>core</w:t>
            </w:r>
            <w:proofErr w:type="spellEnd"/>
            <w:r w:rsidRPr="00524E67">
              <w:rPr>
                <w:color w:val="000000" w:themeColor="text1"/>
                <w:sz w:val="18"/>
                <w:szCs w:val="18"/>
              </w:rPr>
              <w:t xml:space="preserve"> con Ficha Estándar; 31 documentos adicionales clasificados por prioridad temática.</w:t>
            </w:r>
          </w:p>
        </w:tc>
        <w:tc>
          <w:tcPr>
            <w:tcW w:w="1500" w:type="dxa"/>
            <w:tcMar>
              <w:top w:w="80" w:type="dxa"/>
              <w:left w:w="100" w:type="dxa"/>
              <w:bottom w:w="80" w:type="dxa"/>
              <w:right w:w="100" w:type="dxa"/>
            </w:tcMar>
            <w:vAlign w:val="center"/>
          </w:tcPr>
          <w:p w14:paraId="77C379F9" w14:textId="77777777" w:rsidR="00F35F8F" w:rsidRPr="00524E67" w:rsidRDefault="00000000">
            <w:pPr>
              <w:jc w:val="center"/>
              <w:rPr>
                <w:color w:val="000000" w:themeColor="text1"/>
              </w:rPr>
            </w:pPr>
            <w:r w:rsidRPr="00524E67">
              <w:rPr>
                <w:color w:val="000000" w:themeColor="text1"/>
                <w:sz w:val="18"/>
                <w:szCs w:val="18"/>
              </w:rPr>
              <w:t>Meses 1-4</w:t>
            </w:r>
          </w:p>
        </w:tc>
      </w:tr>
      <w:tr w:rsidR="00524E67" w:rsidRPr="00524E67" w14:paraId="5FC88F1A" w14:textId="77777777">
        <w:tblPrEx>
          <w:tblCellMar>
            <w:top w:w="0" w:type="dxa"/>
            <w:bottom w:w="0" w:type="dxa"/>
          </w:tblCellMar>
        </w:tblPrEx>
        <w:tc>
          <w:tcPr>
            <w:tcW w:w="3100" w:type="dxa"/>
            <w:tcMar>
              <w:top w:w="80" w:type="dxa"/>
              <w:left w:w="100" w:type="dxa"/>
              <w:bottom w:w="80" w:type="dxa"/>
              <w:right w:w="100" w:type="dxa"/>
            </w:tcMar>
            <w:vAlign w:val="center"/>
          </w:tcPr>
          <w:p w14:paraId="11CC10C9" w14:textId="77777777" w:rsidR="00F35F8F" w:rsidRPr="00524E67" w:rsidRDefault="00000000">
            <w:pPr>
              <w:rPr>
                <w:color w:val="000000" w:themeColor="text1"/>
              </w:rPr>
            </w:pPr>
            <w:r w:rsidRPr="00524E67">
              <w:rPr>
                <w:color w:val="000000" w:themeColor="text1"/>
                <w:sz w:val="18"/>
                <w:szCs w:val="18"/>
              </w:rPr>
              <w:t>2. Plan de tesis</w:t>
            </w:r>
          </w:p>
        </w:tc>
        <w:tc>
          <w:tcPr>
            <w:tcW w:w="1500" w:type="dxa"/>
            <w:tcMar>
              <w:top w:w="80" w:type="dxa"/>
              <w:left w:w="100" w:type="dxa"/>
              <w:bottom w:w="80" w:type="dxa"/>
              <w:right w:w="100" w:type="dxa"/>
            </w:tcMar>
            <w:vAlign w:val="center"/>
          </w:tcPr>
          <w:p w14:paraId="5CACADF5" w14:textId="77777777" w:rsidR="00F35F8F" w:rsidRPr="00524E67" w:rsidRDefault="00000000">
            <w:pPr>
              <w:jc w:val="center"/>
              <w:rPr>
                <w:color w:val="000000" w:themeColor="text1"/>
              </w:rPr>
            </w:pPr>
            <w:r w:rsidRPr="00524E67">
              <w:rPr>
                <w:color w:val="000000" w:themeColor="text1"/>
                <w:sz w:val="18"/>
                <w:szCs w:val="18"/>
              </w:rPr>
              <w:t>Meses 2-3</w:t>
            </w:r>
          </w:p>
        </w:tc>
        <w:tc>
          <w:tcPr>
            <w:tcW w:w="2900" w:type="dxa"/>
            <w:tcMar>
              <w:top w:w="80" w:type="dxa"/>
              <w:left w:w="100" w:type="dxa"/>
              <w:bottom w:w="80" w:type="dxa"/>
              <w:right w:w="100" w:type="dxa"/>
            </w:tcMar>
            <w:vAlign w:val="center"/>
          </w:tcPr>
          <w:p w14:paraId="679A8005" w14:textId="77777777" w:rsidR="00F35F8F" w:rsidRPr="00524E67" w:rsidRDefault="00000000">
            <w:pPr>
              <w:rPr>
                <w:color w:val="000000" w:themeColor="text1"/>
              </w:rPr>
            </w:pPr>
            <w:r w:rsidRPr="00524E67">
              <w:rPr>
                <w:color w:val="000000" w:themeColor="text1"/>
                <w:sz w:val="18"/>
                <w:szCs w:val="18"/>
              </w:rPr>
              <w:t>Completado — Ficha de Inscripción aprobada; presente informe corresponde a esta etapa.</w:t>
            </w:r>
          </w:p>
        </w:tc>
        <w:tc>
          <w:tcPr>
            <w:tcW w:w="1500" w:type="dxa"/>
            <w:tcMar>
              <w:top w:w="80" w:type="dxa"/>
              <w:left w:w="100" w:type="dxa"/>
              <w:bottom w:w="80" w:type="dxa"/>
              <w:right w:w="100" w:type="dxa"/>
            </w:tcMar>
            <w:vAlign w:val="center"/>
          </w:tcPr>
          <w:p w14:paraId="2D2E2EDD" w14:textId="77777777" w:rsidR="00F35F8F" w:rsidRPr="00524E67" w:rsidRDefault="00000000">
            <w:pPr>
              <w:jc w:val="center"/>
              <w:rPr>
                <w:color w:val="000000" w:themeColor="text1"/>
              </w:rPr>
            </w:pPr>
            <w:r w:rsidRPr="00524E67">
              <w:rPr>
                <w:color w:val="000000" w:themeColor="text1"/>
                <w:sz w:val="18"/>
                <w:szCs w:val="18"/>
              </w:rPr>
              <w:t>Meses 2-3</w:t>
            </w:r>
          </w:p>
        </w:tc>
      </w:tr>
      <w:tr w:rsidR="00524E67" w:rsidRPr="00524E67" w14:paraId="4E64755D" w14:textId="77777777">
        <w:tblPrEx>
          <w:tblCellMar>
            <w:top w:w="0" w:type="dxa"/>
            <w:bottom w:w="0" w:type="dxa"/>
          </w:tblCellMar>
        </w:tblPrEx>
        <w:tc>
          <w:tcPr>
            <w:tcW w:w="3100" w:type="dxa"/>
            <w:tcMar>
              <w:top w:w="80" w:type="dxa"/>
              <w:left w:w="100" w:type="dxa"/>
              <w:bottom w:w="80" w:type="dxa"/>
              <w:right w:w="100" w:type="dxa"/>
            </w:tcMar>
            <w:vAlign w:val="center"/>
          </w:tcPr>
          <w:p w14:paraId="2C26C8D7" w14:textId="77777777" w:rsidR="00F35F8F" w:rsidRPr="00524E67" w:rsidRDefault="00000000">
            <w:pPr>
              <w:rPr>
                <w:color w:val="000000" w:themeColor="text1"/>
              </w:rPr>
            </w:pPr>
            <w:r w:rsidRPr="00524E67">
              <w:rPr>
                <w:color w:val="000000" w:themeColor="text1"/>
                <w:sz w:val="18"/>
                <w:szCs w:val="18"/>
              </w:rPr>
              <w:t>3. Recolección y preprocesamiento de datos</w:t>
            </w:r>
          </w:p>
        </w:tc>
        <w:tc>
          <w:tcPr>
            <w:tcW w:w="1500" w:type="dxa"/>
            <w:tcMar>
              <w:top w:w="80" w:type="dxa"/>
              <w:left w:w="100" w:type="dxa"/>
              <w:bottom w:w="80" w:type="dxa"/>
              <w:right w:w="100" w:type="dxa"/>
            </w:tcMar>
            <w:vAlign w:val="center"/>
          </w:tcPr>
          <w:p w14:paraId="66F3A543" w14:textId="77777777" w:rsidR="00F35F8F" w:rsidRPr="00524E67" w:rsidRDefault="00000000">
            <w:pPr>
              <w:jc w:val="center"/>
              <w:rPr>
                <w:color w:val="000000" w:themeColor="text1"/>
              </w:rPr>
            </w:pPr>
            <w:r w:rsidRPr="00524E67">
              <w:rPr>
                <w:color w:val="000000" w:themeColor="text1"/>
                <w:sz w:val="18"/>
                <w:szCs w:val="18"/>
              </w:rPr>
              <w:t>Meses 3-4</w:t>
            </w:r>
          </w:p>
        </w:tc>
        <w:tc>
          <w:tcPr>
            <w:tcW w:w="2900" w:type="dxa"/>
            <w:tcMar>
              <w:top w:w="80" w:type="dxa"/>
              <w:left w:w="100" w:type="dxa"/>
              <w:bottom w:w="80" w:type="dxa"/>
              <w:right w:w="100" w:type="dxa"/>
            </w:tcMar>
            <w:vAlign w:val="center"/>
          </w:tcPr>
          <w:p w14:paraId="2C17EE48" w14:textId="77777777" w:rsidR="00F35F8F" w:rsidRPr="00524E67" w:rsidRDefault="00000000">
            <w:pPr>
              <w:rPr>
                <w:color w:val="000000" w:themeColor="text1"/>
              </w:rPr>
            </w:pPr>
            <w:r w:rsidRPr="00524E67">
              <w:rPr>
                <w:color w:val="000000" w:themeColor="text1"/>
                <w:sz w:val="18"/>
                <w:szCs w:val="18"/>
              </w:rPr>
              <w:t xml:space="preserve">Completado — pipeline de 4 notebooks (extracción, carga/verificación, análisis exploratorio, preprocesamiento); </w:t>
            </w:r>
            <w:proofErr w:type="spellStart"/>
            <w:r w:rsidRPr="00524E67">
              <w:rPr>
                <w:color w:val="000000" w:themeColor="text1"/>
                <w:sz w:val="18"/>
                <w:szCs w:val="18"/>
              </w:rPr>
              <w:t>datasets</w:t>
            </w:r>
            <w:proofErr w:type="spellEnd"/>
            <w:r w:rsidRPr="00524E67">
              <w:rPr>
                <w:color w:val="000000" w:themeColor="text1"/>
                <w:sz w:val="18"/>
                <w:szCs w:val="18"/>
              </w:rPr>
              <w:t xml:space="preserve"> versionados.</w:t>
            </w:r>
          </w:p>
        </w:tc>
        <w:tc>
          <w:tcPr>
            <w:tcW w:w="1500" w:type="dxa"/>
            <w:tcMar>
              <w:top w:w="80" w:type="dxa"/>
              <w:left w:w="100" w:type="dxa"/>
              <w:bottom w:w="80" w:type="dxa"/>
              <w:right w:w="100" w:type="dxa"/>
            </w:tcMar>
            <w:vAlign w:val="center"/>
          </w:tcPr>
          <w:p w14:paraId="2D1D0C0F" w14:textId="77777777" w:rsidR="00F35F8F" w:rsidRPr="00524E67" w:rsidRDefault="00000000">
            <w:pPr>
              <w:jc w:val="center"/>
              <w:rPr>
                <w:color w:val="000000" w:themeColor="text1"/>
              </w:rPr>
            </w:pPr>
            <w:r w:rsidRPr="00524E67">
              <w:rPr>
                <w:color w:val="000000" w:themeColor="text1"/>
                <w:sz w:val="18"/>
                <w:szCs w:val="18"/>
              </w:rPr>
              <w:t>Meses 3-4</w:t>
            </w:r>
          </w:p>
        </w:tc>
      </w:tr>
      <w:tr w:rsidR="00524E67" w:rsidRPr="00524E67" w14:paraId="0134054B" w14:textId="77777777">
        <w:tblPrEx>
          <w:tblCellMar>
            <w:top w:w="0" w:type="dxa"/>
            <w:bottom w:w="0" w:type="dxa"/>
          </w:tblCellMar>
        </w:tblPrEx>
        <w:tc>
          <w:tcPr>
            <w:tcW w:w="3100" w:type="dxa"/>
            <w:tcMar>
              <w:top w:w="80" w:type="dxa"/>
              <w:left w:w="100" w:type="dxa"/>
              <w:bottom w:w="80" w:type="dxa"/>
              <w:right w:w="100" w:type="dxa"/>
            </w:tcMar>
            <w:vAlign w:val="center"/>
          </w:tcPr>
          <w:p w14:paraId="7EF7496C" w14:textId="77777777" w:rsidR="00F35F8F" w:rsidRPr="00524E67" w:rsidRDefault="00000000">
            <w:pPr>
              <w:rPr>
                <w:color w:val="000000" w:themeColor="text1"/>
              </w:rPr>
            </w:pPr>
            <w:r w:rsidRPr="00524E67">
              <w:rPr>
                <w:color w:val="000000" w:themeColor="text1"/>
                <w:sz w:val="18"/>
                <w:szCs w:val="18"/>
              </w:rPr>
              <w:t>4. Análisis exploratorio multivariado</w:t>
            </w:r>
          </w:p>
        </w:tc>
        <w:tc>
          <w:tcPr>
            <w:tcW w:w="1500" w:type="dxa"/>
            <w:tcMar>
              <w:top w:w="80" w:type="dxa"/>
              <w:left w:w="100" w:type="dxa"/>
              <w:bottom w:w="80" w:type="dxa"/>
              <w:right w:w="100" w:type="dxa"/>
            </w:tcMar>
            <w:vAlign w:val="center"/>
          </w:tcPr>
          <w:p w14:paraId="6FC8AFDD" w14:textId="77777777" w:rsidR="00F35F8F" w:rsidRPr="00524E67" w:rsidRDefault="00000000">
            <w:pPr>
              <w:jc w:val="center"/>
              <w:rPr>
                <w:color w:val="000000" w:themeColor="text1"/>
              </w:rPr>
            </w:pPr>
            <w:r w:rsidRPr="00524E67">
              <w:rPr>
                <w:color w:val="000000" w:themeColor="text1"/>
                <w:sz w:val="18"/>
                <w:szCs w:val="18"/>
              </w:rPr>
              <w:t>Meses 4-5</w:t>
            </w:r>
          </w:p>
        </w:tc>
        <w:tc>
          <w:tcPr>
            <w:tcW w:w="2900" w:type="dxa"/>
            <w:tcMar>
              <w:top w:w="80" w:type="dxa"/>
              <w:left w:w="100" w:type="dxa"/>
              <w:bottom w:w="80" w:type="dxa"/>
              <w:right w:w="100" w:type="dxa"/>
            </w:tcMar>
            <w:vAlign w:val="center"/>
          </w:tcPr>
          <w:p w14:paraId="010FA641" w14:textId="77777777" w:rsidR="00F35F8F" w:rsidRPr="00524E67" w:rsidRDefault="00000000">
            <w:pPr>
              <w:rPr>
                <w:color w:val="000000" w:themeColor="text1"/>
              </w:rPr>
            </w:pPr>
            <w:r w:rsidRPr="00524E67">
              <w:rPr>
                <w:color w:val="000000" w:themeColor="text1"/>
                <w:sz w:val="18"/>
                <w:szCs w:val="18"/>
              </w:rPr>
              <w:t xml:space="preserve">Parcial — PCA estático completado; selección de </w:t>
            </w:r>
            <w:r w:rsidRPr="00524E67">
              <w:rPr>
                <w:color w:val="000000" w:themeColor="text1"/>
                <w:sz w:val="18"/>
                <w:szCs w:val="18"/>
              </w:rPr>
              <w:lastRenderedPageBreak/>
              <w:t>ventana EPCA en exploración; HFC pendiente de implementar sobre datos BCRP.</w:t>
            </w:r>
          </w:p>
        </w:tc>
        <w:tc>
          <w:tcPr>
            <w:tcW w:w="1500" w:type="dxa"/>
            <w:tcMar>
              <w:top w:w="80" w:type="dxa"/>
              <w:left w:w="100" w:type="dxa"/>
              <w:bottom w:w="80" w:type="dxa"/>
              <w:right w:w="100" w:type="dxa"/>
            </w:tcMar>
            <w:vAlign w:val="center"/>
          </w:tcPr>
          <w:p w14:paraId="5069AD8E" w14:textId="77777777" w:rsidR="00F35F8F" w:rsidRPr="00524E67" w:rsidRDefault="00000000">
            <w:pPr>
              <w:jc w:val="center"/>
              <w:rPr>
                <w:color w:val="000000" w:themeColor="text1"/>
              </w:rPr>
            </w:pPr>
            <w:r w:rsidRPr="00524E67">
              <w:rPr>
                <w:color w:val="000000" w:themeColor="text1"/>
                <w:sz w:val="18"/>
                <w:szCs w:val="18"/>
              </w:rPr>
              <w:lastRenderedPageBreak/>
              <w:t>Meses 4-6</w:t>
            </w:r>
          </w:p>
        </w:tc>
      </w:tr>
      <w:tr w:rsidR="00524E67" w:rsidRPr="00524E67" w14:paraId="699ABE13" w14:textId="77777777">
        <w:tblPrEx>
          <w:tblCellMar>
            <w:top w:w="0" w:type="dxa"/>
            <w:bottom w:w="0" w:type="dxa"/>
          </w:tblCellMar>
        </w:tblPrEx>
        <w:tc>
          <w:tcPr>
            <w:tcW w:w="3100" w:type="dxa"/>
            <w:tcMar>
              <w:top w:w="80" w:type="dxa"/>
              <w:left w:w="100" w:type="dxa"/>
              <w:bottom w:w="80" w:type="dxa"/>
              <w:right w:w="100" w:type="dxa"/>
            </w:tcMar>
            <w:vAlign w:val="center"/>
          </w:tcPr>
          <w:p w14:paraId="43BBD1FB" w14:textId="77777777" w:rsidR="00F35F8F" w:rsidRPr="00524E67" w:rsidRDefault="00000000">
            <w:pPr>
              <w:rPr>
                <w:color w:val="000000" w:themeColor="text1"/>
              </w:rPr>
            </w:pPr>
            <w:r w:rsidRPr="00524E67">
              <w:rPr>
                <w:color w:val="000000" w:themeColor="text1"/>
                <w:sz w:val="18"/>
                <w:szCs w:val="18"/>
              </w:rPr>
              <w:t>5. Modelamiento con aprendizaje automático</w:t>
            </w:r>
          </w:p>
        </w:tc>
        <w:tc>
          <w:tcPr>
            <w:tcW w:w="1500" w:type="dxa"/>
            <w:tcMar>
              <w:top w:w="80" w:type="dxa"/>
              <w:left w:w="100" w:type="dxa"/>
              <w:bottom w:w="80" w:type="dxa"/>
              <w:right w:w="100" w:type="dxa"/>
            </w:tcMar>
            <w:vAlign w:val="center"/>
          </w:tcPr>
          <w:p w14:paraId="17736BD2" w14:textId="77777777" w:rsidR="00F35F8F" w:rsidRPr="00524E67" w:rsidRDefault="00000000">
            <w:pPr>
              <w:jc w:val="center"/>
              <w:rPr>
                <w:color w:val="000000" w:themeColor="text1"/>
              </w:rPr>
            </w:pPr>
            <w:r w:rsidRPr="00524E67">
              <w:rPr>
                <w:color w:val="000000" w:themeColor="text1"/>
                <w:sz w:val="18"/>
                <w:szCs w:val="18"/>
              </w:rPr>
              <w:t>Meses 5-7</w:t>
            </w:r>
          </w:p>
        </w:tc>
        <w:tc>
          <w:tcPr>
            <w:tcW w:w="2900" w:type="dxa"/>
            <w:tcMar>
              <w:top w:w="80" w:type="dxa"/>
              <w:left w:w="100" w:type="dxa"/>
              <w:bottom w:w="80" w:type="dxa"/>
              <w:right w:w="100" w:type="dxa"/>
            </w:tcMar>
            <w:vAlign w:val="center"/>
          </w:tcPr>
          <w:p w14:paraId="41FC09DE" w14:textId="77777777" w:rsidR="00F35F8F" w:rsidRPr="00524E67" w:rsidRDefault="00000000">
            <w:pPr>
              <w:rPr>
                <w:color w:val="000000" w:themeColor="text1"/>
              </w:rPr>
            </w:pPr>
            <w:r w:rsidRPr="00524E67">
              <w:rPr>
                <w:color w:val="000000" w:themeColor="text1"/>
                <w:sz w:val="18"/>
                <w:szCs w:val="18"/>
              </w:rPr>
              <w:t xml:space="preserve">Pendiente — diseño de arquitectura </w:t>
            </w:r>
            <w:proofErr w:type="spellStart"/>
            <w:r w:rsidRPr="00524E67">
              <w:rPr>
                <w:color w:val="000000" w:themeColor="text1"/>
                <w:sz w:val="18"/>
                <w:szCs w:val="18"/>
              </w:rPr>
              <w:t>Autoencoder</w:t>
            </w:r>
            <w:proofErr w:type="spellEnd"/>
            <w:r w:rsidRPr="00524E67">
              <w:rPr>
                <w:color w:val="000000" w:themeColor="text1"/>
                <w:sz w:val="18"/>
                <w:szCs w:val="18"/>
              </w:rPr>
              <w:t>/LSTM adaptada a la escala reducida de datos BCRP (≈263 observaciones mensuales).</w:t>
            </w:r>
          </w:p>
        </w:tc>
        <w:tc>
          <w:tcPr>
            <w:tcW w:w="1500" w:type="dxa"/>
            <w:tcMar>
              <w:top w:w="80" w:type="dxa"/>
              <w:left w:w="100" w:type="dxa"/>
              <w:bottom w:w="80" w:type="dxa"/>
              <w:right w:w="100" w:type="dxa"/>
            </w:tcMar>
            <w:vAlign w:val="center"/>
          </w:tcPr>
          <w:p w14:paraId="7D13546C" w14:textId="77777777" w:rsidR="00F35F8F" w:rsidRPr="00524E67" w:rsidRDefault="00000000">
            <w:pPr>
              <w:jc w:val="center"/>
              <w:rPr>
                <w:color w:val="000000" w:themeColor="text1"/>
              </w:rPr>
            </w:pPr>
            <w:r w:rsidRPr="00524E67">
              <w:rPr>
                <w:color w:val="000000" w:themeColor="text1"/>
                <w:sz w:val="18"/>
                <w:szCs w:val="18"/>
              </w:rPr>
              <w:t>Meses 6-8</w:t>
            </w:r>
          </w:p>
        </w:tc>
      </w:tr>
      <w:tr w:rsidR="00524E67" w:rsidRPr="00524E67" w14:paraId="52D447C6" w14:textId="77777777">
        <w:tblPrEx>
          <w:tblCellMar>
            <w:top w:w="0" w:type="dxa"/>
            <w:bottom w:w="0" w:type="dxa"/>
          </w:tblCellMar>
        </w:tblPrEx>
        <w:tc>
          <w:tcPr>
            <w:tcW w:w="3100" w:type="dxa"/>
            <w:tcMar>
              <w:top w:w="80" w:type="dxa"/>
              <w:left w:w="100" w:type="dxa"/>
              <w:bottom w:w="80" w:type="dxa"/>
              <w:right w:w="100" w:type="dxa"/>
            </w:tcMar>
            <w:vAlign w:val="center"/>
          </w:tcPr>
          <w:p w14:paraId="707ACF11" w14:textId="77777777" w:rsidR="00F35F8F" w:rsidRPr="00524E67" w:rsidRDefault="00000000">
            <w:pPr>
              <w:rPr>
                <w:color w:val="000000" w:themeColor="text1"/>
              </w:rPr>
            </w:pPr>
            <w:r w:rsidRPr="00524E67">
              <w:rPr>
                <w:color w:val="000000" w:themeColor="text1"/>
                <w:sz w:val="18"/>
                <w:szCs w:val="18"/>
              </w:rPr>
              <w:t>6. Evaluación y validación</w:t>
            </w:r>
          </w:p>
        </w:tc>
        <w:tc>
          <w:tcPr>
            <w:tcW w:w="1500" w:type="dxa"/>
            <w:tcMar>
              <w:top w:w="80" w:type="dxa"/>
              <w:left w:w="100" w:type="dxa"/>
              <w:bottom w:w="80" w:type="dxa"/>
              <w:right w:w="100" w:type="dxa"/>
            </w:tcMar>
            <w:vAlign w:val="center"/>
          </w:tcPr>
          <w:p w14:paraId="3266BC28" w14:textId="77777777" w:rsidR="00F35F8F" w:rsidRPr="00524E67" w:rsidRDefault="00000000">
            <w:pPr>
              <w:jc w:val="center"/>
              <w:rPr>
                <w:color w:val="000000" w:themeColor="text1"/>
              </w:rPr>
            </w:pPr>
            <w:r w:rsidRPr="00524E67">
              <w:rPr>
                <w:color w:val="000000" w:themeColor="text1"/>
                <w:sz w:val="18"/>
                <w:szCs w:val="18"/>
              </w:rPr>
              <w:t>Meses 7-8</w:t>
            </w:r>
          </w:p>
        </w:tc>
        <w:tc>
          <w:tcPr>
            <w:tcW w:w="2900" w:type="dxa"/>
            <w:tcMar>
              <w:top w:w="80" w:type="dxa"/>
              <w:left w:w="100" w:type="dxa"/>
              <w:bottom w:w="80" w:type="dxa"/>
              <w:right w:w="100" w:type="dxa"/>
            </w:tcMar>
            <w:vAlign w:val="center"/>
          </w:tcPr>
          <w:p w14:paraId="2A4D2379" w14:textId="77777777" w:rsidR="00F35F8F" w:rsidRPr="00524E67" w:rsidRDefault="00000000">
            <w:pPr>
              <w:rPr>
                <w:color w:val="000000" w:themeColor="text1"/>
              </w:rPr>
            </w:pPr>
            <w:r w:rsidRPr="00524E67">
              <w:rPr>
                <w:color w:val="000000" w:themeColor="text1"/>
                <w:sz w:val="18"/>
                <w:szCs w:val="18"/>
              </w:rPr>
              <w:t>Pendiente — comparación bajo los cuatro criterios metodológicos; validación de regímenes contra episodios históricos.</w:t>
            </w:r>
          </w:p>
        </w:tc>
        <w:tc>
          <w:tcPr>
            <w:tcW w:w="1500" w:type="dxa"/>
            <w:tcMar>
              <w:top w:w="80" w:type="dxa"/>
              <w:left w:w="100" w:type="dxa"/>
              <w:bottom w:w="80" w:type="dxa"/>
              <w:right w:w="100" w:type="dxa"/>
            </w:tcMar>
            <w:vAlign w:val="center"/>
          </w:tcPr>
          <w:p w14:paraId="6C56A3BC" w14:textId="77777777" w:rsidR="00F35F8F" w:rsidRPr="00524E67" w:rsidRDefault="00000000">
            <w:pPr>
              <w:jc w:val="center"/>
              <w:rPr>
                <w:color w:val="000000" w:themeColor="text1"/>
              </w:rPr>
            </w:pPr>
            <w:r w:rsidRPr="00524E67">
              <w:rPr>
                <w:color w:val="000000" w:themeColor="text1"/>
                <w:sz w:val="18"/>
                <w:szCs w:val="18"/>
              </w:rPr>
              <w:t>Meses 8-9</w:t>
            </w:r>
          </w:p>
        </w:tc>
      </w:tr>
      <w:tr w:rsidR="00524E67" w:rsidRPr="00524E67" w14:paraId="08E2367F" w14:textId="77777777">
        <w:tblPrEx>
          <w:tblCellMar>
            <w:top w:w="0" w:type="dxa"/>
            <w:bottom w:w="0" w:type="dxa"/>
          </w:tblCellMar>
        </w:tblPrEx>
        <w:tc>
          <w:tcPr>
            <w:tcW w:w="3100" w:type="dxa"/>
            <w:tcMar>
              <w:top w:w="80" w:type="dxa"/>
              <w:left w:w="100" w:type="dxa"/>
              <w:bottom w:w="80" w:type="dxa"/>
              <w:right w:w="100" w:type="dxa"/>
            </w:tcMar>
            <w:vAlign w:val="center"/>
          </w:tcPr>
          <w:p w14:paraId="34D26719" w14:textId="77777777" w:rsidR="00F35F8F" w:rsidRPr="00524E67" w:rsidRDefault="00000000">
            <w:pPr>
              <w:rPr>
                <w:color w:val="000000" w:themeColor="text1"/>
              </w:rPr>
            </w:pPr>
            <w:r w:rsidRPr="00524E67">
              <w:rPr>
                <w:color w:val="000000" w:themeColor="text1"/>
                <w:sz w:val="18"/>
                <w:szCs w:val="18"/>
              </w:rPr>
              <w:t>7. Redacción y difusión científica</w:t>
            </w:r>
          </w:p>
        </w:tc>
        <w:tc>
          <w:tcPr>
            <w:tcW w:w="1500" w:type="dxa"/>
            <w:tcMar>
              <w:top w:w="80" w:type="dxa"/>
              <w:left w:w="100" w:type="dxa"/>
              <w:bottom w:w="80" w:type="dxa"/>
              <w:right w:w="100" w:type="dxa"/>
            </w:tcMar>
            <w:vAlign w:val="center"/>
          </w:tcPr>
          <w:p w14:paraId="06CA00B4" w14:textId="77777777" w:rsidR="00F35F8F" w:rsidRPr="00524E67" w:rsidRDefault="00000000">
            <w:pPr>
              <w:jc w:val="center"/>
              <w:rPr>
                <w:color w:val="000000" w:themeColor="text1"/>
              </w:rPr>
            </w:pPr>
            <w:r w:rsidRPr="00524E67">
              <w:rPr>
                <w:color w:val="000000" w:themeColor="text1"/>
                <w:sz w:val="18"/>
                <w:szCs w:val="18"/>
              </w:rPr>
              <w:t>Meses 8-10</w:t>
            </w:r>
          </w:p>
        </w:tc>
        <w:tc>
          <w:tcPr>
            <w:tcW w:w="2900" w:type="dxa"/>
            <w:tcMar>
              <w:top w:w="80" w:type="dxa"/>
              <w:left w:w="100" w:type="dxa"/>
              <w:bottom w:w="80" w:type="dxa"/>
              <w:right w:w="100" w:type="dxa"/>
            </w:tcMar>
            <w:vAlign w:val="center"/>
          </w:tcPr>
          <w:p w14:paraId="0E89ABF8" w14:textId="77777777" w:rsidR="00F35F8F" w:rsidRPr="00524E67" w:rsidRDefault="00000000">
            <w:pPr>
              <w:rPr>
                <w:color w:val="000000" w:themeColor="text1"/>
              </w:rPr>
            </w:pPr>
            <w:r w:rsidRPr="00524E67">
              <w:rPr>
                <w:color w:val="000000" w:themeColor="text1"/>
                <w:sz w:val="18"/>
                <w:szCs w:val="18"/>
              </w:rPr>
              <w:t>En curso — presente informe; redacción de Estado del Arte con aporte diferencial definido.</w:t>
            </w:r>
          </w:p>
        </w:tc>
        <w:tc>
          <w:tcPr>
            <w:tcW w:w="1500" w:type="dxa"/>
            <w:tcMar>
              <w:top w:w="80" w:type="dxa"/>
              <w:left w:w="100" w:type="dxa"/>
              <w:bottom w:w="80" w:type="dxa"/>
              <w:right w:w="100" w:type="dxa"/>
            </w:tcMar>
            <w:vAlign w:val="center"/>
          </w:tcPr>
          <w:p w14:paraId="529713DF" w14:textId="77777777" w:rsidR="00F35F8F" w:rsidRPr="00524E67" w:rsidRDefault="00000000">
            <w:pPr>
              <w:jc w:val="center"/>
              <w:rPr>
                <w:color w:val="000000" w:themeColor="text1"/>
              </w:rPr>
            </w:pPr>
            <w:r w:rsidRPr="00524E67">
              <w:rPr>
                <w:color w:val="000000" w:themeColor="text1"/>
                <w:sz w:val="18"/>
                <w:szCs w:val="18"/>
              </w:rPr>
              <w:t>Meses 9-10</w:t>
            </w:r>
          </w:p>
        </w:tc>
      </w:tr>
    </w:tbl>
    <w:p w14:paraId="69514980" w14:textId="77777777" w:rsidR="00F35F8F" w:rsidRPr="00524E67" w:rsidRDefault="00000000">
      <w:pPr>
        <w:spacing w:before="120" w:after="80"/>
        <w:jc w:val="center"/>
        <w:rPr>
          <w:color w:val="000000" w:themeColor="text1"/>
        </w:rPr>
      </w:pPr>
      <w:r w:rsidRPr="00524E67">
        <w:rPr>
          <w:noProof/>
          <w:color w:val="000000" w:themeColor="text1"/>
        </w:rPr>
        <w:drawing>
          <wp:inline distT="0" distB="0" distL="0" distR="0" wp14:anchorId="3721A2D1" wp14:editId="181872C0">
            <wp:extent cx="5677017" cy="2612390"/>
            <wp:effectExtent l="0" t="0" r="0" b="3810"/>
            <wp:docPr id="699314449" name="Imagen 699314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46035" cy="2644150"/>
                    </a:xfrm>
                    <a:prstGeom prst="rect">
                      <a:avLst/>
                    </a:prstGeom>
                  </pic:spPr>
                </pic:pic>
              </a:graphicData>
            </a:graphic>
          </wp:inline>
        </w:drawing>
      </w:r>
    </w:p>
    <w:p w14:paraId="6E7DA982" w14:textId="77777777" w:rsidR="00F35F8F" w:rsidRPr="00524E67" w:rsidRDefault="00000000">
      <w:pPr>
        <w:spacing w:after="240"/>
        <w:jc w:val="center"/>
        <w:rPr>
          <w:color w:val="000000" w:themeColor="text1"/>
        </w:rPr>
      </w:pPr>
      <w:r w:rsidRPr="00524E67">
        <w:rPr>
          <w:i/>
          <w:iCs/>
          <w:color w:val="000000" w:themeColor="text1"/>
          <w:sz w:val="18"/>
          <w:szCs w:val="18"/>
        </w:rPr>
        <w:t>Figura 2. Comparación entre el periodo original y el periodo ajustado por etapa, según estado de avance.</w:t>
      </w:r>
    </w:p>
    <w:p w14:paraId="65DCE3A6" w14:textId="77777777" w:rsidR="00F35F8F" w:rsidRPr="00524E67" w:rsidRDefault="00000000">
      <w:pPr>
        <w:pStyle w:val="Ttulo2"/>
        <w:spacing w:before="220" w:after="140"/>
        <w:rPr>
          <w:color w:val="000000" w:themeColor="text1"/>
        </w:rPr>
      </w:pPr>
      <w:bookmarkStart w:id="13" w:name="_Toc236344273"/>
      <w:r w:rsidRPr="00524E67">
        <w:rPr>
          <w:b/>
          <w:bCs/>
          <w:color w:val="000000" w:themeColor="text1"/>
          <w:sz w:val="24"/>
          <w:szCs w:val="24"/>
        </w:rPr>
        <w:t>4.3 Productos esperados</w:t>
      </w:r>
      <w:bookmarkEnd w:id="13"/>
    </w:p>
    <w:p w14:paraId="66164812" w14:textId="77777777" w:rsidR="00F35F8F" w:rsidRPr="00524E67" w:rsidRDefault="00000000">
      <w:pPr>
        <w:pStyle w:val="Prrafodelista"/>
        <w:numPr>
          <w:ilvl w:val="0"/>
          <w:numId w:val="2"/>
        </w:numPr>
        <w:spacing w:after="100" w:line="276" w:lineRule="auto"/>
        <w:jc w:val="both"/>
        <w:rPr>
          <w:color w:val="000000" w:themeColor="text1"/>
        </w:rPr>
      </w:pPr>
      <w:r w:rsidRPr="00524E67">
        <w:rPr>
          <w:color w:val="000000" w:themeColor="text1"/>
        </w:rPr>
        <w:t>Informe final de tesis (Seminario de Tesis I/II) con capítulos de Marco Teórico, Metodología, Resultados y Discusión.</w:t>
      </w:r>
    </w:p>
    <w:p w14:paraId="7FD7C289" w14:textId="77777777" w:rsidR="00F35F8F" w:rsidRPr="00524E67" w:rsidRDefault="00000000">
      <w:pPr>
        <w:pStyle w:val="Prrafodelista"/>
        <w:numPr>
          <w:ilvl w:val="0"/>
          <w:numId w:val="2"/>
        </w:numPr>
        <w:spacing w:after="100" w:line="276" w:lineRule="auto"/>
        <w:jc w:val="both"/>
        <w:rPr>
          <w:color w:val="000000" w:themeColor="text1"/>
        </w:rPr>
      </w:pPr>
      <w:r w:rsidRPr="00524E67">
        <w:rPr>
          <w:color w:val="000000" w:themeColor="text1"/>
        </w:rPr>
        <w:t xml:space="preserve">Sitio </w:t>
      </w:r>
      <w:proofErr w:type="spellStart"/>
      <w:r w:rsidRPr="00524E67">
        <w:rPr>
          <w:color w:val="000000" w:themeColor="text1"/>
        </w:rPr>
        <w:t>Quarto</w:t>
      </w:r>
      <w:proofErr w:type="spellEnd"/>
      <w:r w:rsidRPr="00524E67">
        <w:rPr>
          <w:color w:val="000000" w:themeColor="text1"/>
        </w:rPr>
        <w:t xml:space="preserve"> publicado en GitHub Pages con notebooks, fichas bibliográficas y resultados, actualizado durante el desarrollo de la tesis.</w:t>
      </w:r>
    </w:p>
    <w:p w14:paraId="134F0678" w14:textId="0A266125" w:rsidR="00F35F8F" w:rsidRPr="00524E67" w:rsidRDefault="00524E67">
      <w:pPr>
        <w:pStyle w:val="Prrafodelista"/>
        <w:numPr>
          <w:ilvl w:val="0"/>
          <w:numId w:val="2"/>
        </w:numPr>
        <w:spacing w:after="100" w:line="276" w:lineRule="auto"/>
        <w:jc w:val="both"/>
        <w:rPr>
          <w:color w:val="000000" w:themeColor="text1"/>
        </w:rPr>
      </w:pPr>
      <w:r>
        <w:rPr>
          <w:color w:val="000000" w:themeColor="text1"/>
        </w:rPr>
        <w:t>A</w:t>
      </w:r>
      <w:r w:rsidR="00000000" w:rsidRPr="00524E67">
        <w:rPr>
          <w:color w:val="000000" w:themeColor="text1"/>
        </w:rPr>
        <w:t>rtículo científico derivado de la tesis, en línea con la producción académica del grupo de investigación.</w:t>
      </w:r>
    </w:p>
    <w:p w14:paraId="59B7F771" w14:textId="77777777" w:rsidR="00F35F8F" w:rsidRPr="00524E67" w:rsidRDefault="00000000">
      <w:pPr>
        <w:rPr>
          <w:color w:val="000000" w:themeColor="text1"/>
        </w:rPr>
      </w:pPr>
      <w:r w:rsidRPr="00524E67">
        <w:rPr>
          <w:color w:val="000000" w:themeColor="text1"/>
        </w:rPr>
        <w:br w:type="page"/>
      </w:r>
    </w:p>
    <w:p w14:paraId="019C9FB1" w14:textId="77777777" w:rsidR="00F35F8F" w:rsidRPr="00524E67" w:rsidRDefault="00000000">
      <w:pPr>
        <w:pStyle w:val="Ttulo1"/>
        <w:spacing w:before="320" w:after="200"/>
        <w:rPr>
          <w:color w:val="000000" w:themeColor="text1"/>
        </w:rPr>
      </w:pPr>
      <w:bookmarkStart w:id="14" w:name="_Toc236344274"/>
      <w:r w:rsidRPr="00524E67">
        <w:rPr>
          <w:b/>
          <w:bCs/>
          <w:color w:val="000000" w:themeColor="text1"/>
          <w:sz w:val="28"/>
          <w:szCs w:val="28"/>
        </w:rPr>
        <w:lastRenderedPageBreak/>
        <w:t>5. Referencias Bibliográficas</w:t>
      </w:r>
      <w:bookmarkEnd w:id="14"/>
    </w:p>
    <w:p w14:paraId="70A70384" w14:textId="4F2FB0D9" w:rsidR="00F35F8F" w:rsidRPr="00524E67" w:rsidRDefault="00524E67">
      <w:pPr>
        <w:spacing w:after="240" w:line="276" w:lineRule="auto"/>
        <w:jc w:val="both"/>
        <w:rPr>
          <w:color w:val="000000" w:themeColor="text1"/>
        </w:rPr>
      </w:pPr>
      <w:r>
        <w:rPr>
          <w:color w:val="000000" w:themeColor="text1"/>
        </w:rPr>
        <w:t>Revisión bibliográfica preliminar con un avance del 80% de lo planificado, falta incluir literatura que se menciona en los siguientes puntos:</w:t>
      </w:r>
    </w:p>
    <w:p w14:paraId="523EE453" w14:textId="77777777" w:rsidR="00F35F8F" w:rsidRPr="00524E67" w:rsidRDefault="00000000">
      <w:pPr>
        <w:spacing w:after="160" w:line="276" w:lineRule="auto"/>
        <w:ind w:left="360" w:hanging="360"/>
        <w:jc w:val="both"/>
        <w:rPr>
          <w:color w:val="000000" w:themeColor="text1"/>
        </w:rPr>
      </w:pPr>
      <w:r w:rsidRPr="00524E67">
        <w:rPr>
          <w:color w:val="000000" w:themeColor="text1"/>
        </w:rPr>
        <w:t>Atoche Murrieta, L. K. (2022). Estimación del ciclo financiero utilizando métodos de análisis exploratorios: Aplicación a Perú en el periodo 2000-2021 [Tesis de maestría, Pontificia Universidad Católica del Perú].</w:t>
      </w:r>
    </w:p>
    <w:p w14:paraId="51CA35D1" w14:textId="77777777" w:rsidR="00F35F8F" w:rsidRPr="00524E67" w:rsidRDefault="00000000">
      <w:pPr>
        <w:spacing w:after="160" w:line="276" w:lineRule="auto"/>
        <w:ind w:left="360" w:hanging="360"/>
        <w:jc w:val="both"/>
        <w:rPr>
          <w:color w:val="000000" w:themeColor="text1"/>
        </w:rPr>
      </w:pPr>
      <w:proofErr w:type="spellStart"/>
      <w:r w:rsidRPr="00524E67">
        <w:rPr>
          <w:color w:val="000000" w:themeColor="text1"/>
        </w:rPr>
        <w:t>Camiz</w:t>
      </w:r>
      <w:proofErr w:type="spellEnd"/>
      <w:r w:rsidRPr="00524E67">
        <w:rPr>
          <w:color w:val="000000" w:themeColor="text1"/>
        </w:rPr>
        <w:t xml:space="preserve">, S., Cerda Hernández, J. J., &amp; Atoche Murrieta, L. K. (2026). </w:t>
      </w:r>
      <w:r w:rsidRPr="00524E67">
        <w:rPr>
          <w:color w:val="000000" w:themeColor="text1"/>
          <w:lang w:val="en-US"/>
        </w:rPr>
        <w:t xml:space="preserve">Exploratory procedure to identify financial cycle: An application to Peruvian data. </w:t>
      </w:r>
      <w:r w:rsidRPr="00524E67">
        <w:rPr>
          <w:color w:val="000000" w:themeColor="text1"/>
        </w:rPr>
        <w:t>Manuscrito no publicado.</w:t>
      </w:r>
    </w:p>
    <w:p w14:paraId="557F81D2" w14:textId="77777777" w:rsidR="00F35F8F" w:rsidRPr="00524E67" w:rsidRDefault="00000000">
      <w:pPr>
        <w:spacing w:after="160" w:line="276" w:lineRule="auto"/>
        <w:ind w:left="360" w:hanging="360"/>
        <w:jc w:val="both"/>
        <w:rPr>
          <w:color w:val="000000" w:themeColor="text1"/>
        </w:rPr>
      </w:pPr>
      <w:proofErr w:type="spellStart"/>
      <w:r w:rsidRPr="00524E67">
        <w:rPr>
          <w:color w:val="000000" w:themeColor="text1"/>
        </w:rPr>
        <w:t>Camiz</w:t>
      </w:r>
      <w:proofErr w:type="spellEnd"/>
      <w:r w:rsidRPr="00524E67">
        <w:rPr>
          <w:color w:val="000000" w:themeColor="text1"/>
        </w:rPr>
        <w:t xml:space="preserve">, S., </w:t>
      </w:r>
      <w:proofErr w:type="spellStart"/>
      <w:r w:rsidRPr="00524E67">
        <w:rPr>
          <w:color w:val="000000" w:themeColor="text1"/>
        </w:rPr>
        <w:t>Maulucci</w:t>
      </w:r>
      <w:proofErr w:type="spellEnd"/>
      <w:r w:rsidRPr="00524E67">
        <w:rPr>
          <w:color w:val="000000" w:themeColor="text1"/>
        </w:rPr>
        <w:t xml:space="preserve">, R., &amp; Roig, F. A. (2010). </w:t>
      </w:r>
      <w:r w:rsidRPr="00524E67">
        <w:rPr>
          <w:color w:val="000000" w:themeColor="text1"/>
          <w:lang w:val="en-US"/>
        </w:rPr>
        <w:t xml:space="preserve">Exploratory analysis methods applied to dendrochronological series. </w:t>
      </w:r>
      <w:r w:rsidRPr="00524E67">
        <w:rPr>
          <w:color w:val="000000" w:themeColor="text1"/>
        </w:rPr>
        <w:t>En O. Papú (Ed.), Actas E-ICES 5 (pp. 61–67). Comisión Nacional de Energía Atómica.</w:t>
      </w:r>
    </w:p>
    <w:p w14:paraId="17A4288A" w14:textId="77777777" w:rsidR="00F35F8F" w:rsidRPr="00524E67" w:rsidRDefault="00000000">
      <w:pPr>
        <w:spacing w:after="160" w:line="276" w:lineRule="auto"/>
        <w:ind w:left="360" w:hanging="360"/>
        <w:jc w:val="both"/>
        <w:rPr>
          <w:color w:val="000000" w:themeColor="text1"/>
        </w:rPr>
      </w:pPr>
      <w:proofErr w:type="spellStart"/>
      <w:r w:rsidRPr="00524E67">
        <w:rPr>
          <w:color w:val="000000" w:themeColor="text1"/>
        </w:rPr>
        <w:t>Camiz</w:t>
      </w:r>
      <w:proofErr w:type="spellEnd"/>
      <w:r w:rsidRPr="00524E67">
        <w:rPr>
          <w:color w:val="000000" w:themeColor="text1"/>
        </w:rPr>
        <w:t xml:space="preserve">, S., &amp; Roig, F. A. (2011). </w:t>
      </w:r>
      <w:r w:rsidRPr="00524E67">
        <w:rPr>
          <w:color w:val="000000" w:themeColor="text1"/>
          <w:lang w:val="en-US"/>
        </w:rPr>
        <w:t xml:space="preserve">Evolutionary analysis applied to tree-ring series. </w:t>
      </w:r>
      <w:r w:rsidRPr="00524E67">
        <w:rPr>
          <w:color w:val="000000" w:themeColor="text1"/>
        </w:rPr>
        <w:t>En Actas E-ICES 6 (pp. 30–37). Comisión Nacional de Energía Atómica.</w:t>
      </w:r>
    </w:p>
    <w:p w14:paraId="0FB3E20B" w14:textId="77777777" w:rsidR="00F35F8F" w:rsidRPr="00524E67" w:rsidRDefault="00000000">
      <w:pPr>
        <w:spacing w:after="160" w:line="276" w:lineRule="auto"/>
        <w:ind w:left="360" w:hanging="360"/>
        <w:jc w:val="both"/>
        <w:rPr>
          <w:color w:val="000000" w:themeColor="text1"/>
          <w:lang w:val="en-US"/>
        </w:rPr>
      </w:pPr>
      <w:proofErr w:type="spellStart"/>
      <w:r w:rsidRPr="00524E67">
        <w:rPr>
          <w:color w:val="000000" w:themeColor="text1"/>
        </w:rPr>
        <w:t>Camiz</w:t>
      </w:r>
      <w:proofErr w:type="spellEnd"/>
      <w:r w:rsidRPr="00524E67">
        <w:rPr>
          <w:color w:val="000000" w:themeColor="text1"/>
        </w:rPr>
        <w:t xml:space="preserve">, S., </w:t>
      </w:r>
      <w:proofErr w:type="spellStart"/>
      <w:r w:rsidRPr="00524E67">
        <w:rPr>
          <w:color w:val="000000" w:themeColor="text1"/>
        </w:rPr>
        <w:t>Spada</w:t>
      </w:r>
      <w:proofErr w:type="spellEnd"/>
      <w:r w:rsidRPr="00524E67">
        <w:rPr>
          <w:color w:val="000000" w:themeColor="text1"/>
        </w:rPr>
        <w:t xml:space="preserve">, F., </w:t>
      </w:r>
      <w:proofErr w:type="spellStart"/>
      <w:r w:rsidRPr="00524E67">
        <w:rPr>
          <w:color w:val="000000" w:themeColor="text1"/>
        </w:rPr>
        <w:t>Denimal</w:t>
      </w:r>
      <w:proofErr w:type="spellEnd"/>
      <w:r w:rsidRPr="00524E67">
        <w:rPr>
          <w:color w:val="000000" w:themeColor="text1"/>
        </w:rPr>
        <w:t xml:space="preserve">, J.-J., &amp; </w:t>
      </w:r>
      <w:proofErr w:type="spellStart"/>
      <w:r w:rsidRPr="00524E67">
        <w:rPr>
          <w:color w:val="000000" w:themeColor="text1"/>
        </w:rPr>
        <w:t>Piraino</w:t>
      </w:r>
      <w:proofErr w:type="spellEnd"/>
      <w:r w:rsidRPr="00524E67">
        <w:rPr>
          <w:color w:val="000000" w:themeColor="text1"/>
        </w:rPr>
        <w:t xml:space="preserve">, S. (2020). </w:t>
      </w:r>
      <w:r w:rsidRPr="00524E67">
        <w:rPr>
          <w:color w:val="000000" w:themeColor="text1"/>
          <w:lang w:val="en-US"/>
        </w:rPr>
        <w:t>Hierarchical factor classification of dendrochronological time-series. Annals of Silvicultural Research, 45(1), 62–75. https://doi.org/10.12899/asr-1968</w:t>
      </w:r>
    </w:p>
    <w:p w14:paraId="02F38469" w14:textId="77777777" w:rsidR="00F35F8F" w:rsidRPr="00524E67" w:rsidRDefault="00000000">
      <w:pPr>
        <w:spacing w:after="160" w:line="276" w:lineRule="auto"/>
        <w:ind w:left="360" w:hanging="360"/>
        <w:jc w:val="both"/>
        <w:rPr>
          <w:color w:val="000000" w:themeColor="text1"/>
          <w:lang w:val="en-US"/>
        </w:rPr>
      </w:pPr>
      <w:r w:rsidRPr="00524E67">
        <w:rPr>
          <w:color w:val="000000" w:themeColor="text1"/>
          <w:lang w:val="en-US"/>
        </w:rPr>
        <w:t xml:space="preserve">Drehmann, M., Borio, C., &amp; </w:t>
      </w:r>
      <w:proofErr w:type="spellStart"/>
      <w:r w:rsidRPr="00524E67">
        <w:rPr>
          <w:color w:val="000000" w:themeColor="text1"/>
          <w:lang w:val="en-US"/>
        </w:rPr>
        <w:t>Tsatsaronis</w:t>
      </w:r>
      <w:proofErr w:type="spellEnd"/>
      <w:r w:rsidRPr="00524E67">
        <w:rPr>
          <w:color w:val="000000" w:themeColor="text1"/>
          <w:lang w:val="en-US"/>
        </w:rPr>
        <w:t xml:space="preserve">, K. (2012). </w:t>
      </w:r>
      <w:proofErr w:type="spellStart"/>
      <w:r w:rsidRPr="00524E67">
        <w:rPr>
          <w:color w:val="000000" w:themeColor="text1"/>
          <w:lang w:val="en-US"/>
        </w:rPr>
        <w:t>Characterising</w:t>
      </w:r>
      <w:proofErr w:type="spellEnd"/>
      <w:r w:rsidRPr="00524E67">
        <w:rPr>
          <w:color w:val="000000" w:themeColor="text1"/>
          <w:lang w:val="en-US"/>
        </w:rPr>
        <w:t xml:space="preserve"> the financial cycle: Don’t lose sight of the medium term! (BIS Working Paper No. 380). Bank for International Settlements.</w:t>
      </w:r>
    </w:p>
    <w:p w14:paraId="532B5D66" w14:textId="77777777" w:rsidR="00F35F8F" w:rsidRPr="00524E67" w:rsidRDefault="00000000">
      <w:pPr>
        <w:spacing w:after="160" w:line="276" w:lineRule="auto"/>
        <w:ind w:left="360" w:hanging="360"/>
        <w:jc w:val="both"/>
        <w:rPr>
          <w:color w:val="000000" w:themeColor="text1"/>
          <w:lang w:val="en-US"/>
        </w:rPr>
      </w:pPr>
      <w:r w:rsidRPr="00524E67">
        <w:rPr>
          <w:color w:val="000000" w:themeColor="text1"/>
          <w:lang w:val="en-US"/>
        </w:rPr>
        <w:t xml:space="preserve">Hinton, G. E., &amp; </w:t>
      </w:r>
      <w:proofErr w:type="spellStart"/>
      <w:r w:rsidRPr="00524E67">
        <w:rPr>
          <w:color w:val="000000" w:themeColor="text1"/>
          <w:lang w:val="en-US"/>
        </w:rPr>
        <w:t>Salakhutdinov</w:t>
      </w:r>
      <w:proofErr w:type="spellEnd"/>
      <w:r w:rsidRPr="00524E67">
        <w:rPr>
          <w:color w:val="000000" w:themeColor="text1"/>
          <w:lang w:val="en-US"/>
        </w:rPr>
        <w:t>, R. R. (2006). Reducing the dimensionality of data with neural networks. Science, 313(5786), 504–507. https://doi.org/10.1126/science.1127647</w:t>
      </w:r>
    </w:p>
    <w:p w14:paraId="41AB072C" w14:textId="77777777" w:rsidR="00F35F8F" w:rsidRPr="00524E67" w:rsidRDefault="00000000">
      <w:pPr>
        <w:spacing w:after="160" w:line="276" w:lineRule="auto"/>
        <w:ind w:left="360" w:hanging="360"/>
        <w:jc w:val="both"/>
        <w:rPr>
          <w:color w:val="000000" w:themeColor="text1"/>
          <w:lang w:val="en-US"/>
        </w:rPr>
      </w:pPr>
      <w:r w:rsidRPr="00524E67">
        <w:rPr>
          <w:color w:val="000000" w:themeColor="text1"/>
          <w:lang w:val="en-US"/>
        </w:rPr>
        <w:t xml:space="preserve">Hochreiter, S., &amp; </w:t>
      </w:r>
      <w:proofErr w:type="spellStart"/>
      <w:r w:rsidRPr="00524E67">
        <w:rPr>
          <w:color w:val="000000" w:themeColor="text1"/>
          <w:lang w:val="en-US"/>
        </w:rPr>
        <w:t>Schmidhuber</w:t>
      </w:r>
      <w:proofErr w:type="spellEnd"/>
      <w:r w:rsidRPr="00524E67">
        <w:rPr>
          <w:color w:val="000000" w:themeColor="text1"/>
          <w:lang w:val="en-US"/>
        </w:rPr>
        <w:t>, J. (1997). Long short-term memory. Neural Computation, 9(8), 1735–1780. https://doi.org/10.1162/neco.1997.9.8.1735</w:t>
      </w:r>
    </w:p>
    <w:p w14:paraId="593EE9CA" w14:textId="77777777" w:rsidR="00F35F8F" w:rsidRPr="00524E67" w:rsidRDefault="00000000">
      <w:pPr>
        <w:spacing w:after="160" w:line="276" w:lineRule="auto"/>
        <w:ind w:left="360" w:hanging="360"/>
        <w:jc w:val="both"/>
        <w:rPr>
          <w:color w:val="000000" w:themeColor="text1"/>
          <w:lang w:val="en-US"/>
        </w:rPr>
      </w:pPr>
      <w:r w:rsidRPr="00524E67">
        <w:rPr>
          <w:color w:val="000000" w:themeColor="text1"/>
          <w:lang w:val="en-US"/>
        </w:rPr>
        <w:t>Tuhin, K. H., Nobi, A., Rakib, M. H., &amp; Lee, J. W. (2025). Long short-term memory autoencoder based network of financial indices. Humanities and Social Sciences Communications, 12, Article 100. https://doi.org/10.1057/s41599-025-04412-y</w:t>
      </w:r>
    </w:p>
    <w:p w14:paraId="3F80C550" w14:textId="77777777" w:rsidR="00F35F8F" w:rsidRPr="00524E67" w:rsidRDefault="00000000">
      <w:pPr>
        <w:rPr>
          <w:color w:val="000000" w:themeColor="text1"/>
        </w:rPr>
      </w:pPr>
      <w:r w:rsidRPr="00524E67">
        <w:rPr>
          <w:color w:val="000000" w:themeColor="text1"/>
        </w:rPr>
        <w:br w:type="page"/>
      </w:r>
    </w:p>
    <w:p w14:paraId="4A1E7038" w14:textId="77777777" w:rsidR="00F35F8F" w:rsidRPr="00524E67" w:rsidRDefault="00000000">
      <w:pPr>
        <w:pStyle w:val="Ttulo1"/>
        <w:spacing w:before="320" w:after="200"/>
        <w:rPr>
          <w:color w:val="000000" w:themeColor="text1"/>
        </w:rPr>
      </w:pPr>
      <w:bookmarkStart w:id="15" w:name="_Toc236344275"/>
      <w:r w:rsidRPr="00524E67">
        <w:rPr>
          <w:b/>
          <w:bCs/>
          <w:color w:val="000000" w:themeColor="text1"/>
          <w:sz w:val="28"/>
          <w:szCs w:val="28"/>
        </w:rPr>
        <w:lastRenderedPageBreak/>
        <w:t>6. Anexos</w:t>
      </w:r>
      <w:bookmarkEnd w:id="15"/>
    </w:p>
    <w:p w14:paraId="0CC3EC3D" w14:textId="77777777" w:rsidR="00F35F8F" w:rsidRPr="00524E67" w:rsidRDefault="00000000">
      <w:pPr>
        <w:pStyle w:val="Ttulo2"/>
        <w:spacing w:before="220" w:after="140"/>
        <w:rPr>
          <w:color w:val="000000" w:themeColor="text1"/>
        </w:rPr>
      </w:pPr>
      <w:bookmarkStart w:id="16" w:name="_Toc236344276"/>
      <w:r w:rsidRPr="00524E67">
        <w:rPr>
          <w:b/>
          <w:bCs/>
          <w:color w:val="000000" w:themeColor="text1"/>
          <w:sz w:val="24"/>
          <w:szCs w:val="24"/>
        </w:rPr>
        <w:t>Anexo A: Fichas bibliográficas generadas</w:t>
      </w:r>
      <w:bookmarkEnd w:id="1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4200"/>
        <w:gridCol w:w="1500"/>
      </w:tblGrid>
      <w:tr w:rsidR="00524E67" w:rsidRPr="00524E67" w14:paraId="7A28CC79" w14:textId="77777777">
        <w:tblPrEx>
          <w:tblCellMar>
            <w:top w:w="0" w:type="dxa"/>
            <w:bottom w:w="0" w:type="dxa"/>
          </w:tblCellMar>
        </w:tblPrEx>
        <w:trPr>
          <w:tblHeader/>
        </w:trPr>
        <w:tc>
          <w:tcPr>
            <w:tcW w:w="3300" w:type="dxa"/>
            <w:shd w:val="clear" w:color="auto" w:fill="D9D9D9"/>
            <w:tcMar>
              <w:top w:w="80" w:type="dxa"/>
              <w:left w:w="100" w:type="dxa"/>
              <w:bottom w:w="80" w:type="dxa"/>
              <w:right w:w="100" w:type="dxa"/>
            </w:tcMar>
            <w:vAlign w:val="center"/>
          </w:tcPr>
          <w:p w14:paraId="534A961C" w14:textId="77777777" w:rsidR="00F35F8F" w:rsidRPr="00524E67" w:rsidRDefault="00000000">
            <w:pPr>
              <w:rPr>
                <w:color w:val="000000" w:themeColor="text1"/>
              </w:rPr>
            </w:pPr>
            <w:r w:rsidRPr="00524E67">
              <w:rPr>
                <w:b/>
                <w:bCs/>
                <w:color w:val="000000" w:themeColor="text1"/>
                <w:sz w:val="18"/>
                <w:szCs w:val="18"/>
              </w:rPr>
              <w:t>Autor(es) y año</w:t>
            </w:r>
          </w:p>
        </w:tc>
        <w:tc>
          <w:tcPr>
            <w:tcW w:w="4200" w:type="dxa"/>
            <w:shd w:val="clear" w:color="auto" w:fill="D9D9D9"/>
            <w:tcMar>
              <w:top w:w="80" w:type="dxa"/>
              <w:left w:w="100" w:type="dxa"/>
              <w:bottom w:w="80" w:type="dxa"/>
              <w:right w:w="100" w:type="dxa"/>
            </w:tcMar>
            <w:vAlign w:val="center"/>
          </w:tcPr>
          <w:p w14:paraId="6F6D819E" w14:textId="77777777" w:rsidR="00F35F8F" w:rsidRPr="00524E67" w:rsidRDefault="00000000">
            <w:pPr>
              <w:rPr>
                <w:color w:val="000000" w:themeColor="text1"/>
              </w:rPr>
            </w:pPr>
            <w:r w:rsidRPr="00524E67">
              <w:rPr>
                <w:b/>
                <w:bCs/>
                <w:color w:val="000000" w:themeColor="text1"/>
                <w:sz w:val="18"/>
                <w:szCs w:val="18"/>
              </w:rPr>
              <w:t>Técnica / aporte principal</w:t>
            </w:r>
          </w:p>
        </w:tc>
        <w:tc>
          <w:tcPr>
            <w:tcW w:w="1500" w:type="dxa"/>
            <w:shd w:val="clear" w:color="auto" w:fill="D9D9D9"/>
            <w:tcMar>
              <w:top w:w="80" w:type="dxa"/>
              <w:left w:w="100" w:type="dxa"/>
              <w:bottom w:w="80" w:type="dxa"/>
              <w:right w:w="100" w:type="dxa"/>
            </w:tcMar>
            <w:vAlign w:val="center"/>
          </w:tcPr>
          <w:p w14:paraId="5712753F" w14:textId="77777777" w:rsidR="00F35F8F" w:rsidRPr="00524E67" w:rsidRDefault="00000000">
            <w:pPr>
              <w:jc w:val="center"/>
              <w:rPr>
                <w:color w:val="000000" w:themeColor="text1"/>
              </w:rPr>
            </w:pPr>
            <w:r w:rsidRPr="00524E67">
              <w:rPr>
                <w:b/>
                <w:bCs/>
                <w:color w:val="000000" w:themeColor="text1"/>
                <w:sz w:val="18"/>
                <w:szCs w:val="18"/>
              </w:rPr>
              <w:t>Estado</w:t>
            </w:r>
          </w:p>
        </w:tc>
      </w:tr>
      <w:tr w:rsidR="00524E67" w:rsidRPr="00524E67" w14:paraId="4C22E13D" w14:textId="77777777">
        <w:tblPrEx>
          <w:tblCellMar>
            <w:top w:w="0" w:type="dxa"/>
            <w:bottom w:w="0" w:type="dxa"/>
          </w:tblCellMar>
        </w:tblPrEx>
        <w:tc>
          <w:tcPr>
            <w:tcW w:w="3300" w:type="dxa"/>
            <w:tcMar>
              <w:top w:w="80" w:type="dxa"/>
              <w:left w:w="100" w:type="dxa"/>
              <w:bottom w:w="80" w:type="dxa"/>
              <w:right w:w="100" w:type="dxa"/>
            </w:tcMar>
            <w:vAlign w:val="center"/>
          </w:tcPr>
          <w:p w14:paraId="0A392EF4" w14:textId="77777777" w:rsidR="00F35F8F" w:rsidRPr="00524E67" w:rsidRDefault="00000000">
            <w:pPr>
              <w:rPr>
                <w:color w:val="000000" w:themeColor="text1"/>
              </w:rPr>
            </w:pPr>
            <w:proofErr w:type="spellStart"/>
            <w:r w:rsidRPr="00524E67">
              <w:rPr>
                <w:color w:val="000000" w:themeColor="text1"/>
                <w:sz w:val="18"/>
                <w:szCs w:val="18"/>
              </w:rPr>
              <w:t>Camiz</w:t>
            </w:r>
            <w:proofErr w:type="spellEnd"/>
            <w:r w:rsidRPr="00524E67">
              <w:rPr>
                <w:color w:val="000000" w:themeColor="text1"/>
                <w:sz w:val="18"/>
                <w:szCs w:val="18"/>
              </w:rPr>
              <w:t xml:space="preserve">, </w:t>
            </w:r>
            <w:proofErr w:type="spellStart"/>
            <w:r w:rsidRPr="00524E67">
              <w:rPr>
                <w:color w:val="000000" w:themeColor="text1"/>
                <w:sz w:val="18"/>
                <w:szCs w:val="18"/>
              </w:rPr>
              <w:t>Spada</w:t>
            </w:r>
            <w:proofErr w:type="spellEnd"/>
            <w:r w:rsidRPr="00524E67">
              <w:rPr>
                <w:color w:val="000000" w:themeColor="text1"/>
                <w:sz w:val="18"/>
                <w:szCs w:val="18"/>
              </w:rPr>
              <w:t xml:space="preserve">, </w:t>
            </w:r>
            <w:proofErr w:type="spellStart"/>
            <w:r w:rsidRPr="00524E67">
              <w:rPr>
                <w:color w:val="000000" w:themeColor="text1"/>
                <w:sz w:val="18"/>
                <w:szCs w:val="18"/>
              </w:rPr>
              <w:t>Denimal</w:t>
            </w:r>
            <w:proofErr w:type="spellEnd"/>
            <w:r w:rsidRPr="00524E67">
              <w:rPr>
                <w:color w:val="000000" w:themeColor="text1"/>
                <w:sz w:val="18"/>
                <w:szCs w:val="18"/>
              </w:rPr>
              <w:t xml:space="preserve"> &amp; </w:t>
            </w:r>
            <w:proofErr w:type="spellStart"/>
            <w:r w:rsidRPr="00524E67">
              <w:rPr>
                <w:color w:val="000000" w:themeColor="text1"/>
                <w:sz w:val="18"/>
                <w:szCs w:val="18"/>
              </w:rPr>
              <w:t>Piraino</w:t>
            </w:r>
            <w:proofErr w:type="spellEnd"/>
            <w:r w:rsidRPr="00524E67">
              <w:rPr>
                <w:color w:val="000000" w:themeColor="text1"/>
                <w:sz w:val="18"/>
                <w:szCs w:val="18"/>
              </w:rPr>
              <w:t xml:space="preserve"> (2020)</w:t>
            </w:r>
          </w:p>
        </w:tc>
        <w:tc>
          <w:tcPr>
            <w:tcW w:w="4200" w:type="dxa"/>
            <w:tcMar>
              <w:top w:w="80" w:type="dxa"/>
              <w:left w:w="100" w:type="dxa"/>
              <w:bottom w:w="80" w:type="dxa"/>
              <w:right w:w="100" w:type="dxa"/>
            </w:tcMar>
            <w:vAlign w:val="center"/>
          </w:tcPr>
          <w:p w14:paraId="4ECAF6D2" w14:textId="77777777" w:rsidR="00F35F8F" w:rsidRPr="00524E67" w:rsidRDefault="00000000">
            <w:pPr>
              <w:rPr>
                <w:color w:val="000000" w:themeColor="text1"/>
              </w:rPr>
            </w:pPr>
            <w:r w:rsidRPr="00524E67">
              <w:rPr>
                <w:color w:val="000000" w:themeColor="text1"/>
                <w:sz w:val="18"/>
                <w:szCs w:val="18"/>
              </w:rPr>
              <w:t>Formalización algorítmica de HFC</w:t>
            </w:r>
          </w:p>
        </w:tc>
        <w:tc>
          <w:tcPr>
            <w:tcW w:w="1500" w:type="dxa"/>
            <w:tcMar>
              <w:top w:w="80" w:type="dxa"/>
              <w:left w:w="100" w:type="dxa"/>
              <w:bottom w:w="80" w:type="dxa"/>
              <w:right w:w="100" w:type="dxa"/>
            </w:tcMar>
            <w:vAlign w:val="center"/>
          </w:tcPr>
          <w:p w14:paraId="5B6BA842" w14:textId="77777777" w:rsidR="00F35F8F" w:rsidRPr="00524E67" w:rsidRDefault="00000000">
            <w:pPr>
              <w:jc w:val="center"/>
              <w:rPr>
                <w:color w:val="000000" w:themeColor="text1"/>
              </w:rPr>
            </w:pPr>
            <w:r w:rsidRPr="00524E67">
              <w:rPr>
                <w:color w:val="000000" w:themeColor="text1"/>
                <w:sz w:val="18"/>
                <w:szCs w:val="18"/>
              </w:rPr>
              <w:t>Ficha completa</w:t>
            </w:r>
          </w:p>
        </w:tc>
      </w:tr>
      <w:tr w:rsidR="00524E67" w:rsidRPr="00524E67" w14:paraId="7AE5AE3F" w14:textId="77777777">
        <w:tblPrEx>
          <w:tblCellMar>
            <w:top w:w="0" w:type="dxa"/>
            <w:bottom w:w="0" w:type="dxa"/>
          </w:tblCellMar>
        </w:tblPrEx>
        <w:tc>
          <w:tcPr>
            <w:tcW w:w="3300" w:type="dxa"/>
            <w:tcMar>
              <w:top w:w="80" w:type="dxa"/>
              <w:left w:w="100" w:type="dxa"/>
              <w:bottom w:w="80" w:type="dxa"/>
              <w:right w:w="100" w:type="dxa"/>
            </w:tcMar>
            <w:vAlign w:val="center"/>
          </w:tcPr>
          <w:p w14:paraId="7127C543" w14:textId="77777777" w:rsidR="00F35F8F" w:rsidRPr="00524E67" w:rsidRDefault="00000000">
            <w:pPr>
              <w:rPr>
                <w:color w:val="000000" w:themeColor="text1"/>
              </w:rPr>
            </w:pPr>
            <w:proofErr w:type="spellStart"/>
            <w:r w:rsidRPr="00524E67">
              <w:rPr>
                <w:color w:val="000000" w:themeColor="text1"/>
                <w:sz w:val="18"/>
                <w:szCs w:val="18"/>
              </w:rPr>
              <w:t>Camiz</w:t>
            </w:r>
            <w:proofErr w:type="spellEnd"/>
            <w:r w:rsidRPr="00524E67">
              <w:rPr>
                <w:color w:val="000000" w:themeColor="text1"/>
                <w:sz w:val="18"/>
                <w:szCs w:val="18"/>
              </w:rPr>
              <w:t xml:space="preserve">, </w:t>
            </w:r>
            <w:proofErr w:type="spellStart"/>
            <w:r w:rsidRPr="00524E67">
              <w:rPr>
                <w:color w:val="000000" w:themeColor="text1"/>
                <w:sz w:val="18"/>
                <w:szCs w:val="18"/>
              </w:rPr>
              <w:t>Maulucci</w:t>
            </w:r>
            <w:proofErr w:type="spellEnd"/>
            <w:r w:rsidRPr="00524E67">
              <w:rPr>
                <w:color w:val="000000" w:themeColor="text1"/>
                <w:sz w:val="18"/>
                <w:szCs w:val="18"/>
              </w:rPr>
              <w:t xml:space="preserve"> &amp; Roig (2010)</w:t>
            </w:r>
          </w:p>
        </w:tc>
        <w:tc>
          <w:tcPr>
            <w:tcW w:w="4200" w:type="dxa"/>
            <w:tcMar>
              <w:top w:w="80" w:type="dxa"/>
              <w:left w:w="100" w:type="dxa"/>
              <w:bottom w:w="80" w:type="dxa"/>
              <w:right w:w="100" w:type="dxa"/>
            </w:tcMar>
            <w:vAlign w:val="center"/>
          </w:tcPr>
          <w:p w14:paraId="1DC78EF5" w14:textId="77777777" w:rsidR="00F35F8F" w:rsidRPr="00524E67" w:rsidRDefault="00000000">
            <w:pPr>
              <w:rPr>
                <w:color w:val="000000" w:themeColor="text1"/>
              </w:rPr>
            </w:pPr>
            <w:r w:rsidRPr="00524E67">
              <w:rPr>
                <w:color w:val="000000" w:themeColor="text1"/>
                <w:sz w:val="18"/>
                <w:szCs w:val="18"/>
              </w:rPr>
              <w:t>Antecedente de EPCA (ventana móvil)</w:t>
            </w:r>
          </w:p>
        </w:tc>
        <w:tc>
          <w:tcPr>
            <w:tcW w:w="1500" w:type="dxa"/>
            <w:tcMar>
              <w:top w:w="80" w:type="dxa"/>
              <w:left w:w="100" w:type="dxa"/>
              <w:bottom w:w="80" w:type="dxa"/>
              <w:right w:w="100" w:type="dxa"/>
            </w:tcMar>
            <w:vAlign w:val="center"/>
          </w:tcPr>
          <w:p w14:paraId="0BC40AF9" w14:textId="77777777" w:rsidR="00F35F8F" w:rsidRPr="00524E67" w:rsidRDefault="00000000">
            <w:pPr>
              <w:jc w:val="center"/>
              <w:rPr>
                <w:color w:val="000000" w:themeColor="text1"/>
              </w:rPr>
            </w:pPr>
            <w:r w:rsidRPr="00524E67">
              <w:rPr>
                <w:color w:val="000000" w:themeColor="text1"/>
                <w:sz w:val="18"/>
                <w:szCs w:val="18"/>
              </w:rPr>
              <w:t>Ficha completa</w:t>
            </w:r>
          </w:p>
        </w:tc>
      </w:tr>
      <w:tr w:rsidR="00524E67" w:rsidRPr="00524E67" w14:paraId="46F7BBAB" w14:textId="77777777">
        <w:tblPrEx>
          <w:tblCellMar>
            <w:top w:w="0" w:type="dxa"/>
            <w:bottom w:w="0" w:type="dxa"/>
          </w:tblCellMar>
        </w:tblPrEx>
        <w:tc>
          <w:tcPr>
            <w:tcW w:w="3300" w:type="dxa"/>
            <w:tcMar>
              <w:top w:w="80" w:type="dxa"/>
              <w:left w:w="100" w:type="dxa"/>
              <w:bottom w:w="80" w:type="dxa"/>
              <w:right w:w="100" w:type="dxa"/>
            </w:tcMar>
            <w:vAlign w:val="center"/>
          </w:tcPr>
          <w:p w14:paraId="585AA524" w14:textId="77777777" w:rsidR="00F35F8F" w:rsidRPr="00524E67" w:rsidRDefault="00000000">
            <w:pPr>
              <w:rPr>
                <w:color w:val="000000" w:themeColor="text1"/>
              </w:rPr>
            </w:pPr>
            <w:proofErr w:type="spellStart"/>
            <w:r w:rsidRPr="00524E67">
              <w:rPr>
                <w:color w:val="000000" w:themeColor="text1"/>
                <w:sz w:val="18"/>
                <w:szCs w:val="18"/>
              </w:rPr>
              <w:t>Camiz</w:t>
            </w:r>
            <w:proofErr w:type="spellEnd"/>
            <w:r w:rsidRPr="00524E67">
              <w:rPr>
                <w:color w:val="000000" w:themeColor="text1"/>
                <w:sz w:val="18"/>
                <w:szCs w:val="18"/>
              </w:rPr>
              <w:t xml:space="preserve"> &amp; Roig (2011)</w:t>
            </w:r>
          </w:p>
        </w:tc>
        <w:tc>
          <w:tcPr>
            <w:tcW w:w="4200" w:type="dxa"/>
            <w:tcMar>
              <w:top w:w="80" w:type="dxa"/>
              <w:left w:w="100" w:type="dxa"/>
              <w:bottom w:w="80" w:type="dxa"/>
              <w:right w:w="100" w:type="dxa"/>
            </w:tcMar>
            <w:vAlign w:val="center"/>
          </w:tcPr>
          <w:p w14:paraId="287E3277" w14:textId="77777777" w:rsidR="00F35F8F" w:rsidRPr="00524E67" w:rsidRDefault="00000000">
            <w:pPr>
              <w:rPr>
                <w:color w:val="000000" w:themeColor="text1"/>
              </w:rPr>
            </w:pPr>
            <w:r w:rsidRPr="00524E67">
              <w:rPr>
                <w:color w:val="000000" w:themeColor="text1"/>
                <w:sz w:val="18"/>
                <w:szCs w:val="18"/>
              </w:rPr>
              <w:t xml:space="preserve">HFC + EPCA + </w:t>
            </w:r>
            <w:proofErr w:type="spellStart"/>
            <w:r w:rsidRPr="00524E67">
              <w:rPr>
                <w:color w:val="000000" w:themeColor="text1"/>
                <w:sz w:val="18"/>
                <w:szCs w:val="18"/>
              </w:rPr>
              <w:t>clustering</w:t>
            </w:r>
            <w:proofErr w:type="spellEnd"/>
            <w:r w:rsidRPr="00524E67">
              <w:rPr>
                <w:color w:val="000000" w:themeColor="text1"/>
                <w:sz w:val="18"/>
                <w:szCs w:val="18"/>
              </w:rPr>
              <w:t xml:space="preserve"> de Fisher para regímenes</w:t>
            </w:r>
          </w:p>
        </w:tc>
        <w:tc>
          <w:tcPr>
            <w:tcW w:w="1500" w:type="dxa"/>
            <w:tcMar>
              <w:top w:w="80" w:type="dxa"/>
              <w:left w:w="100" w:type="dxa"/>
              <w:bottom w:w="80" w:type="dxa"/>
              <w:right w:w="100" w:type="dxa"/>
            </w:tcMar>
            <w:vAlign w:val="center"/>
          </w:tcPr>
          <w:p w14:paraId="0C62D7A6" w14:textId="77777777" w:rsidR="00F35F8F" w:rsidRPr="00524E67" w:rsidRDefault="00000000">
            <w:pPr>
              <w:jc w:val="center"/>
              <w:rPr>
                <w:color w:val="000000" w:themeColor="text1"/>
              </w:rPr>
            </w:pPr>
            <w:r w:rsidRPr="00524E67">
              <w:rPr>
                <w:color w:val="000000" w:themeColor="text1"/>
                <w:sz w:val="18"/>
                <w:szCs w:val="18"/>
              </w:rPr>
              <w:t>Ficha completa</w:t>
            </w:r>
          </w:p>
        </w:tc>
      </w:tr>
      <w:tr w:rsidR="00524E67" w:rsidRPr="00524E67" w14:paraId="28ED2B73" w14:textId="77777777">
        <w:tblPrEx>
          <w:tblCellMar>
            <w:top w:w="0" w:type="dxa"/>
            <w:bottom w:w="0" w:type="dxa"/>
          </w:tblCellMar>
        </w:tblPrEx>
        <w:tc>
          <w:tcPr>
            <w:tcW w:w="3300" w:type="dxa"/>
            <w:tcMar>
              <w:top w:w="80" w:type="dxa"/>
              <w:left w:w="100" w:type="dxa"/>
              <w:bottom w:w="80" w:type="dxa"/>
              <w:right w:w="100" w:type="dxa"/>
            </w:tcMar>
            <w:vAlign w:val="center"/>
          </w:tcPr>
          <w:p w14:paraId="28E76A16" w14:textId="77777777" w:rsidR="00F35F8F" w:rsidRPr="00524E67" w:rsidRDefault="00000000">
            <w:pPr>
              <w:rPr>
                <w:color w:val="000000" w:themeColor="text1"/>
              </w:rPr>
            </w:pPr>
            <w:proofErr w:type="spellStart"/>
            <w:r w:rsidRPr="00524E67">
              <w:rPr>
                <w:color w:val="000000" w:themeColor="text1"/>
                <w:sz w:val="18"/>
                <w:szCs w:val="18"/>
              </w:rPr>
              <w:t>Drehmann</w:t>
            </w:r>
            <w:proofErr w:type="spellEnd"/>
            <w:r w:rsidRPr="00524E67">
              <w:rPr>
                <w:color w:val="000000" w:themeColor="text1"/>
                <w:sz w:val="18"/>
                <w:szCs w:val="18"/>
              </w:rPr>
              <w:t xml:space="preserve">, </w:t>
            </w:r>
            <w:proofErr w:type="spellStart"/>
            <w:r w:rsidRPr="00524E67">
              <w:rPr>
                <w:color w:val="000000" w:themeColor="text1"/>
                <w:sz w:val="18"/>
                <w:szCs w:val="18"/>
              </w:rPr>
              <w:t>Borio</w:t>
            </w:r>
            <w:proofErr w:type="spellEnd"/>
            <w:r w:rsidRPr="00524E67">
              <w:rPr>
                <w:color w:val="000000" w:themeColor="text1"/>
                <w:sz w:val="18"/>
                <w:szCs w:val="18"/>
              </w:rPr>
              <w:t xml:space="preserve"> &amp; </w:t>
            </w:r>
            <w:proofErr w:type="spellStart"/>
            <w:r w:rsidRPr="00524E67">
              <w:rPr>
                <w:color w:val="000000" w:themeColor="text1"/>
                <w:sz w:val="18"/>
                <w:szCs w:val="18"/>
              </w:rPr>
              <w:t>Tsatsaronis</w:t>
            </w:r>
            <w:proofErr w:type="spellEnd"/>
            <w:r w:rsidRPr="00524E67">
              <w:rPr>
                <w:color w:val="000000" w:themeColor="text1"/>
                <w:sz w:val="18"/>
                <w:szCs w:val="18"/>
              </w:rPr>
              <w:t xml:space="preserve"> (2012)</w:t>
            </w:r>
          </w:p>
        </w:tc>
        <w:tc>
          <w:tcPr>
            <w:tcW w:w="4200" w:type="dxa"/>
            <w:tcMar>
              <w:top w:w="80" w:type="dxa"/>
              <w:left w:w="100" w:type="dxa"/>
              <w:bottom w:w="80" w:type="dxa"/>
              <w:right w:w="100" w:type="dxa"/>
            </w:tcMar>
            <w:vAlign w:val="center"/>
          </w:tcPr>
          <w:p w14:paraId="50DD9519" w14:textId="77777777" w:rsidR="00F35F8F" w:rsidRPr="00524E67" w:rsidRDefault="00000000">
            <w:pPr>
              <w:rPr>
                <w:color w:val="000000" w:themeColor="text1"/>
              </w:rPr>
            </w:pPr>
            <w:r w:rsidRPr="00524E67">
              <w:rPr>
                <w:color w:val="000000" w:themeColor="text1"/>
                <w:sz w:val="18"/>
                <w:szCs w:val="18"/>
              </w:rPr>
              <w:t>Referencia empírica BIS del ciclo financiero</w:t>
            </w:r>
          </w:p>
        </w:tc>
        <w:tc>
          <w:tcPr>
            <w:tcW w:w="1500" w:type="dxa"/>
            <w:tcMar>
              <w:top w:w="80" w:type="dxa"/>
              <w:left w:w="100" w:type="dxa"/>
              <w:bottom w:w="80" w:type="dxa"/>
              <w:right w:w="100" w:type="dxa"/>
            </w:tcMar>
            <w:vAlign w:val="center"/>
          </w:tcPr>
          <w:p w14:paraId="5FADC861" w14:textId="77777777" w:rsidR="00F35F8F" w:rsidRPr="00524E67" w:rsidRDefault="00000000">
            <w:pPr>
              <w:jc w:val="center"/>
              <w:rPr>
                <w:color w:val="000000" w:themeColor="text1"/>
              </w:rPr>
            </w:pPr>
            <w:r w:rsidRPr="00524E67">
              <w:rPr>
                <w:color w:val="000000" w:themeColor="text1"/>
                <w:sz w:val="18"/>
                <w:szCs w:val="18"/>
              </w:rPr>
              <w:t>Ficha completa</w:t>
            </w:r>
          </w:p>
        </w:tc>
      </w:tr>
      <w:tr w:rsidR="00524E67" w:rsidRPr="00524E67" w14:paraId="653AD56E" w14:textId="77777777">
        <w:tblPrEx>
          <w:tblCellMar>
            <w:top w:w="0" w:type="dxa"/>
            <w:bottom w:w="0" w:type="dxa"/>
          </w:tblCellMar>
        </w:tblPrEx>
        <w:tc>
          <w:tcPr>
            <w:tcW w:w="3300" w:type="dxa"/>
            <w:tcMar>
              <w:top w:w="80" w:type="dxa"/>
              <w:left w:w="100" w:type="dxa"/>
              <w:bottom w:w="80" w:type="dxa"/>
              <w:right w:w="100" w:type="dxa"/>
            </w:tcMar>
            <w:vAlign w:val="center"/>
          </w:tcPr>
          <w:p w14:paraId="2DA89812" w14:textId="77777777" w:rsidR="00F35F8F" w:rsidRPr="00524E67" w:rsidRDefault="00000000">
            <w:pPr>
              <w:rPr>
                <w:color w:val="000000" w:themeColor="text1"/>
              </w:rPr>
            </w:pPr>
            <w:proofErr w:type="spellStart"/>
            <w:r w:rsidRPr="00524E67">
              <w:rPr>
                <w:color w:val="000000" w:themeColor="text1"/>
                <w:sz w:val="18"/>
                <w:szCs w:val="18"/>
              </w:rPr>
              <w:t>Camiz</w:t>
            </w:r>
            <w:proofErr w:type="spellEnd"/>
            <w:r w:rsidRPr="00524E67">
              <w:rPr>
                <w:color w:val="000000" w:themeColor="text1"/>
                <w:sz w:val="18"/>
                <w:szCs w:val="18"/>
              </w:rPr>
              <w:t>, Cerda Hernández &amp; Atoche Murrieta (2026)</w:t>
            </w:r>
          </w:p>
        </w:tc>
        <w:tc>
          <w:tcPr>
            <w:tcW w:w="4200" w:type="dxa"/>
            <w:tcMar>
              <w:top w:w="80" w:type="dxa"/>
              <w:left w:w="100" w:type="dxa"/>
              <w:bottom w:w="80" w:type="dxa"/>
              <w:right w:w="100" w:type="dxa"/>
            </w:tcMar>
            <w:vAlign w:val="center"/>
          </w:tcPr>
          <w:p w14:paraId="37DEB458" w14:textId="77777777" w:rsidR="00F35F8F" w:rsidRPr="00524E67" w:rsidRDefault="00000000">
            <w:pPr>
              <w:rPr>
                <w:color w:val="000000" w:themeColor="text1"/>
              </w:rPr>
            </w:pPr>
            <w:r w:rsidRPr="00524E67">
              <w:rPr>
                <w:color w:val="000000" w:themeColor="text1"/>
                <w:sz w:val="18"/>
                <w:szCs w:val="18"/>
              </w:rPr>
              <w:t>PCA/HFC/EPCA aplicado a Perú (BCRP) — antecedente directo</w:t>
            </w:r>
          </w:p>
        </w:tc>
        <w:tc>
          <w:tcPr>
            <w:tcW w:w="1500" w:type="dxa"/>
            <w:tcMar>
              <w:top w:w="80" w:type="dxa"/>
              <w:left w:w="100" w:type="dxa"/>
              <w:bottom w:w="80" w:type="dxa"/>
              <w:right w:w="100" w:type="dxa"/>
            </w:tcMar>
            <w:vAlign w:val="center"/>
          </w:tcPr>
          <w:p w14:paraId="75B96A95" w14:textId="77777777" w:rsidR="00F35F8F" w:rsidRPr="00524E67" w:rsidRDefault="00000000">
            <w:pPr>
              <w:jc w:val="center"/>
              <w:rPr>
                <w:color w:val="000000" w:themeColor="text1"/>
              </w:rPr>
            </w:pPr>
            <w:r w:rsidRPr="00524E67">
              <w:rPr>
                <w:color w:val="000000" w:themeColor="text1"/>
                <w:sz w:val="18"/>
                <w:szCs w:val="18"/>
              </w:rPr>
              <w:t>Ficha completa</w:t>
            </w:r>
          </w:p>
        </w:tc>
      </w:tr>
      <w:tr w:rsidR="00524E67" w:rsidRPr="00524E67" w14:paraId="127BB4DF" w14:textId="77777777">
        <w:tblPrEx>
          <w:tblCellMar>
            <w:top w:w="0" w:type="dxa"/>
            <w:bottom w:w="0" w:type="dxa"/>
          </w:tblCellMar>
        </w:tblPrEx>
        <w:tc>
          <w:tcPr>
            <w:tcW w:w="3300" w:type="dxa"/>
            <w:tcMar>
              <w:top w:w="80" w:type="dxa"/>
              <w:left w:w="100" w:type="dxa"/>
              <w:bottom w:w="80" w:type="dxa"/>
              <w:right w:w="100" w:type="dxa"/>
            </w:tcMar>
            <w:vAlign w:val="center"/>
          </w:tcPr>
          <w:p w14:paraId="1D1ACE2E" w14:textId="77777777" w:rsidR="00F35F8F" w:rsidRPr="00524E67" w:rsidRDefault="00000000">
            <w:pPr>
              <w:rPr>
                <w:color w:val="000000" w:themeColor="text1"/>
              </w:rPr>
            </w:pPr>
            <w:proofErr w:type="spellStart"/>
            <w:r w:rsidRPr="00524E67">
              <w:rPr>
                <w:color w:val="000000" w:themeColor="text1"/>
                <w:sz w:val="18"/>
                <w:szCs w:val="18"/>
              </w:rPr>
              <w:t>Tuhin</w:t>
            </w:r>
            <w:proofErr w:type="spellEnd"/>
            <w:r w:rsidRPr="00524E67">
              <w:rPr>
                <w:color w:val="000000" w:themeColor="text1"/>
                <w:sz w:val="18"/>
                <w:szCs w:val="18"/>
              </w:rPr>
              <w:t xml:space="preserve">, </w:t>
            </w:r>
            <w:proofErr w:type="spellStart"/>
            <w:r w:rsidRPr="00524E67">
              <w:rPr>
                <w:color w:val="000000" w:themeColor="text1"/>
                <w:sz w:val="18"/>
                <w:szCs w:val="18"/>
              </w:rPr>
              <w:t>Nobi</w:t>
            </w:r>
            <w:proofErr w:type="spellEnd"/>
            <w:r w:rsidRPr="00524E67">
              <w:rPr>
                <w:color w:val="000000" w:themeColor="text1"/>
                <w:sz w:val="18"/>
                <w:szCs w:val="18"/>
              </w:rPr>
              <w:t xml:space="preserve">, </w:t>
            </w:r>
            <w:proofErr w:type="spellStart"/>
            <w:r w:rsidRPr="00524E67">
              <w:rPr>
                <w:color w:val="000000" w:themeColor="text1"/>
                <w:sz w:val="18"/>
                <w:szCs w:val="18"/>
              </w:rPr>
              <w:t>Rakib</w:t>
            </w:r>
            <w:proofErr w:type="spellEnd"/>
            <w:r w:rsidRPr="00524E67">
              <w:rPr>
                <w:color w:val="000000" w:themeColor="text1"/>
                <w:sz w:val="18"/>
                <w:szCs w:val="18"/>
              </w:rPr>
              <w:t xml:space="preserve"> &amp; Lee (2025)</w:t>
            </w:r>
          </w:p>
        </w:tc>
        <w:tc>
          <w:tcPr>
            <w:tcW w:w="4200" w:type="dxa"/>
            <w:tcMar>
              <w:top w:w="80" w:type="dxa"/>
              <w:left w:w="100" w:type="dxa"/>
              <w:bottom w:w="80" w:type="dxa"/>
              <w:right w:w="100" w:type="dxa"/>
            </w:tcMar>
            <w:vAlign w:val="center"/>
          </w:tcPr>
          <w:p w14:paraId="28647FCC" w14:textId="77777777" w:rsidR="00F35F8F" w:rsidRPr="00524E67" w:rsidRDefault="00000000">
            <w:pPr>
              <w:rPr>
                <w:color w:val="000000" w:themeColor="text1"/>
              </w:rPr>
            </w:pPr>
            <w:r w:rsidRPr="00524E67">
              <w:rPr>
                <w:color w:val="000000" w:themeColor="text1"/>
                <w:sz w:val="18"/>
                <w:szCs w:val="18"/>
              </w:rPr>
              <w:t xml:space="preserve">LSTM </w:t>
            </w:r>
            <w:proofErr w:type="spellStart"/>
            <w:r w:rsidRPr="00524E67">
              <w:rPr>
                <w:color w:val="000000" w:themeColor="text1"/>
                <w:sz w:val="18"/>
                <w:szCs w:val="18"/>
              </w:rPr>
              <w:t>Autoencoder</w:t>
            </w:r>
            <w:proofErr w:type="spellEnd"/>
            <w:r w:rsidRPr="00524E67">
              <w:rPr>
                <w:color w:val="000000" w:themeColor="text1"/>
                <w:sz w:val="18"/>
                <w:szCs w:val="18"/>
              </w:rPr>
              <w:t xml:space="preserve"> para detección de crisis financieras</w:t>
            </w:r>
          </w:p>
        </w:tc>
        <w:tc>
          <w:tcPr>
            <w:tcW w:w="1500" w:type="dxa"/>
            <w:tcMar>
              <w:top w:w="80" w:type="dxa"/>
              <w:left w:w="100" w:type="dxa"/>
              <w:bottom w:w="80" w:type="dxa"/>
              <w:right w:w="100" w:type="dxa"/>
            </w:tcMar>
            <w:vAlign w:val="center"/>
          </w:tcPr>
          <w:p w14:paraId="32877AB8" w14:textId="77777777" w:rsidR="00F35F8F" w:rsidRPr="00524E67" w:rsidRDefault="00000000">
            <w:pPr>
              <w:jc w:val="center"/>
              <w:rPr>
                <w:color w:val="000000" w:themeColor="text1"/>
              </w:rPr>
            </w:pPr>
            <w:r w:rsidRPr="00524E67">
              <w:rPr>
                <w:color w:val="000000" w:themeColor="text1"/>
                <w:sz w:val="18"/>
                <w:szCs w:val="18"/>
              </w:rPr>
              <w:t>Ficha completa</w:t>
            </w:r>
          </w:p>
        </w:tc>
      </w:tr>
      <w:tr w:rsidR="00524E67" w:rsidRPr="00524E67" w14:paraId="32252F4E" w14:textId="77777777">
        <w:tblPrEx>
          <w:tblCellMar>
            <w:top w:w="0" w:type="dxa"/>
            <w:bottom w:w="0" w:type="dxa"/>
          </w:tblCellMar>
        </w:tblPrEx>
        <w:tc>
          <w:tcPr>
            <w:tcW w:w="3300" w:type="dxa"/>
            <w:tcMar>
              <w:top w:w="80" w:type="dxa"/>
              <w:left w:w="100" w:type="dxa"/>
              <w:bottom w:w="80" w:type="dxa"/>
              <w:right w:w="100" w:type="dxa"/>
            </w:tcMar>
            <w:vAlign w:val="center"/>
          </w:tcPr>
          <w:p w14:paraId="2ED68230" w14:textId="77777777" w:rsidR="00F35F8F" w:rsidRPr="00524E67" w:rsidRDefault="00000000">
            <w:pPr>
              <w:rPr>
                <w:color w:val="000000" w:themeColor="text1"/>
              </w:rPr>
            </w:pPr>
            <w:proofErr w:type="spellStart"/>
            <w:r w:rsidRPr="00524E67">
              <w:rPr>
                <w:color w:val="000000" w:themeColor="text1"/>
                <w:sz w:val="18"/>
                <w:szCs w:val="18"/>
              </w:rPr>
              <w:t>Hochreiter</w:t>
            </w:r>
            <w:proofErr w:type="spellEnd"/>
            <w:r w:rsidRPr="00524E67">
              <w:rPr>
                <w:color w:val="000000" w:themeColor="text1"/>
                <w:sz w:val="18"/>
                <w:szCs w:val="18"/>
              </w:rPr>
              <w:t xml:space="preserve"> &amp; </w:t>
            </w:r>
            <w:proofErr w:type="spellStart"/>
            <w:r w:rsidRPr="00524E67">
              <w:rPr>
                <w:color w:val="000000" w:themeColor="text1"/>
                <w:sz w:val="18"/>
                <w:szCs w:val="18"/>
              </w:rPr>
              <w:t>Schmidhuber</w:t>
            </w:r>
            <w:proofErr w:type="spellEnd"/>
            <w:r w:rsidRPr="00524E67">
              <w:rPr>
                <w:color w:val="000000" w:themeColor="text1"/>
                <w:sz w:val="18"/>
                <w:szCs w:val="18"/>
              </w:rPr>
              <w:t xml:space="preserve"> (1997)</w:t>
            </w:r>
          </w:p>
        </w:tc>
        <w:tc>
          <w:tcPr>
            <w:tcW w:w="4200" w:type="dxa"/>
            <w:tcMar>
              <w:top w:w="80" w:type="dxa"/>
              <w:left w:w="100" w:type="dxa"/>
              <w:bottom w:w="80" w:type="dxa"/>
              <w:right w:w="100" w:type="dxa"/>
            </w:tcMar>
            <w:vAlign w:val="center"/>
          </w:tcPr>
          <w:p w14:paraId="764D4799" w14:textId="77777777" w:rsidR="00F35F8F" w:rsidRPr="00524E67" w:rsidRDefault="00000000">
            <w:pPr>
              <w:rPr>
                <w:color w:val="000000" w:themeColor="text1"/>
              </w:rPr>
            </w:pPr>
            <w:r w:rsidRPr="00524E67">
              <w:rPr>
                <w:color w:val="000000" w:themeColor="text1"/>
                <w:sz w:val="18"/>
                <w:szCs w:val="18"/>
              </w:rPr>
              <w:t>Arquitectura LSTM (fundacional)</w:t>
            </w:r>
          </w:p>
        </w:tc>
        <w:tc>
          <w:tcPr>
            <w:tcW w:w="1500" w:type="dxa"/>
            <w:tcMar>
              <w:top w:w="80" w:type="dxa"/>
              <w:left w:w="100" w:type="dxa"/>
              <w:bottom w:w="80" w:type="dxa"/>
              <w:right w:w="100" w:type="dxa"/>
            </w:tcMar>
            <w:vAlign w:val="center"/>
          </w:tcPr>
          <w:p w14:paraId="0DC0A276" w14:textId="77777777" w:rsidR="00F35F8F" w:rsidRPr="00524E67" w:rsidRDefault="00000000">
            <w:pPr>
              <w:jc w:val="center"/>
              <w:rPr>
                <w:color w:val="000000" w:themeColor="text1"/>
              </w:rPr>
            </w:pPr>
            <w:r w:rsidRPr="00524E67">
              <w:rPr>
                <w:color w:val="000000" w:themeColor="text1"/>
                <w:sz w:val="18"/>
                <w:szCs w:val="18"/>
              </w:rPr>
              <w:t>Ficha completa</w:t>
            </w:r>
          </w:p>
        </w:tc>
      </w:tr>
      <w:tr w:rsidR="00524E67" w:rsidRPr="00524E67" w14:paraId="01AF9857" w14:textId="77777777">
        <w:tblPrEx>
          <w:tblCellMar>
            <w:top w:w="0" w:type="dxa"/>
            <w:bottom w:w="0" w:type="dxa"/>
          </w:tblCellMar>
        </w:tblPrEx>
        <w:tc>
          <w:tcPr>
            <w:tcW w:w="3300" w:type="dxa"/>
            <w:tcMar>
              <w:top w:w="80" w:type="dxa"/>
              <w:left w:w="100" w:type="dxa"/>
              <w:bottom w:w="80" w:type="dxa"/>
              <w:right w:w="100" w:type="dxa"/>
            </w:tcMar>
            <w:vAlign w:val="center"/>
          </w:tcPr>
          <w:p w14:paraId="5794A424" w14:textId="77777777" w:rsidR="00F35F8F" w:rsidRPr="00524E67" w:rsidRDefault="00000000">
            <w:pPr>
              <w:rPr>
                <w:color w:val="000000" w:themeColor="text1"/>
              </w:rPr>
            </w:pPr>
            <w:r w:rsidRPr="00524E67">
              <w:rPr>
                <w:color w:val="000000" w:themeColor="text1"/>
                <w:sz w:val="18"/>
                <w:szCs w:val="18"/>
              </w:rPr>
              <w:t xml:space="preserve">Hinton &amp; </w:t>
            </w:r>
            <w:proofErr w:type="spellStart"/>
            <w:r w:rsidRPr="00524E67">
              <w:rPr>
                <w:color w:val="000000" w:themeColor="text1"/>
                <w:sz w:val="18"/>
                <w:szCs w:val="18"/>
              </w:rPr>
              <w:t>Salakhutdinov</w:t>
            </w:r>
            <w:proofErr w:type="spellEnd"/>
            <w:r w:rsidRPr="00524E67">
              <w:rPr>
                <w:color w:val="000000" w:themeColor="text1"/>
                <w:sz w:val="18"/>
                <w:szCs w:val="18"/>
              </w:rPr>
              <w:t xml:space="preserve"> (2006)</w:t>
            </w:r>
          </w:p>
        </w:tc>
        <w:tc>
          <w:tcPr>
            <w:tcW w:w="4200" w:type="dxa"/>
            <w:tcMar>
              <w:top w:w="80" w:type="dxa"/>
              <w:left w:w="100" w:type="dxa"/>
              <w:bottom w:w="80" w:type="dxa"/>
              <w:right w:w="100" w:type="dxa"/>
            </w:tcMar>
            <w:vAlign w:val="center"/>
          </w:tcPr>
          <w:p w14:paraId="7C69ECFD" w14:textId="77777777" w:rsidR="00F35F8F" w:rsidRPr="00524E67" w:rsidRDefault="00000000">
            <w:pPr>
              <w:rPr>
                <w:color w:val="000000" w:themeColor="text1"/>
              </w:rPr>
            </w:pPr>
            <w:proofErr w:type="spellStart"/>
            <w:r w:rsidRPr="00524E67">
              <w:rPr>
                <w:color w:val="000000" w:themeColor="text1"/>
                <w:sz w:val="18"/>
                <w:szCs w:val="18"/>
              </w:rPr>
              <w:t>Autoencoder</w:t>
            </w:r>
            <w:proofErr w:type="spellEnd"/>
            <w:r w:rsidRPr="00524E67">
              <w:rPr>
                <w:color w:val="000000" w:themeColor="text1"/>
                <w:sz w:val="18"/>
                <w:szCs w:val="18"/>
              </w:rPr>
              <w:t xml:space="preserve"> profundo (fundacional)</w:t>
            </w:r>
          </w:p>
        </w:tc>
        <w:tc>
          <w:tcPr>
            <w:tcW w:w="1500" w:type="dxa"/>
            <w:tcMar>
              <w:top w:w="80" w:type="dxa"/>
              <w:left w:w="100" w:type="dxa"/>
              <w:bottom w:w="80" w:type="dxa"/>
              <w:right w:w="100" w:type="dxa"/>
            </w:tcMar>
            <w:vAlign w:val="center"/>
          </w:tcPr>
          <w:p w14:paraId="06B5A60B" w14:textId="77777777" w:rsidR="00F35F8F" w:rsidRPr="00524E67" w:rsidRDefault="00000000">
            <w:pPr>
              <w:jc w:val="center"/>
              <w:rPr>
                <w:color w:val="000000" w:themeColor="text1"/>
              </w:rPr>
            </w:pPr>
            <w:r w:rsidRPr="00524E67">
              <w:rPr>
                <w:color w:val="000000" w:themeColor="text1"/>
                <w:sz w:val="18"/>
                <w:szCs w:val="18"/>
              </w:rPr>
              <w:t>Ficha completa</w:t>
            </w:r>
          </w:p>
        </w:tc>
      </w:tr>
    </w:tbl>
    <w:p w14:paraId="4873F8C1" w14:textId="77777777" w:rsidR="00F35F8F" w:rsidRPr="00524E67" w:rsidRDefault="00F35F8F">
      <w:pPr>
        <w:spacing w:after="240"/>
        <w:rPr>
          <w:color w:val="000000" w:themeColor="text1"/>
        </w:rPr>
      </w:pPr>
    </w:p>
    <w:p w14:paraId="241AD1F8" w14:textId="77777777" w:rsidR="00F35F8F" w:rsidRPr="00524E67" w:rsidRDefault="00000000">
      <w:pPr>
        <w:pStyle w:val="Ttulo2"/>
        <w:spacing w:before="220" w:after="140"/>
        <w:rPr>
          <w:color w:val="000000" w:themeColor="text1"/>
        </w:rPr>
      </w:pPr>
      <w:bookmarkStart w:id="17" w:name="_Toc236344277"/>
      <w:r w:rsidRPr="00524E67">
        <w:rPr>
          <w:b/>
          <w:bCs/>
          <w:color w:val="000000" w:themeColor="text1"/>
          <w:sz w:val="24"/>
          <w:szCs w:val="24"/>
        </w:rPr>
        <w:t>Anexo B: Estado del pipeline de datos y notebooks</w:t>
      </w:r>
      <w:bookmarkEnd w:id="1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524E67" w:rsidRPr="00524E67" w14:paraId="16F50D5C" w14:textId="77777777">
        <w:tblPrEx>
          <w:tblCellMar>
            <w:top w:w="0" w:type="dxa"/>
            <w:bottom w:w="0" w:type="dxa"/>
          </w:tblCellMar>
        </w:tblPrEx>
        <w:trPr>
          <w:tblHeader/>
        </w:trPr>
        <w:tc>
          <w:tcPr>
            <w:tcW w:w="3200" w:type="dxa"/>
            <w:shd w:val="clear" w:color="auto" w:fill="D9D9D9"/>
            <w:tcMar>
              <w:top w:w="80" w:type="dxa"/>
              <w:left w:w="100" w:type="dxa"/>
              <w:bottom w:w="80" w:type="dxa"/>
              <w:right w:w="100" w:type="dxa"/>
            </w:tcMar>
            <w:vAlign w:val="center"/>
          </w:tcPr>
          <w:p w14:paraId="33F5D702" w14:textId="77777777" w:rsidR="00F35F8F" w:rsidRPr="00524E67" w:rsidRDefault="00000000">
            <w:pPr>
              <w:rPr>
                <w:color w:val="000000" w:themeColor="text1"/>
              </w:rPr>
            </w:pPr>
            <w:r w:rsidRPr="00524E67">
              <w:rPr>
                <w:b/>
                <w:bCs/>
                <w:color w:val="000000" w:themeColor="text1"/>
                <w:sz w:val="18"/>
                <w:szCs w:val="18"/>
              </w:rPr>
              <w:t>Notebook / componente</w:t>
            </w:r>
          </w:p>
        </w:tc>
        <w:tc>
          <w:tcPr>
            <w:tcW w:w="5800" w:type="dxa"/>
            <w:shd w:val="clear" w:color="auto" w:fill="D9D9D9"/>
            <w:tcMar>
              <w:top w:w="80" w:type="dxa"/>
              <w:left w:w="100" w:type="dxa"/>
              <w:bottom w:w="80" w:type="dxa"/>
              <w:right w:w="100" w:type="dxa"/>
            </w:tcMar>
            <w:vAlign w:val="center"/>
          </w:tcPr>
          <w:p w14:paraId="79463F3D" w14:textId="77777777" w:rsidR="00F35F8F" w:rsidRPr="00524E67" w:rsidRDefault="00000000">
            <w:pPr>
              <w:rPr>
                <w:color w:val="000000" w:themeColor="text1"/>
              </w:rPr>
            </w:pPr>
            <w:r w:rsidRPr="00524E67">
              <w:rPr>
                <w:b/>
                <w:bCs/>
                <w:color w:val="000000" w:themeColor="text1"/>
                <w:sz w:val="18"/>
                <w:szCs w:val="18"/>
              </w:rPr>
              <w:t>Estado</w:t>
            </w:r>
          </w:p>
        </w:tc>
      </w:tr>
      <w:tr w:rsidR="00524E67" w:rsidRPr="00524E67" w14:paraId="1A7D8288" w14:textId="77777777">
        <w:tblPrEx>
          <w:tblCellMar>
            <w:top w:w="0" w:type="dxa"/>
            <w:bottom w:w="0" w:type="dxa"/>
          </w:tblCellMar>
        </w:tblPrEx>
        <w:tc>
          <w:tcPr>
            <w:tcW w:w="3200" w:type="dxa"/>
            <w:tcMar>
              <w:top w:w="80" w:type="dxa"/>
              <w:left w:w="100" w:type="dxa"/>
              <w:bottom w:w="80" w:type="dxa"/>
              <w:right w:w="100" w:type="dxa"/>
            </w:tcMar>
            <w:vAlign w:val="center"/>
          </w:tcPr>
          <w:p w14:paraId="520E422F" w14:textId="77777777" w:rsidR="00F35F8F" w:rsidRPr="00524E67" w:rsidRDefault="00000000">
            <w:pPr>
              <w:rPr>
                <w:color w:val="000000" w:themeColor="text1"/>
              </w:rPr>
            </w:pPr>
            <w:r w:rsidRPr="00524E67">
              <w:rPr>
                <w:color w:val="000000" w:themeColor="text1"/>
                <w:sz w:val="18"/>
                <w:szCs w:val="18"/>
              </w:rPr>
              <w:t>01_extraccion_bcrp</w:t>
            </w:r>
          </w:p>
        </w:tc>
        <w:tc>
          <w:tcPr>
            <w:tcW w:w="5800" w:type="dxa"/>
            <w:tcMar>
              <w:top w:w="80" w:type="dxa"/>
              <w:left w:w="100" w:type="dxa"/>
              <w:bottom w:w="80" w:type="dxa"/>
              <w:right w:w="100" w:type="dxa"/>
            </w:tcMar>
            <w:vAlign w:val="center"/>
          </w:tcPr>
          <w:p w14:paraId="080DF505" w14:textId="77777777" w:rsidR="00F35F8F" w:rsidRPr="00524E67" w:rsidRDefault="00000000">
            <w:pPr>
              <w:rPr>
                <w:color w:val="000000" w:themeColor="text1"/>
              </w:rPr>
            </w:pPr>
            <w:r w:rsidRPr="00524E67">
              <w:rPr>
                <w:color w:val="000000" w:themeColor="text1"/>
                <w:sz w:val="18"/>
                <w:szCs w:val="18"/>
              </w:rPr>
              <w:t>Completado — extracción de series desde la API del BCRP.</w:t>
            </w:r>
          </w:p>
        </w:tc>
      </w:tr>
      <w:tr w:rsidR="00524E67" w:rsidRPr="00524E67" w14:paraId="2DEF9F98" w14:textId="77777777">
        <w:tblPrEx>
          <w:tblCellMar>
            <w:top w:w="0" w:type="dxa"/>
            <w:bottom w:w="0" w:type="dxa"/>
          </w:tblCellMar>
        </w:tblPrEx>
        <w:tc>
          <w:tcPr>
            <w:tcW w:w="3200" w:type="dxa"/>
            <w:tcMar>
              <w:top w:w="80" w:type="dxa"/>
              <w:left w:w="100" w:type="dxa"/>
              <w:bottom w:w="80" w:type="dxa"/>
              <w:right w:w="100" w:type="dxa"/>
            </w:tcMar>
            <w:vAlign w:val="center"/>
          </w:tcPr>
          <w:p w14:paraId="5C055A58" w14:textId="77777777" w:rsidR="00F35F8F" w:rsidRPr="00524E67" w:rsidRDefault="00000000">
            <w:pPr>
              <w:rPr>
                <w:color w:val="000000" w:themeColor="text1"/>
              </w:rPr>
            </w:pPr>
            <w:r w:rsidRPr="00524E67">
              <w:rPr>
                <w:color w:val="000000" w:themeColor="text1"/>
                <w:sz w:val="18"/>
                <w:szCs w:val="18"/>
              </w:rPr>
              <w:t>02_carga_y_verificacion</w:t>
            </w:r>
          </w:p>
        </w:tc>
        <w:tc>
          <w:tcPr>
            <w:tcW w:w="5800" w:type="dxa"/>
            <w:tcMar>
              <w:top w:w="80" w:type="dxa"/>
              <w:left w:w="100" w:type="dxa"/>
              <w:bottom w:w="80" w:type="dxa"/>
              <w:right w:w="100" w:type="dxa"/>
            </w:tcMar>
            <w:vAlign w:val="center"/>
          </w:tcPr>
          <w:p w14:paraId="5467D1FC" w14:textId="77777777" w:rsidR="00F35F8F" w:rsidRPr="00524E67" w:rsidRDefault="00000000">
            <w:pPr>
              <w:rPr>
                <w:color w:val="000000" w:themeColor="text1"/>
              </w:rPr>
            </w:pPr>
            <w:r w:rsidRPr="00524E67">
              <w:rPr>
                <w:color w:val="000000" w:themeColor="text1"/>
                <w:sz w:val="18"/>
                <w:szCs w:val="18"/>
              </w:rPr>
              <w:t>Completado — verificación de integridad y trazabilidad de datos crudos.</w:t>
            </w:r>
          </w:p>
        </w:tc>
      </w:tr>
      <w:tr w:rsidR="00524E67" w:rsidRPr="00524E67" w14:paraId="38EDF0EB" w14:textId="77777777">
        <w:tblPrEx>
          <w:tblCellMar>
            <w:top w:w="0" w:type="dxa"/>
            <w:bottom w:w="0" w:type="dxa"/>
          </w:tblCellMar>
        </w:tblPrEx>
        <w:tc>
          <w:tcPr>
            <w:tcW w:w="3200" w:type="dxa"/>
            <w:tcMar>
              <w:top w:w="80" w:type="dxa"/>
              <w:left w:w="100" w:type="dxa"/>
              <w:bottom w:w="80" w:type="dxa"/>
              <w:right w:w="100" w:type="dxa"/>
            </w:tcMar>
            <w:vAlign w:val="center"/>
          </w:tcPr>
          <w:p w14:paraId="5CCA4509" w14:textId="77777777" w:rsidR="00F35F8F" w:rsidRPr="00524E67" w:rsidRDefault="00000000">
            <w:pPr>
              <w:rPr>
                <w:color w:val="000000" w:themeColor="text1"/>
              </w:rPr>
            </w:pPr>
            <w:r w:rsidRPr="00524E67">
              <w:rPr>
                <w:color w:val="000000" w:themeColor="text1"/>
                <w:sz w:val="18"/>
                <w:szCs w:val="18"/>
              </w:rPr>
              <w:t>03_analisis_exploratorio</w:t>
            </w:r>
          </w:p>
        </w:tc>
        <w:tc>
          <w:tcPr>
            <w:tcW w:w="5800" w:type="dxa"/>
            <w:tcMar>
              <w:top w:w="80" w:type="dxa"/>
              <w:left w:w="100" w:type="dxa"/>
              <w:bottom w:w="80" w:type="dxa"/>
              <w:right w:w="100" w:type="dxa"/>
            </w:tcMar>
            <w:vAlign w:val="center"/>
          </w:tcPr>
          <w:p w14:paraId="56C75AA9" w14:textId="77777777" w:rsidR="00F35F8F" w:rsidRPr="00524E67" w:rsidRDefault="00000000">
            <w:pPr>
              <w:rPr>
                <w:color w:val="000000" w:themeColor="text1"/>
              </w:rPr>
            </w:pPr>
            <w:r w:rsidRPr="00524E67">
              <w:rPr>
                <w:color w:val="000000" w:themeColor="text1"/>
                <w:sz w:val="18"/>
                <w:szCs w:val="18"/>
              </w:rPr>
              <w:t>Completado — EDA, correlaciones preliminares.</w:t>
            </w:r>
          </w:p>
        </w:tc>
      </w:tr>
      <w:tr w:rsidR="00524E67" w:rsidRPr="00524E67" w14:paraId="220767A1" w14:textId="77777777">
        <w:tblPrEx>
          <w:tblCellMar>
            <w:top w:w="0" w:type="dxa"/>
            <w:bottom w:w="0" w:type="dxa"/>
          </w:tblCellMar>
        </w:tblPrEx>
        <w:tc>
          <w:tcPr>
            <w:tcW w:w="3200" w:type="dxa"/>
            <w:tcMar>
              <w:top w:w="80" w:type="dxa"/>
              <w:left w:w="100" w:type="dxa"/>
              <w:bottom w:w="80" w:type="dxa"/>
              <w:right w:w="100" w:type="dxa"/>
            </w:tcMar>
            <w:vAlign w:val="center"/>
          </w:tcPr>
          <w:p w14:paraId="1B4033F3" w14:textId="77777777" w:rsidR="00F35F8F" w:rsidRPr="00524E67" w:rsidRDefault="00000000">
            <w:pPr>
              <w:rPr>
                <w:color w:val="000000" w:themeColor="text1"/>
              </w:rPr>
            </w:pPr>
            <w:r w:rsidRPr="00524E67">
              <w:rPr>
                <w:color w:val="000000" w:themeColor="text1"/>
                <w:sz w:val="18"/>
                <w:szCs w:val="18"/>
              </w:rPr>
              <w:t>04_preprocesamiento / 04b (mensual)</w:t>
            </w:r>
          </w:p>
        </w:tc>
        <w:tc>
          <w:tcPr>
            <w:tcW w:w="5800" w:type="dxa"/>
            <w:tcMar>
              <w:top w:w="80" w:type="dxa"/>
              <w:left w:w="100" w:type="dxa"/>
              <w:bottom w:w="80" w:type="dxa"/>
              <w:right w:w="100" w:type="dxa"/>
            </w:tcMar>
            <w:vAlign w:val="center"/>
          </w:tcPr>
          <w:p w14:paraId="0915BD2F" w14:textId="77777777" w:rsidR="00F35F8F" w:rsidRPr="00524E67" w:rsidRDefault="00000000">
            <w:pPr>
              <w:rPr>
                <w:color w:val="000000" w:themeColor="text1"/>
              </w:rPr>
            </w:pPr>
            <w:r w:rsidRPr="00524E67">
              <w:rPr>
                <w:color w:val="000000" w:themeColor="text1"/>
                <w:sz w:val="18"/>
                <w:szCs w:val="18"/>
              </w:rPr>
              <w:t>Completado — estandarización y transformación (log-diferencia / diferencia simple).</w:t>
            </w:r>
          </w:p>
        </w:tc>
      </w:tr>
      <w:tr w:rsidR="00524E67" w:rsidRPr="00524E67" w14:paraId="41BBB98F" w14:textId="77777777">
        <w:tblPrEx>
          <w:tblCellMar>
            <w:top w:w="0" w:type="dxa"/>
            <w:bottom w:w="0" w:type="dxa"/>
          </w:tblCellMar>
        </w:tblPrEx>
        <w:tc>
          <w:tcPr>
            <w:tcW w:w="3200" w:type="dxa"/>
            <w:tcMar>
              <w:top w:w="80" w:type="dxa"/>
              <w:left w:w="100" w:type="dxa"/>
              <w:bottom w:w="80" w:type="dxa"/>
              <w:right w:w="100" w:type="dxa"/>
            </w:tcMar>
            <w:vAlign w:val="center"/>
          </w:tcPr>
          <w:p w14:paraId="111F3DC5" w14:textId="77777777" w:rsidR="00F35F8F" w:rsidRPr="00524E67" w:rsidRDefault="00000000">
            <w:pPr>
              <w:rPr>
                <w:color w:val="000000" w:themeColor="text1"/>
              </w:rPr>
            </w:pPr>
            <w:r w:rsidRPr="00524E67">
              <w:rPr>
                <w:color w:val="000000" w:themeColor="text1"/>
                <w:sz w:val="18"/>
                <w:szCs w:val="18"/>
              </w:rPr>
              <w:t>05_pca</w:t>
            </w:r>
          </w:p>
        </w:tc>
        <w:tc>
          <w:tcPr>
            <w:tcW w:w="5800" w:type="dxa"/>
            <w:tcMar>
              <w:top w:w="80" w:type="dxa"/>
              <w:left w:w="100" w:type="dxa"/>
              <w:bottom w:w="80" w:type="dxa"/>
              <w:right w:w="100" w:type="dxa"/>
            </w:tcMar>
            <w:vAlign w:val="center"/>
          </w:tcPr>
          <w:p w14:paraId="76915D78" w14:textId="77777777" w:rsidR="00F35F8F" w:rsidRPr="00524E67" w:rsidRDefault="00000000">
            <w:pPr>
              <w:rPr>
                <w:color w:val="000000" w:themeColor="text1"/>
              </w:rPr>
            </w:pPr>
            <w:r w:rsidRPr="00524E67">
              <w:rPr>
                <w:color w:val="000000" w:themeColor="text1"/>
                <w:sz w:val="18"/>
                <w:szCs w:val="18"/>
              </w:rPr>
              <w:t>Completado — PCA estático sobre datos de niveles y transformados; confirma contaminación por tendencia en niveles (r≈0.994 con el tiempo) frente a estructura de régimen en datos transformados (r≈0.089).</w:t>
            </w:r>
          </w:p>
        </w:tc>
      </w:tr>
      <w:tr w:rsidR="00524E67" w:rsidRPr="00524E67" w14:paraId="144ADF10" w14:textId="77777777">
        <w:tblPrEx>
          <w:tblCellMar>
            <w:top w:w="0" w:type="dxa"/>
            <w:bottom w:w="0" w:type="dxa"/>
          </w:tblCellMar>
        </w:tblPrEx>
        <w:tc>
          <w:tcPr>
            <w:tcW w:w="3200" w:type="dxa"/>
            <w:tcMar>
              <w:top w:w="80" w:type="dxa"/>
              <w:left w:w="100" w:type="dxa"/>
              <w:bottom w:w="80" w:type="dxa"/>
              <w:right w:w="100" w:type="dxa"/>
            </w:tcMar>
            <w:vAlign w:val="center"/>
          </w:tcPr>
          <w:p w14:paraId="59CA6B41" w14:textId="77777777" w:rsidR="00F35F8F" w:rsidRPr="00524E67" w:rsidRDefault="00000000">
            <w:pPr>
              <w:rPr>
                <w:color w:val="000000" w:themeColor="text1"/>
              </w:rPr>
            </w:pPr>
            <w:r w:rsidRPr="00524E67">
              <w:rPr>
                <w:color w:val="000000" w:themeColor="text1"/>
                <w:sz w:val="18"/>
                <w:szCs w:val="18"/>
              </w:rPr>
              <w:t>06_epca / 06a / 06b</w:t>
            </w:r>
          </w:p>
        </w:tc>
        <w:tc>
          <w:tcPr>
            <w:tcW w:w="5800" w:type="dxa"/>
            <w:tcMar>
              <w:top w:w="80" w:type="dxa"/>
              <w:left w:w="100" w:type="dxa"/>
              <w:bottom w:w="80" w:type="dxa"/>
              <w:right w:w="100" w:type="dxa"/>
            </w:tcMar>
            <w:vAlign w:val="center"/>
          </w:tcPr>
          <w:p w14:paraId="45818151" w14:textId="77777777" w:rsidR="00F35F8F" w:rsidRPr="00524E67" w:rsidRDefault="00000000">
            <w:pPr>
              <w:rPr>
                <w:color w:val="000000" w:themeColor="text1"/>
              </w:rPr>
            </w:pPr>
            <w:r w:rsidRPr="00524E67">
              <w:rPr>
                <w:color w:val="000000" w:themeColor="text1"/>
                <w:sz w:val="18"/>
                <w:szCs w:val="18"/>
              </w:rPr>
              <w:t xml:space="preserve">Parcial — exploración de selección de ventana EPCA (trimestral y mensual); pendiente adoptar la regla de alineación de signo determinista de </w:t>
            </w:r>
            <w:proofErr w:type="spellStart"/>
            <w:r w:rsidRPr="00524E67">
              <w:rPr>
                <w:color w:val="000000" w:themeColor="text1"/>
                <w:sz w:val="18"/>
                <w:szCs w:val="18"/>
              </w:rPr>
              <w:t>Rcamiz</w:t>
            </w:r>
            <w:proofErr w:type="spellEnd"/>
            <w:r w:rsidRPr="00524E67">
              <w:rPr>
                <w:color w:val="000000" w:themeColor="text1"/>
                <w:sz w:val="18"/>
                <w:szCs w:val="18"/>
              </w:rPr>
              <w:t>.</w:t>
            </w:r>
          </w:p>
        </w:tc>
      </w:tr>
      <w:tr w:rsidR="00524E67" w:rsidRPr="00524E67" w14:paraId="1F48ABE8" w14:textId="77777777">
        <w:tblPrEx>
          <w:tblCellMar>
            <w:top w:w="0" w:type="dxa"/>
            <w:bottom w:w="0" w:type="dxa"/>
          </w:tblCellMar>
        </w:tblPrEx>
        <w:tc>
          <w:tcPr>
            <w:tcW w:w="3200" w:type="dxa"/>
            <w:tcMar>
              <w:top w:w="80" w:type="dxa"/>
              <w:left w:w="100" w:type="dxa"/>
              <w:bottom w:w="80" w:type="dxa"/>
              <w:right w:w="100" w:type="dxa"/>
            </w:tcMar>
            <w:vAlign w:val="center"/>
          </w:tcPr>
          <w:p w14:paraId="175C2C1A" w14:textId="77777777" w:rsidR="00F35F8F" w:rsidRPr="00524E67" w:rsidRDefault="00000000">
            <w:pPr>
              <w:rPr>
                <w:color w:val="000000" w:themeColor="text1"/>
              </w:rPr>
            </w:pPr>
            <w:r w:rsidRPr="00524E67">
              <w:rPr>
                <w:color w:val="000000" w:themeColor="text1"/>
                <w:sz w:val="18"/>
                <w:szCs w:val="18"/>
              </w:rPr>
              <w:t>07_pca_rcamiz.qmd</w:t>
            </w:r>
          </w:p>
        </w:tc>
        <w:tc>
          <w:tcPr>
            <w:tcW w:w="5800" w:type="dxa"/>
            <w:tcMar>
              <w:top w:w="80" w:type="dxa"/>
              <w:left w:w="100" w:type="dxa"/>
              <w:bottom w:w="80" w:type="dxa"/>
              <w:right w:w="100" w:type="dxa"/>
            </w:tcMar>
            <w:vAlign w:val="center"/>
          </w:tcPr>
          <w:p w14:paraId="46149944" w14:textId="77777777" w:rsidR="00F35F8F" w:rsidRPr="00524E67" w:rsidRDefault="00000000">
            <w:pPr>
              <w:rPr>
                <w:color w:val="000000" w:themeColor="text1"/>
              </w:rPr>
            </w:pPr>
            <w:r w:rsidRPr="00524E67">
              <w:rPr>
                <w:color w:val="000000" w:themeColor="text1"/>
                <w:sz w:val="18"/>
                <w:szCs w:val="18"/>
              </w:rPr>
              <w:t xml:space="preserve">Completado — validación cruzada de PCA en R (paquete </w:t>
            </w:r>
            <w:proofErr w:type="spellStart"/>
            <w:r w:rsidRPr="00524E67">
              <w:rPr>
                <w:color w:val="000000" w:themeColor="text1"/>
                <w:sz w:val="18"/>
                <w:szCs w:val="18"/>
              </w:rPr>
              <w:t>Rcamiz</w:t>
            </w:r>
            <w:proofErr w:type="spellEnd"/>
            <w:r w:rsidRPr="00524E67">
              <w:rPr>
                <w:color w:val="000000" w:themeColor="text1"/>
                <w:sz w:val="18"/>
                <w:szCs w:val="18"/>
              </w:rPr>
              <w:t xml:space="preserve">) frente a </w:t>
            </w:r>
            <w:proofErr w:type="spellStart"/>
            <w:r w:rsidRPr="00524E67">
              <w:rPr>
                <w:color w:val="000000" w:themeColor="text1"/>
                <w:sz w:val="18"/>
                <w:szCs w:val="18"/>
              </w:rPr>
              <w:t>scikit-learn</w:t>
            </w:r>
            <w:proofErr w:type="spellEnd"/>
            <w:r w:rsidRPr="00524E67">
              <w:rPr>
                <w:color w:val="000000" w:themeColor="text1"/>
                <w:sz w:val="18"/>
                <w:szCs w:val="18"/>
              </w:rPr>
              <w:t>; equivalencia confirmada (|r| = 1).</w:t>
            </w:r>
          </w:p>
        </w:tc>
      </w:tr>
      <w:tr w:rsidR="00524E67" w:rsidRPr="00524E67" w14:paraId="52FDA2C5" w14:textId="77777777">
        <w:tblPrEx>
          <w:tblCellMar>
            <w:top w:w="0" w:type="dxa"/>
            <w:bottom w:w="0" w:type="dxa"/>
          </w:tblCellMar>
        </w:tblPrEx>
        <w:tc>
          <w:tcPr>
            <w:tcW w:w="3200" w:type="dxa"/>
            <w:tcMar>
              <w:top w:w="80" w:type="dxa"/>
              <w:left w:w="100" w:type="dxa"/>
              <w:bottom w:w="80" w:type="dxa"/>
              <w:right w:w="100" w:type="dxa"/>
            </w:tcMar>
            <w:vAlign w:val="center"/>
          </w:tcPr>
          <w:p w14:paraId="41F7B3D4" w14:textId="77777777" w:rsidR="00F35F8F" w:rsidRPr="00524E67" w:rsidRDefault="00000000">
            <w:pPr>
              <w:rPr>
                <w:color w:val="000000" w:themeColor="text1"/>
              </w:rPr>
            </w:pPr>
            <w:r w:rsidRPr="00524E67">
              <w:rPr>
                <w:color w:val="000000" w:themeColor="text1"/>
                <w:sz w:val="18"/>
                <w:szCs w:val="18"/>
              </w:rPr>
              <w:t>999_pca_hfc / 999_epca_ehfc / 999_autoencoder_lstm</w:t>
            </w:r>
          </w:p>
        </w:tc>
        <w:tc>
          <w:tcPr>
            <w:tcW w:w="5800" w:type="dxa"/>
            <w:tcMar>
              <w:top w:w="80" w:type="dxa"/>
              <w:left w:w="100" w:type="dxa"/>
              <w:bottom w:w="80" w:type="dxa"/>
              <w:right w:w="100" w:type="dxa"/>
            </w:tcMar>
            <w:vAlign w:val="center"/>
          </w:tcPr>
          <w:p w14:paraId="56BAAFF8" w14:textId="77777777" w:rsidR="00F35F8F" w:rsidRPr="00524E67" w:rsidRDefault="00000000">
            <w:pPr>
              <w:rPr>
                <w:color w:val="000000" w:themeColor="text1"/>
              </w:rPr>
            </w:pPr>
            <w:r w:rsidRPr="00524E67">
              <w:rPr>
                <w:color w:val="000000" w:themeColor="text1"/>
                <w:sz w:val="18"/>
                <w:szCs w:val="18"/>
              </w:rPr>
              <w:t xml:space="preserve">Notebooks de desarrollo — HFC, EHFC y </w:t>
            </w:r>
            <w:proofErr w:type="spellStart"/>
            <w:r w:rsidRPr="00524E67">
              <w:rPr>
                <w:color w:val="000000" w:themeColor="text1"/>
                <w:sz w:val="18"/>
                <w:szCs w:val="18"/>
              </w:rPr>
              <w:t>Autoencoder</w:t>
            </w:r>
            <w:proofErr w:type="spellEnd"/>
            <w:r w:rsidRPr="00524E67">
              <w:rPr>
                <w:color w:val="000000" w:themeColor="text1"/>
                <w:sz w:val="18"/>
                <w:szCs w:val="18"/>
              </w:rPr>
              <w:t>/LSTM aún no implementados sobre datos BCRP.</w:t>
            </w:r>
          </w:p>
        </w:tc>
      </w:tr>
    </w:tbl>
    <w:p w14:paraId="675A4C0F" w14:textId="77777777" w:rsidR="00F35F8F" w:rsidRPr="00524E67" w:rsidRDefault="00F35F8F">
      <w:pPr>
        <w:spacing w:after="240"/>
        <w:rPr>
          <w:color w:val="000000" w:themeColor="text1"/>
        </w:rPr>
      </w:pPr>
    </w:p>
    <w:p w14:paraId="0E24DC41" w14:textId="77777777" w:rsidR="00F35F8F" w:rsidRPr="00524E67" w:rsidRDefault="00000000">
      <w:pPr>
        <w:pStyle w:val="Ttulo2"/>
        <w:spacing w:before="220" w:after="140"/>
        <w:rPr>
          <w:color w:val="000000" w:themeColor="text1"/>
        </w:rPr>
      </w:pPr>
      <w:bookmarkStart w:id="18" w:name="_Toc236344278"/>
      <w:r w:rsidRPr="00524E67">
        <w:rPr>
          <w:b/>
          <w:bCs/>
          <w:color w:val="000000" w:themeColor="text1"/>
          <w:sz w:val="24"/>
          <w:szCs w:val="24"/>
        </w:rPr>
        <w:t>Anexo C: Literatura identificada pendiente de Ficha Estándar</w:t>
      </w:r>
      <w:bookmarkEnd w:id="18"/>
    </w:p>
    <w:p w14:paraId="3722664E" w14:textId="21CA4FDB" w:rsidR="00F35F8F" w:rsidRPr="00524E67" w:rsidRDefault="00524E67">
      <w:pPr>
        <w:spacing w:after="160" w:line="276" w:lineRule="auto"/>
        <w:jc w:val="both"/>
        <w:rPr>
          <w:color w:val="000000" w:themeColor="text1"/>
        </w:rPr>
      </w:pPr>
      <w:proofErr w:type="spellStart"/>
      <w:r>
        <w:rPr>
          <w:i/>
          <w:iCs/>
          <w:color w:val="000000" w:themeColor="text1"/>
          <w:sz w:val="18"/>
          <w:szCs w:val="18"/>
        </w:rPr>
        <w:t>Lq</w:t>
      </w:r>
      <w:proofErr w:type="spellEnd"/>
      <w:r>
        <w:rPr>
          <w:i/>
          <w:iCs/>
          <w:color w:val="000000" w:themeColor="text1"/>
          <w:sz w:val="18"/>
          <w:szCs w:val="18"/>
        </w:rPr>
        <w:t xml:space="preserve"> construcción de la literatura está muy avanzada sin embargo aún falta resumir la siguiente literatura como parte del </w:t>
      </w:r>
      <w:proofErr w:type="spellStart"/>
      <w:r>
        <w:rPr>
          <w:i/>
          <w:iCs/>
          <w:color w:val="000000" w:themeColor="text1"/>
          <w:sz w:val="18"/>
          <w:szCs w:val="18"/>
        </w:rPr>
        <w:t>procesdimiento</w:t>
      </w:r>
      <w:proofErr w:type="spellEnd"/>
      <w:r>
        <w:rPr>
          <w:i/>
          <w:iCs/>
          <w:color w:val="000000" w:themeColor="text1"/>
          <w:sz w:val="18"/>
          <w:szCs w:val="18"/>
        </w:rPr>
        <w:t xml:space="preserve"> de la investigación de la presente tesis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524E67" w:rsidRPr="00524E67" w14:paraId="26328DFE" w14:textId="77777777">
        <w:tblPrEx>
          <w:tblCellMar>
            <w:top w:w="0" w:type="dxa"/>
            <w:bottom w:w="0" w:type="dxa"/>
          </w:tblCellMar>
        </w:tblPrEx>
        <w:trPr>
          <w:tblHeader/>
        </w:trPr>
        <w:tc>
          <w:tcPr>
            <w:tcW w:w="3000" w:type="dxa"/>
            <w:shd w:val="clear" w:color="auto" w:fill="D9D9D9"/>
            <w:tcMar>
              <w:top w:w="80" w:type="dxa"/>
              <w:left w:w="100" w:type="dxa"/>
              <w:bottom w:w="80" w:type="dxa"/>
              <w:right w:w="100" w:type="dxa"/>
            </w:tcMar>
            <w:vAlign w:val="center"/>
          </w:tcPr>
          <w:p w14:paraId="3DBB9D1F" w14:textId="77777777" w:rsidR="00F35F8F" w:rsidRPr="00524E67" w:rsidRDefault="00000000">
            <w:pPr>
              <w:rPr>
                <w:color w:val="000000" w:themeColor="text1"/>
              </w:rPr>
            </w:pPr>
            <w:r w:rsidRPr="00524E67">
              <w:rPr>
                <w:b/>
                <w:bCs/>
                <w:color w:val="000000" w:themeColor="text1"/>
                <w:sz w:val="18"/>
                <w:szCs w:val="18"/>
              </w:rPr>
              <w:t>Grupo temático</w:t>
            </w:r>
          </w:p>
        </w:tc>
        <w:tc>
          <w:tcPr>
            <w:tcW w:w="6000" w:type="dxa"/>
            <w:shd w:val="clear" w:color="auto" w:fill="D9D9D9"/>
            <w:tcMar>
              <w:top w:w="80" w:type="dxa"/>
              <w:left w:w="100" w:type="dxa"/>
              <w:bottom w:w="80" w:type="dxa"/>
              <w:right w:w="100" w:type="dxa"/>
            </w:tcMar>
            <w:vAlign w:val="center"/>
          </w:tcPr>
          <w:p w14:paraId="61877F7B" w14:textId="77777777" w:rsidR="00F35F8F" w:rsidRPr="00524E67" w:rsidRDefault="00000000">
            <w:pPr>
              <w:rPr>
                <w:color w:val="000000" w:themeColor="text1"/>
              </w:rPr>
            </w:pPr>
            <w:r w:rsidRPr="00524E67">
              <w:rPr>
                <w:b/>
                <w:bCs/>
                <w:color w:val="000000" w:themeColor="text1"/>
                <w:sz w:val="18"/>
                <w:szCs w:val="18"/>
              </w:rPr>
              <w:t>Documentos identificados (pendientes de Ficha Estándar)</w:t>
            </w:r>
          </w:p>
        </w:tc>
      </w:tr>
      <w:tr w:rsidR="00524E67" w:rsidRPr="00524E67" w14:paraId="4DBC2290" w14:textId="77777777">
        <w:tblPrEx>
          <w:tblCellMar>
            <w:top w:w="0" w:type="dxa"/>
            <w:bottom w:w="0" w:type="dxa"/>
          </w:tblCellMar>
        </w:tblPrEx>
        <w:tc>
          <w:tcPr>
            <w:tcW w:w="3000" w:type="dxa"/>
            <w:tcMar>
              <w:top w:w="80" w:type="dxa"/>
              <w:left w:w="100" w:type="dxa"/>
              <w:bottom w:w="80" w:type="dxa"/>
              <w:right w:w="100" w:type="dxa"/>
            </w:tcMar>
            <w:vAlign w:val="center"/>
          </w:tcPr>
          <w:p w14:paraId="7C7E09DC" w14:textId="77777777" w:rsidR="00F35F8F" w:rsidRPr="00524E67" w:rsidRDefault="00000000">
            <w:pPr>
              <w:rPr>
                <w:color w:val="000000" w:themeColor="text1"/>
              </w:rPr>
            </w:pPr>
            <w:r w:rsidRPr="00524E67">
              <w:rPr>
                <w:color w:val="000000" w:themeColor="text1"/>
                <w:sz w:val="18"/>
                <w:szCs w:val="18"/>
              </w:rPr>
              <w:t>Núcleo metodológico HFC/EPCA/EHFC (adicionales)</w:t>
            </w:r>
          </w:p>
        </w:tc>
        <w:tc>
          <w:tcPr>
            <w:tcW w:w="6000" w:type="dxa"/>
            <w:tcMar>
              <w:top w:w="80" w:type="dxa"/>
              <w:left w:w="100" w:type="dxa"/>
              <w:bottom w:w="80" w:type="dxa"/>
              <w:right w:w="100" w:type="dxa"/>
            </w:tcMar>
            <w:vAlign w:val="center"/>
          </w:tcPr>
          <w:p w14:paraId="0A4D2CCB" w14:textId="77777777" w:rsidR="00F35F8F" w:rsidRPr="00524E67" w:rsidRDefault="00000000">
            <w:pPr>
              <w:rPr>
                <w:color w:val="000000" w:themeColor="text1"/>
              </w:rPr>
            </w:pPr>
            <w:proofErr w:type="spellStart"/>
            <w:r w:rsidRPr="00524E67">
              <w:rPr>
                <w:color w:val="000000" w:themeColor="text1"/>
                <w:sz w:val="18"/>
                <w:szCs w:val="18"/>
              </w:rPr>
              <w:t>Camiz</w:t>
            </w:r>
            <w:proofErr w:type="spellEnd"/>
            <w:r w:rsidRPr="00524E67">
              <w:rPr>
                <w:color w:val="000000" w:themeColor="text1"/>
                <w:sz w:val="18"/>
                <w:szCs w:val="18"/>
              </w:rPr>
              <w:t xml:space="preserve"> (2021, dos documentos); </w:t>
            </w:r>
            <w:proofErr w:type="spellStart"/>
            <w:r w:rsidRPr="00524E67">
              <w:rPr>
                <w:color w:val="000000" w:themeColor="text1"/>
                <w:sz w:val="18"/>
                <w:szCs w:val="18"/>
              </w:rPr>
              <w:t>Camiz</w:t>
            </w:r>
            <w:proofErr w:type="spellEnd"/>
            <w:r w:rsidRPr="00524E67">
              <w:rPr>
                <w:color w:val="000000" w:themeColor="text1"/>
                <w:sz w:val="18"/>
                <w:szCs w:val="18"/>
              </w:rPr>
              <w:t xml:space="preserve"> </w:t>
            </w:r>
            <w:proofErr w:type="spellStart"/>
            <w:r w:rsidRPr="00524E67">
              <w:rPr>
                <w:color w:val="000000" w:themeColor="text1"/>
                <w:sz w:val="18"/>
                <w:szCs w:val="18"/>
              </w:rPr>
              <w:t>Diblasi</w:t>
            </w:r>
            <w:proofErr w:type="spellEnd"/>
            <w:r w:rsidRPr="00524E67">
              <w:rPr>
                <w:color w:val="000000" w:themeColor="text1"/>
                <w:sz w:val="18"/>
                <w:szCs w:val="18"/>
              </w:rPr>
              <w:t xml:space="preserve"> (2013); </w:t>
            </w:r>
            <w:proofErr w:type="spellStart"/>
            <w:r w:rsidRPr="00524E67">
              <w:rPr>
                <w:color w:val="000000" w:themeColor="text1"/>
                <w:sz w:val="18"/>
                <w:szCs w:val="18"/>
              </w:rPr>
              <w:t>Camiz</w:t>
            </w:r>
            <w:proofErr w:type="spellEnd"/>
            <w:r w:rsidRPr="00524E67">
              <w:rPr>
                <w:color w:val="000000" w:themeColor="text1"/>
                <w:sz w:val="18"/>
                <w:szCs w:val="18"/>
              </w:rPr>
              <w:t xml:space="preserve"> </w:t>
            </w:r>
            <w:proofErr w:type="spellStart"/>
            <w:r w:rsidRPr="00524E67">
              <w:rPr>
                <w:color w:val="000000" w:themeColor="text1"/>
                <w:sz w:val="18"/>
                <w:szCs w:val="18"/>
              </w:rPr>
              <w:t>Spada</w:t>
            </w:r>
            <w:proofErr w:type="spellEnd"/>
            <w:r w:rsidRPr="00524E67">
              <w:rPr>
                <w:color w:val="000000" w:themeColor="text1"/>
                <w:sz w:val="18"/>
                <w:szCs w:val="18"/>
              </w:rPr>
              <w:t xml:space="preserve"> </w:t>
            </w:r>
            <w:proofErr w:type="spellStart"/>
            <w:r w:rsidRPr="00524E67">
              <w:rPr>
                <w:color w:val="000000" w:themeColor="text1"/>
                <w:sz w:val="18"/>
                <w:szCs w:val="18"/>
              </w:rPr>
              <w:t>Denimal</w:t>
            </w:r>
            <w:proofErr w:type="spellEnd"/>
            <w:r w:rsidRPr="00524E67">
              <w:rPr>
                <w:color w:val="000000" w:themeColor="text1"/>
                <w:sz w:val="18"/>
                <w:szCs w:val="18"/>
              </w:rPr>
              <w:t xml:space="preserve"> </w:t>
            </w:r>
            <w:proofErr w:type="spellStart"/>
            <w:r w:rsidRPr="00524E67">
              <w:rPr>
                <w:color w:val="000000" w:themeColor="text1"/>
                <w:sz w:val="18"/>
                <w:szCs w:val="18"/>
              </w:rPr>
              <w:t>Piraino</w:t>
            </w:r>
            <w:proofErr w:type="spellEnd"/>
            <w:r w:rsidRPr="00524E67">
              <w:rPr>
                <w:color w:val="000000" w:themeColor="text1"/>
                <w:sz w:val="18"/>
                <w:szCs w:val="18"/>
              </w:rPr>
              <w:t xml:space="preserve"> (2020, verificar si es duplicado de </w:t>
            </w:r>
            <w:proofErr w:type="spellStart"/>
            <w:r w:rsidRPr="00524E67">
              <w:rPr>
                <w:color w:val="000000" w:themeColor="text1"/>
                <w:sz w:val="18"/>
                <w:szCs w:val="18"/>
              </w:rPr>
              <w:t>Camiz</w:t>
            </w:r>
            <w:proofErr w:type="spellEnd"/>
            <w:r w:rsidRPr="00524E67">
              <w:rPr>
                <w:color w:val="000000" w:themeColor="text1"/>
                <w:sz w:val="18"/>
                <w:szCs w:val="18"/>
              </w:rPr>
              <w:t xml:space="preserve"> et al. 2020); </w:t>
            </w:r>
            <w:proofErr w:type="spellStart"/>
            <w:r w:rsidRPr="00524E67">
              <w:rPr>
                <w:color w:val="000000" w:themeColor="text1"/>
                <w:sz w:val="18"/>
                <w:szCs w:val="18"/>
              </w:rPr>
              <w:lastRenderedPageBreak/>
              <w:t>Camiz</w:t>
            </w:r>
            <w:proofErr w:type="spellEnd"/>
            <w:r w:rsidRPr="00524E67">
              <w:rPr>
                <w:color w:val="000000" w:themeColor="text1"/>
                <w:sz w:val="18"/>
                <w:szCs w:val="18"/>
              </w:rPr>
              <w:t xml:space="preserve"> </w:t>
            </w:r>
            <w:proofErr w:type="spellStart"/>
            <w:r w:rsidRPr="00524E67">
              <w:rPr>
                <w:color w:val="000000" w:themeColor="text1"/>
                <w:sz w:val="18"/>
                <w:szCs w:val="18"/>
              </w:rPr>
              <w:t>Spada</w:t>
            </w:r>
            <w:proofErr w:type="spellEnd"/>
            <w:r w:rsidRPr="00524E67">
              <w:rPr>
                <w:color w:val="000000" w:themeColor="text1"/>
                <w:sz w:val="18"/>
                <w:szCs w:val="18"/>
              </w:rPr>
              <w:t xml:space="preserve"> (2024); </w:t>
            </w:r>
            <w:proofErr w:type="spellStart"/>
            <w:r w:rsidRPr="00524E67">
              <w:rPr>
                <w:color w:val="000000" w:themeColor="text1"/>
                <w:sz w:val="18"/>
                <w:szCs w:val="18"/>
              </w:rPr>
              <w:t>Camiz</w:t>
            </w:r>
            <w:proofErr w:type="spellEnd"/>
            <w:r w:rsidRPr="00524E67">
              <w:rPr>
                <w:color w:val="000000" w:themeColor="text1"/>
                <w:sz w:val="18"/>
                <w:szCs w:val="18"/>
              </w:rPr>
              <w:t xml:space="preserve"> et al. (2006); Purizaca (2023, EPCA aplicado a </w:t>
            </w:r>
            <w:proofErr w:type="spellStart"/>
            <w:r w:rsidRPr="00524E67">
              <w:rPr>
                <w:color w:val="000000" w:themeColor="text1"/>
                <w:sz w:val="18"/>
                <w:szCs w:val="18"/>
              </w:rPr>
              <w:t>commodities</w:t>
            </w:r>
            <w:proofErr w:type="spellEnd"/>
            <w:r w:rsidRPr="00524E67">
              <w:rPr>
                <w:color w:val="000000" w:themeColor="text1"/>
                <w:sz w:val="18"/>
                <w:szCs w:val="18"/>
              </w:rPr>
              <w:t>, Perú).</w:t>
            </w:r>
          </w:p>
        </w:tc>
      </w:tr>
      <w:tr w:rsidR="00524E67" w:rsidRPr="00524E67" w14:paraId="2F4FFF96" w14:textId="77777777">
        <w:tblPrEx>
          <w:tblCellMar>
            <w:top w:w="0" w:type="dxa"/>
            <w:bottom w:w="0" w:type="dxa"/>
          </w:tblCellMar>
        </w:tblPrEx>
        <w:tc>
          <w:tcPr>
            <w:tcW w:w="3000" w:type="dxa"/>
            <w:tcMar>
              <w:top w:w="80" w:type="dxa"/>
              <w:left w:w="100" w:type="dxa"/>
              <w:bottom w:w="80" w:type="dxa"/>
              <w:right w:w="100" w:type="dxa"/>
            </w:tcMar>
            <w:vAlign w:val="center"/>
          </w:tcPr>
          <w:p w14:paraId="4586DEB4" w14:textId="77777777" w:rsidR="00F35F8F" w:rsidRPr="00524E67" w:rsidRDefault="00000000">
            <w:pPr>
              <w:rPr>
                <w:color w:val="000000" w:themeColor="text1"/>
              </w:rPr>
            </w:pPr>
            <w:r w:rsidRPr="00524E67">
              <w:rPr>
                <w:color w:val="000000" w:themeColor="text1"/>
                <w:sz w:val="18"/>
                <w:szCs w:val="18"/>
              </w:rPr>
              <w:lastRenderedPageBreak/>
              <w:t>Antecedentes de clasificación jerárquica / modelos de factores</w:t>
            </w:r>
          </w:p>
        </w:tc>
        <w:tc>
          <w:tcPr>
            <w:tcW w:w="6000" w:type="dxa"/>
            <w:tcMar>
              <w:top w:w="80" w:type="dxa"/>
              <w:left w:w="100" w:type="dxa"/>
              <w:bottom w:w="80" w:type="dxa"/>
              <w:right w:w="100" w:type="dxa"/>
            </w:tcMar>
            <w:vAlign w:val="center"/>
          </w:tcPr>
          <w:p w14:paraId="621A8AE9" w14:textId="77777777" w:rsidR="00F35F8F" w:rsidRPr="00524E67" w:rsidRDefault="00000000">
            <w:pPr>
              <w:rPr>
                <w:color w:val="000000" w:themeColor="text1"/>
              </w:rPr>
            </w:pPr>
            <w:proofErr w:type="spellStart"/>
            <w:r w:rsidRPr="00524E67">
              <w:rPr>
                <w:color w:val="000000" w:themeColor="text1"/>
                <w:sz w:val="18"/>
                <w:szCs w:val="18"/>
              </w:rPr>
              <w:t>Aiolfi</w:t>
            </w:r>
            <w:proofErr w:type="spellEnd"/>
            <w:r w:rsidRPr="00524E67">
              <w:rPr>
                <w:color w:val="000000" w:themeColor="text1"/>
                <w:sz w:val="18"/>
                <w:szCs w:val="18"/>
              </w:rPr>
              <w:t xml:space="preserve"> et al. (2006); </w:t>
            </w:r>
            <w:proofErr w:type="spellStart"/>
            <w:r w:rsidRPr="00524E67">
              <w:rPr>
                <w:color w:val="000000" w:themeColor="text1"/>
                <w:sz w:val="18"/>
                <w:szCs w:val="18"/>
              </w:rPr>
              <w:t>Forni</w:t>
            </w:r>
            <w:proofErr w:type="spellEnd"/>
            <w:r w:rsidRPr="00524E67">
              <w:rPr>
                <w:color w:val="000000" w:themeColor="text1"/>
                <w:sz w:val="18"/>
                <w:szCs w:val="18"/>
              </w:rPr>
              <w:t xml:space="preserve"> et al. (2000); </w:t>
            </w:r>
            <w:proofErr w:type="spellStart"/>
            <w:r w:rsidRPr="00524E67">
              <w:rPr>
                <w:color w:val="000000" w:themeColor="text1"/>
                <w:sz w:val="18"/>
                <w:szCs w:val="18"/>
              </w:rPr>
              <w:t>Denimal</w:t>
            </w:r>
            <w:proofErr w:type="spellEnd"/>
            <w:r w:rsidRPr="00524E67">
              <w:rPr>
                <w:color w:val="000000" w:themeColor="text1"/>
                <w:sz w:val="18"/>
                <w:szCs w:val="18"/>
              </w:rPr>
              <w:t xml:space="preserve"> (2007); Fisher (1958).</w:t>
            </w:r>
          </w:p>
        </w:tc>
      </w:tr>
      <w:tr w:rsidR="00524E67" w:rsidRPr="00524E67" w14:paraId="47DE8FF3" w14:textId="77777777">
        <w:tblPrEx>
          <w:tblCellMar>
            <w:top w:w="0" w:type="dxa"/>
            <w:bottom w:w="0" w:type="dxa"/>
          </w:tblCellMar>
        </w:tblPrEx>
        <w:tc>
          <w:tcPr>
            <w:tcW w:w="3000" w:type="dxa"/>
            <w:tcMar>
              <w:top w:w="80" w:type="dxa"/>
              <w:left w:w="100" w:type="dxa"/>
              <w:bottom w:w="80" w:type="dxa"/>
              <w:right w:w="100" w:type="dxa"/>
            </w:tcMar>
            <w:vAlign w:val="center"/>
          </w:tcPr>
          <w:p w14:paraId="2B0CE965" w14:textId="77777777" w:rsidR="00F35F8F" w:rsidRPr="00524E67" w:rsidRDefault="00000000">
            <w:pPr>
              <w:rPr>
                <w:color w:val="000000" w:themeColor="text1"/>
              </w:rPr>
            </w:pPr>
            <w:r w:rsidRPr="00524E67">
              <w:rPr>
                <w:color w:val="000000" w:themeColor="text1"/>
                <w:sz w:val="18"/>
                <w:szCs w:val="18"/>
              </w:rPr>
              <w:t>Ciclo económico y financiero: metodologías clásicas y casos Perú/región</w:t>
            </w:r>
          </w:p>
        </w:tc>
        <w:tc>
          <w:tcPr>
            <w:tcW w:w="6000" w:type="dxa"/>
            <w:tcMar>
              <w:top w:w="80" w:type="dxa"/>
              <w:left w:w="100" w:type="dxa"/>
              <w:bottom w:w="80" w:type="dxa"/>
              <w:right w:w="100" w:type="dxa"/>
            </w:tcMar>
            <w:vAlign w:val="center"/>
          </w:tcPr>
          <w:p w14:paraId="2962A19B" w14:textId="77777777" w:rsidR="00F35F8F" w:rsidRPr="00524E67" w:rsidRDefault="00000000">
            <w:pPr>
              <w:rPr>
                <w:color w:val="000000" w:themeColor="text1"/>
              </w:rPr>
            </w:pPr>
            <w:r w:rsidRPr="00524E67">
              <w:rPr>
                <w:color w:val="000000" w:themeColor="text1"/>
                <w:sz w:val="18"/>
                <w:szCs w:val="18"/>
                <w:lang w:val="en-US"/>
              </w:rPr>
              <w:t xml:space="preserve">Hamilton (1989); Kydland &amp; Prescott (1982); Hodrick &amp; Prescott (1997); Harding &amp; Pagan (2002); Baxter &amp; King (1999); Camacho &amp; Pérez-Quirós (2002); Song &amp; Woźniak (2020); Jiménez (1997); Mendoza et al. </w:t>
            </w:r>
            <w:r w:rsidRPr="00524E67">
              <w:rPr>
                <w:color w:val="000000" w:themeColor="text1"/>
                <w:sz w:val="18"/>
                <w:szCs w:val="18"/>
              </w:rPr>
              <w:t xml:space="preserve">(1997); </w:t>
            </w:r>
            <w:proofErr w:type="spellStart"/>
            <w:r w:rsidRPr="00524E67">
              <w:rPr>
                <w:color w:val="000000" w:themeColor="text1"/>
                <w:sz w:val="18"/>
                <w:szCs w:val="18"/>
              </w:rPr>
              <w:t>Winkelried</w:t>
            </w:r>
            <w:proofErr w:type="spellEnd"/>
            <w:r w:rsidRPr="00524E67">
              <w:rPr>
                <w:color w:val="000000" w:themeColor="text1"/>
                <w:sz w:val="18"/>
                <w:szCs w:val="18"/>
              </w:rPr>
              <w:t xml:space="preserve"> (2017); Torres &amp; Baltazar (2023); Terrones Calderón (1993, requiere OCR); </w:t>
            </w:r>
            <w:proofErr w:type="spellStart"/>
            <w:r w:rsidRPr="00524E67">
              <w:rPr>
                <w:color w:val="000000" w:themeColor="text1"/>
                <w:sz w:val="18"/>
                <w:szCs w:val="18"/>
              </w:rPr>
              <w:t>Kholodilin</w:t>
            </w:r>
            <w:proofErr w:type="spellEnd"/>
            <w:r w:rsidRPr="00524E67">
              <w:rPr>
                <w:color w:val="000000" w:themeColor="text1"/>
                <w:sz w:val="18"/>
                <w:szCs w:val="18"/>
              </w:rPr>
              <w:t xml:space="preserve"> (2004); Cuadra (2008); </w:t>
            </w:r>
            <w:proofErr w:type="spellStart"/>
            <w:r w:rsidRPr="00524E67">
              <w:rPr>
                <w:color w:val="000000" w:themeColor="text1"/>
                <w:sz w:val="18"/>
                <w:szCs w:val="18"/>
              </w:rPr>
              <w:t>Hnatkovska</w:t>
            </w:r>
            <w:proofErr w:type="spellEnd"/>
            <w:r w:rsidRPr="00524E67">
              <w:rPr>
                <w:color w:val="000000" w:themeColor="text1"/>
                <w:sz w:val="18"/>
                <w:szCs w:val="18"/>
              </w:rPr>
              <w:t xml:space="preserve"> &amp; Koehler-</w:t>
            </w:r>
            <w:proofErr w:type="spellStart"/>
            <w:r w:rsidRPr="00524E67">
              <w:rPr>
                <w:color w:val="000000" w:themeColor="text1"/>
                <w:sz w:val="18"/>
                <w:szCs w:val="18"/>
              </w:rPr>
              <w:t>Geib</w:t>
            </w:r>
            <w:proofErr w:type="spellEnd"/>
            <w:r w:rsidRPr="00524E67">
              <w:rPr>
                <w:color w:val="000000" w:themeColor="text1"/>
                <w:sz w:val="18"/>
                <w:szCs w:val="18"/>
              </w:rPr>
              <w:t xml:space="preserve"> (2018); Mauricio Vargas (2010).</w:t>
            </w:r>
          </w:p>
        </w:tc>
      </w:tr>
    </w:tbl>
    <w:p w14:paraId="4045328C" w14:textId="77777777" w:rsidR="00A31A02" w:rsidRPr="00524E67" w:rsidRDefault="00A31A02">
      <w:pPr>
        <w:rPr>
          <w:color w:val="000000" w:themeColor="text1"/>
        </w:rPr>
      </w:pPr>
    </w:p>
    <w:sectPr w:rsidR="00A31A02" w:rsidRPr="00524E67">
      <w:headerReference w:type="default" r:id="rId9"/>
      <w:footerReference w:type="default" r:id="rId10"/>
      <w:pgSz w:w="11906" w:h="16838"/>
      <w:pgMar w:top="1440" w:right="1440" w:bottom="1440" w:left="172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86F63" w14:textId="77777777" w:rsidR="00A31A02" w:rsidRDefault="00A31A02">
      <w:r>
        <w:separator/>
      </w:r>
    </w:p>
  </w:endnote>
  <w:endnote w:type="continuationSeparator" w:id="0">
    <w:p w14:paraId="4FEA23EE" w14:textId="77777777" w:rsidR="00A31A02" w:rsidRDefault="00A31A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277BE" w14:textId="77777777" w:rsidR="00F35F8F" w:rsidRDefault="00000000">
    <w:pPr>
      <w:jc w:val="center"/>
    </w:pPr>
    <w:r>
      <w:rPr>
        <w:sz w:val="18"/>
        <w:szCs w:val="18"/>
      </w:rPr>
      <w:fldChar w:fldCharType="begin"/>
    </w:r>
    <w:r>
      <w:rPr>
        <w:sz w:val="18"/>
        <w:szCs w:val="18"/>
      </w:rPr>
      <w:instrText>PAGE</w:instrText>
    </w:r>
    <w:r>
      <w:rPr>
        <w:sz w:val="18"/>
        <w:szCs w:val="18"/>
      </w:rPr>
      <w:fldChar w:fldCharType="separate"/>
    </w:r>
    <w:r w:rsidR="00BF5745">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5DFA0" w14:textId="77777777" w:rsidR="00A31A02" w:rsidRDefault="00A31A02">
      <w:r>
        <w:separator/>
      </w:r>
    </w:p>
  </w:footnote>
  <w:footnote w:type="continuationSeparator" w:id="0">
    <w:p w14:paraId="54699B83" w14:textId="77777777" w:rsidR="00A31A02" w:rsidRDefault="00A31A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C5C0F" w14:textId="77777777" w:rsidR="00F35F8F" w:rsidRDefault="00000000">
    <w:pPr>
      <w:jc w:val="right"/>
    </w:pPr>
    <w:r>
      <w:rPr>
        <w:sz w:val="18"/>
        <w:szCs w:val="18"/>
      </w:rPr>
      <w:t>MMC101 – Seminario de Tesis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518A4"/>
    <w:multiLevelType w:val="hybridMultilevel"/>
    <w:tmpl w:val="E102BD4E"/>
    <w:lvl w:ilvl="0" w:tplc="0A1A020C">
      <w:start w:val="1"/>
      <w:numFmt w:val="bullet"/>
      <w:lvlText w:val="•"/>
      <w:lvlJc w:val="left"/>
      <w:pPr>
        <w:ind w:left="720" w:hanging="360"/>
      </w:pPr>
    </w:lvl>
    <w:lvl w:ilvl="1" w:tplc="06D46590">
      <w:numFmt w:val="decimal"/>
      <w:lvlText w:val=""/>
      <w:lvlJc w:val="left"/>
    </w:lvl>
    <w:lvl w:ilvl="2" w:tplc="C868C282">
      <w:numFmt w:val="decimal"/>
      <w:lvlText w:val=""/>
      <w:lvlJc w:val="left"/>
    </w:lvl>
    <w:lvl w:ilvl="3" w:tplc="AF7CB730">
      <w:numFmt w:val="decimal"/>
      <w:lvlText w:val=""/>
      <w:lvlJc w:val="left"/>
    </w:lvl>
    <w:lvl w:ilvl="4" w:tplc="295ACF82">
      <w:numFmt w:val="decimal"/>
      <w:lvlText w:val=""/>
      <w:lvlJc w:val="left"/>
    </w:lvl>
    <w:lvl w:ilvl="5" w:tplc="2C4A72E6">
      <w:numFmt w:val="decimal"/>
      <w:lvlText w:val=""/>
      <w:lvlJc w:val="left"/>
    </w:lvl>
    <w:lvl w:ilvl="6" w:tplc="79A06410">
      <w:numFmt w:val="decimal"/>
      <w:lvlText w:val=""/>
      <w:lvlJc w:val="left"/>
    </w:lvl>
    <w:lvl w:ilvl="7" w:tplc="27007984">
      <w:numFmt w:val="decimal"/>
      <w:lvlText w:val=""/>
      <w:lvlJc w:val="left"/>
    </w:lvl>
    <w:lvl w:ilvl="8" w:tplc="585E6890">
      <w:numFmt w:val="decimal"/>
      <w:lvlText w:val=""/>
      <w:lvlJc w:val="left"/>
    </w:lvl>
  </w:abstractNum>
  <w:abstractNum w:abstractNumId="1" w15:restartNumberingAfterBreak="0">
    <w:nsid w:val="5B6C7D02"/>
    <w:multiLevelType w:val="hybridMultilevel"/>
    <w:tmpl w:val="15EECFA2"/>
    <w:lvl w:ilvl="0" w:tplc="14183854">
      <w:start w:val="1"/>
      <w:numFmt w:val="bullet"/>
      <w:lvlText w:val="●"/>
      <w:lvlJc w:val="left"/>
      <w:pPr>
        <w:ind w:left="720" w:hanging="360"/>
      </w:pPr>
    </w:lvl>
    <w:lvl w:ilvl="1" w:tplc="519411EA">
      <w:start w:val="1"/>
      <w:numFmt w:val="bullet"/>
      <w:lvlText w:val="○"/>
      <w:lvlJc w:val="left"/>
      <w:pPr>
        <w:ind w:left="1440" w:hanging="360"/>
      </w:pPr>
    </w:lvl>
    <w:lvl w:ilvl="2" w:tplc="947248EE">
      <w:start w:val="1"/>
      <w:numFmt w:val="bullet"/>
      <w:lvlText w:val="■"/>
      <w:lvlJc w:val="left"/>
      <w:pPr>
        <w:ind w:left="2160" w:hanging="360"/>
      </w:pPr>
    </w:lvl>
    <w:lvl w:ilvl="3" w:tplc="32E26A06">
      <w:start w:val="1"/>
      <w:numFmt w:val="bullet"/>
      <w:lvlText w:val="●"/>
      <w:lvlJc w:val="left"/>
      <w:pPr>
        <w:ind w:left="2880" w:hanging="360"/>
      </w:pPr>
    </w:lvl>
    <w:lvl w:ilvl="4" w:tplc="DA8821B6">
      <w:start w:val="1"/>
      <w:numFmt w:val="bullet"/>
      <w:lvlText w:val="○"/>
      <w:lvlJc w:val="left"/>
      <w:pPr>
        <w:ind w:left="3600" w:hanging="360"/>
      </w:pPr>
    </w:lvl>
    <w:lvl w:ilvl="5" w:tplc="9632902C">
      <w:start w:val="1"/>
      <w:numFmt w:val="bullet"/>
      <w:lvlText w:val="■"/>
      <w:lvlJc w:val="left"/>
      <w:pPr>
        <w:ind w:left="4320" w:hanging="360"/>
      </w:pPr>
    </w:lvl>
    <w:lvl w:ilvl="6" w:tplc="6D62DDD8">
      <w:start w:val="1"/>
      <w:numFmt w:val="bullet"/>
      <w:lvlText w:val="●"/>
      <w:lvlJc w:val="left"/>
      <w:pPr>
        <w:ind w:left="5040" w:hanging="360"/>
      </w:pPr>
    </w:lvl>
    <w:lvl w:ilvl="7" w:tplc="59DA97CE">
      <w:start w:val="1"/>
      <w:numFmt w:val="bullet"/>
      <w:lvlText w:val="●"/>
      <w:lvlJc w:val="left"/>
      <w:pPr>
        <w:ind w:left="5760" w:hanging="360"/>
      </w:pPr>
    </w:lvl>
    <w:lvl w:ilvl="8" w:tplc="3F6C8F78">
      <w:start w:val="1"/>
      <w:numFmt w:val="bullet"/>
      <w:lvlText w:val="●"/>
      <w:lvlJc w:val="left"/>
      <w:pPr>
        <w:ind w:left="6480" w:hanging="360"/>
      </w:pPr>
    </w:lvl>
  </w:abstractNum>
  <w:num w:numId="1" w16cid:durableId="1282883909">
    <w:abstractNumId w:val="1"/>
    <w:lvlOverride w:ilvl="0">
      <w:startOverride w:val="1"/>
    </w:lvlOverride>
  </w:num>
  <w:num w:numId="2" w16cid:durableId="14900957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F8F"/>
    <w:rsid w:val="00524E67"/>
    <w:rsid w:val="00731750"/>
    <w:rsid w:val="00A31A02"/>
    <w:rsid w:val="00BC1CDA"/>
    <w:rsid w:val="00BF5745"/>
    <w:rsid w:val="00F35F8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1F915B48"/>
  <w15:docId w15:val="{821D96D9-402D-F442-B858-817C039BA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BF5745"/>
    <w:pPr>
      <w:spacing w:after="100"/>
    </w:pPr>
  </w:style>
  <w:style w:type="paragraph" w:styleId="TDC2">
    <w:name w:val="toc 2"/>
    <w:basedOn w:val="Normal"/>
    <w:next w:val="Normal"/>
    <w:autoRedefine/>
    <w:uiPriority w:val="39"/>
    <w:unhideWhenUsed/>
    <w:rsid w:val="00BF574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12</Pages>
  <Words>3674</Words>
  <Characters>22304</Characters>
  <Application>Microsoft Office Word</Application>
  <DocSecurity>0</DocSecurity>
  <Lines>474</Lines>
  <Paragraphs>229</Paragraphs>
  <ScaleCrop>false</ScaleCrop>
  <Company/>
  <LinksUpToDate>false</LinksUpToDate>
  <CharactersWithSpaces>25749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Carlos Samaniego Salcedo</cp:lastModifiedBy>
  <cp:revision>3</cp:revision>
  <dcterms:created xsi:type="dcterms:W3CDTF">2026-07-31T03:53:00Z</dcterms:created>
  <dcterms:modified xsi:type="dcterms:W3CDTF">2026-07-31T04:05:00Z</dcterms:modified>
</cp:coreProperties>
</file>