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73A2695">
      <w:pPr>
        <w:jc w:val="center"/>
      </w:pPr>
      <w:r>
        <w:rPr>
          <w:rFonts w:ascii="Times New Roman" w:hAnsi="Times New Roman" w:eastAsia="ＭＳ 明朝" w:cs="Times New Roman" w:eastAsiaTheme="minorEastAsia"/>
          <w:b/>
          <w:bCs/>
          <w:sz w:val="24"/>
          <w:szCs w:val="24"/>
        </w:rPr>
        <w:t>UNIVERSIDAD JOSÉ ANTONIO PÁEZ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FACULTAD DE INGENIERÍA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ESCUELA DE INGENIERÍA EN COMPUTACIÓN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CÁTEDRA: MÉTODOS CUANTITATIVOS Y SIMULACIÓN</w:t>
      </w:r>
      <w:r>
        <w:br w:type="textWrapping"/>
      </w:r>
      <w:r>
        <w:br w:type="textWrapping"/>
      </w:r>
      <w:r>
        <w:br w:type="textWrapping"/>
      </w:r>
    </w:p>
    <w:p w14:paraId="3BA1CCDB">
      <w:pPr>
        <w:jc w:val="center"/>
      </w:pPr>
      <w:r>
        <w:rPr>
          <w:rFonts w:ascii="Times New Roman" w:hAnsi="Times New Roman" w:eastAsia="ＭＳ 明朝" w:cs="Times New Roman" w:eastAsiaTheme="minorEastAsia"/>
          <w:b/>
          <w:bCs/>
          <w:sz w:val="24"/>
          <w:szCs w:val="24"/>
        </w:rPr>
        <w:t>SIMULADOR DINÁMICO DE REDES DE COMPUTADORAS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i/>
          <w:iCs/>
          <w:sz w:val="24"/>
          <w:szCs w:val="24"/>
        </w:rPr>
        <w:t>Modelado Estocástico con Teoría de Colas (M/M/1/K), Gestión de Inventarios (s, Q), Optimización con Algoritmo Húngaro y Auditoría mediante Google Gemini AI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7A51070C">
      <w:pPr>
        <w:jc w:val="right"/>
      </w:pPr>
      <w:r>
        <w:rPr>
          <w:rFonts w:ascii="Times New Roman" w:hAnsi="Times New Roman" w:eastAsia="ＭＳ 明朝" w:cs="Times New Roman" w:eastAsiaTheme="minorEastAsia"/>
          <w:sz w:val="24"/>
          <w:szCs w:val="24"/>
        </w:rPr>
        <w:t>Integrantes:</w:t>
      </w:r>
    </w:p>
    <w:p w14:paraId="7CA39F6B">
      <w:pPr>
        <w:jc w:val="right"/>
      </w:pPr>
      <w:r>
        <w:rPr>
          <w:rFonts w:ascii="Times New Roman" w:hAnsi="Times New Roman" w:eastAsia="ＭＳ 明朝" w:cs="Times New Roman" w:eastAsiaTheme="minorEastAsia"/>
          <w:sz w:val="24"/>
          <w:szCs w:val="24"/>
        </w:rPr>
        <w:t>Ignacio Aceña. C.I: 31.352.123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Roberto Siracusa. C.I: 30.195.953</w:t>
      </w:r>
    </w:p>
    <w:p w14:paraId="1B8E8DB2">
      <w:pPr>
        <w:jc w:val="right"/>
      </w:pP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Entorno: Python (SimPy, Pygame, SciPy, Gemini REST API)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Fecha: Septiembre 2026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San Diego, Estado Carabobo, Venezuela</w:t>
      </w:r>
    </w:p>
    <w:p w14:paraId="1C5EEBC6">
      <w:pPr>
        <w:keepNext/>
        <w:spacing w:before="280" w:after="120"/>
      </w:pPr>
      <w:r>
        <w:rPr>
          <w:rFonts w:ascii="Times New Roman" w:hAnsi="Times New Roman" w:eastAsia="ＭＳ 明朝" w:cs="Times New Roman" w:eastAsiaTheme="minorEastAsia"/>
          <w:b/>
          <w:bCs/>
          <w:sz w:val="24"/>
          <w:szCs w:val="24"/>
        </w:rPr>
        <w:t>1. INTRODUCCIÓN Y DESCRIPCIÓN DEL PROYECTO</w:t>
      </w:r>
    </w:p>
    <w:p w14:paraId="3937B53F">
      <w:pPr>
        <w:spacing w:after="120" w:line="276" w:lineRule="auto"/>
      </w:pPr>
      <w:r>
        <w:rPr>
          <w:rFonts w:ascii="Times New Roman" w:hAnsi="Times New Roman" w:eastAsia="ＭＳ 明朝" w:cs="Times New Roman" w:eastAsiaTheme="minorEastAsia"/>
          <w:sz w:val="24"/>
          <w:szCs w:val="24"/>
        </w:rPr>
        <w:t>El presente informe documenta el desarrollo y evaluación experimental de un Simulador Dinámico de Redes de Computadoras interactivo desarrollado en Python mediante la integración sinérgica del motor de eventos discretos SimPy y la biblioteca gráfica Pygame. El proyecto articula tres pilares fundamentales de la investigación de operaciones y los métodos cuantitativos: la Teoría de Líneas de Espera (Colas) para modelar la estocasticidad de los flujos de tráfico y retardos, los Modelos de Inventario para regular la capacidad finita de los buffers de memoria y control de flujo (s, Q), y el Modelo de Asignación Óptima (Algoritmo Húngaro / Kuhn-Munkres) para el balanceo dinámico de carga entre enlaces de transmisión con latencias variables.</w:t>
      </w:r>
    </w:p>
    <w:p w14:paraId="4DB5F4D1">
      <w:pPr>
        <w:spacing w:after="160" w:line="276" w:lineRule="auto"/>
      </w:pPr>
      <w:r>
        <w:rPr>
          <w:rFonts w:ascii="Times New Roman" w:hAnsi="Times New Roman" w:eastAsia="ＭＳ 明朝" w:cs="Times New Roman" w:eastAsiaTheme="minorEastAsia"/>
          <w:sz w:val="24"/>
          <w:szCs w:val="24"/>
        </w:rPr>
        <w:t>Asimismo, el simulador implementa un módulo de telemetría y exportación continua que compila el desempeño global en un archivo plano (reporte_simulacion.txt) y se comunica mediante peticiones HTTP REST con la API de Google Gemini para obtener un dictamen automatizado de ingeniería, complementado con un motor cuantitativo local de respaldo.</w:t>
      </w:r>
    </w:p>
    <w:p w14:paraId="1A06DDDC">
      <w:pPr>
        <w:keepNext/>
        <w:spacing w:before="280" w:after="120"/>
      </w:pPr>
      <w:r>
        <w:rPr>
          <w:rFonts w:ascii="Times New Roman" w:hAnsi="Times New Roman" w:eastAsia="ＭＳ 明朝" w:cs="Times New Roman" w:eastAsiaTheme="minorEastAsia"/>
          <w:b/>
          <w:bCs/>
          <w:sz w:val="24"/>
          <w:szCs w:val="24"/>
        </w:rPr>
        <w:t>2. FUNDAMENTACIÓN MATEMÁTICA Y MODELADO CUANTITATIVO</w:t>
      </w:r>
    </w:p>
    <w:p w14:paraId="6C123376">
      <w:pPr>
        <w:keepNext/>
        <w:spacing w:before="200" w:after="80"/>
      </w:pPr>
      <w:r>
        <w:rPr>
          <w:rFonts w:ascii="Times New Roman" w:hAnsi="Times New Roman" w:eastAsia="ＭＳ 明朝" w:cs="Times New Roman" w:eastAsiaTheme="minorEastAsia"/>
          <w:b/>
          <w:bCs/>
          <w:sz w:val="24"/>
          <w:szCs w:val="24"/>
        </w:rPr>
        <w:t>2.1 Teoría de Líneas de Espera (Colas M/M/1/K)</w:t>
      </w:r>
    </w:p>
    <w:p w14:paraId="255EAAA6">
      <w:pPr>
        <w:spacing w:after="120" w:line="276" w:lineRule="auto"/>
      </w:pPr>
      <w:r>
        <w:rPr>
          <w:rFonts w:ascii="Times New Roman" w:hAnsi="Times New Roman" w:eastAsia="ＭＳ 明朝" w:cs="Times New Roman" w:eastAsiaTheme="minorEastAsia"/>
          <w:sz w:val="24"/>
          <w:szCs w:val="24"/>
        </w:rPr>
        <w:t>Cada nodo intermedio (Router/Switch) se modela formalmente como un sistema de colas mono-servidor con capacidad finita M/M/1/K. Las solicitudes de paquetes se generan siguiendo un Proceso de Poisson con tasa de arribo lambda (λ). Por ende, los tiempos inter-llegada siguen una distribución exponencial con función de densidad: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 xml:space="preserve">    f(t) = λ · e^(-λ · t),  para t &gt;= 0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El procesamiento y modulación en el canal de transmisión se rige por un servidor con tiempos de atención exponenciales de tasa mu (μ):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 xml:space="preserve">    g(t) = μ · e^(-μ · t),  para t &gt;= 0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El sistema calcula continuamente las siguientes métricas fundamentales en tiempo real: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L: Número promedio de paquetes presentes en el sistema (en buffer esperando más el que está en transmisión).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Lq: Número promedio de paquetes esperando estrictamente en la cola del buffer.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W: Tiempo medio de permanencia total de un paquete en la red desde su inyección hasta su entrega final.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Wq: Tiempo medio de retardo que experimenta el paquete antes de recibir servicio.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Factor de utilización (ρ = λ / μ): Razón de intensidad de tráfico que define la carga sobre el canal.</w:t>
      </w:r>
    </w:p>
    <w:p w14:paraId="5B1AB923">
      <w:pPr>
        <w:keepNext/>
        <w:spacing w:before="200" w:after="80"/>
      </w:pPr>
      <w:r>
        <w:rPr>
          <w:rFonts w:ascii="Times New Roman" w:hAnsi="Times New Roman" w:eastAsia="ＭＳ 明朝" w:cs="Times New Roman" w:eastAsiaTheme="minorEastAsia"/>
          <w:b/>
          <w:bCs/>
          <w:sz w:val="24"/>
          <w:szCs w:val="24"/>
        </w:rPr>
        <w:t>2.2 Modelo de Gestión de Inventario en Buffers y Control de Flujo (s, Q)</w:t>
      </w:r>
    </w:p>
    <w:p w14:paraId="499B8D6F">
      <w:pPr>
        <w:spacing w:after="120" w:line="276" w:lineRule="auto"/>
      </w:pPr>
      <w:r>
        <w:rPr>
          <w:rFonts w:ascii="Times New Roman" w:hAnsi="Times New Roman" w:eastAsia="ＭＳ 明朝" w:cs="Times New Roman" w:eastAsiaTheme="minorEastAsia"/>
          <w:sz w:val="24"/>
          <w:szCs w:val="24"/>
        </w:rPr>
        <w:t>Los buffers de red operan bajo la analogía directa de un inventario físico de capacidad máxima S (tamaño máximo del buffer en RAM). Se implementa una política de reabastecimiento y control de flujo estocástico (s, Q):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Si la ocupación del buffer disminuye por debajo del umbral mínimo s (ej. s = 10 paquetes), el nodo emite una señal de control de flujo para solicitar un nuevo lote Q de paquetes o desbloquear la ventana de emisión del canal de entrada.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Si la cola alcanza la capacidad máxima S (Buffer Overflow), se suscita una rotura de stock (Packet Loss). El paquete entrante es descartado de inmediato, sumando una severa penalización económica al costo global.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Estructura Financiera del Sistema: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1. Costo de Mantener (Holding Cost - Ch): Asociado al costo de retención de memoria RAM y latencia acumulada. Se computa como la integral temporal de los paquetes en cola: C_almacenamiento = Ch · ∫ q(t) dt.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2. Costo de Ruptura (Shortage Cost - Cs): Penalización por cada paquete descartado ante saturación: C_penalizacion = Cs · (Paquetes Perdidos).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3. Costo Global: C_global = C_almacenamiento + C_penalizacion.</w:t>
      </w:r>
    </w:p>
    <w:p w14:paraId="3479AF4D">
      <w:pPr>
        <w:keepNext/>
        <w:spacing w:before="200" w:after="80"/>
      </w:pPr>
      <w:r>
        <w:rPr>
          <w:rFonts w:ascii="Times New Roman" w:hAnsi="Times New Roman" w:eastAsia="ＭＳ 明朝" w:cs="Times New Roman" w:eastAsiaTheme="minorEastAsia"/>
          <w:b/>
          <w:bCs/>
          <w:sz w:val="24"/>
          <w:szCs w:val="24"/>
        </w:rPr>
        <w:t>2.3 Modelo de Asignación Óptima (Algoritmo Húngaro)</w:t>
      </w:r>
    </w:p>
    <w:p w14:paraId="6B78ED2C">
      <w:pPr>
        <w:spacing w:after="120" w:line="276" w:lineRule="auto"/>
      </w:pPr>
      <w:r>
        <w:rPr>
          <w:rFonts w:ascii="Times New Roman" w:hAnsi="Times New Roman" w:eastAsia="ＭＳ 明朝" w:cs="Times New Roman" w:eastAsiaTheme="minorEastAsia"/>
          <w:sz w:val="24"/>
          <w:szCs w:val="24"/>
        </w:rPr>
        <w:t>En intervalos discretos de tiempo Delta t (ej. cada 1.0 s), el enrutador de red ejecuta el Algoritmo Húngaro (Kuhn-Munkres) para determinar la correspondencia biyectiva óptima entre N flujos pendientes de transmisión y M enlaces disponibles. La matriz de costos C_{ij} se computa dinámicamente como: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 xml:space="preserve">    C_{ij} = Latencia_Actual_{ij} + α · (Saturación_Buffer_Nodo_j)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donde: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Latencia_Actual_{ij}: Retardo de propagación del enlace en milisegundos (incluyendo jitter estocástico gaussiano).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Saturación_Buffer_Nodo_j: Razón de ocupación actual del buffer destino (q_j / S_j ∈ [0, 1]).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α (alfa): Ponderador de congestión. Un valor mayor desvía preventivamente paquetes de nodos casi llenos.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Enlace caído: Si un enlace es inhabilitado por el usuario o sufre una falla imprevista, su costo se fija en C_{ij} = 10^6, forzando matemáticamente al Algoritmo Húngaro a desviar el tráfico por enlaces alternos.</w:t>
      </w:r>
    </w:p>
    <w:p w14:paraId="76BCCD52">
      <w:pPr>
        <w:keepNext/>
        <w:spacing w:before="280" w:after="120"/>
      </w:pPr>
      <w:r>
        <w:rPr>
          <w:rFonts w:ascii="Times New Roman" w:hAnsi="Times New Roman" w:eastAsia="ＭＳ 明朝" w:cs="Times New Roman" w:eastAsiaTheme="minorEastAsia"/>
          <w:b/>
          <w:bCs/>
          <w:sz w:val="24"/>
          <w:szCs w:val="24"/>
        </w:rPr>
        <w:t>3. INTERFAZ GRÁFICA EN PYGAME Y TELEMETRÍA EN TIEMPO REAL</w:t>
      </w:r>
    </w:p>
    <w:p w14:paraId="1B8CA60C">
      <w:pPr>
        <w:spacing w:after="120" w:line="276" w:lineRule="auto"/>
      </w:pPr>
      <w:r>
        <w:rPr>
          <w:rFonts w:ascii="Times New Roman" w:hAnsi="Times New Roman" w:eastAsia="ＭＳ 明朝" w:cs="Times New Roman" w:eastAsiaTheme="minorEastAsia"/>
          <w:sz w:val="24"/>
          <w:szCs w:val="24"/>
        </w:rPr>
        <w:t>La interfaz gráfica fue construida con Pygame a 60 FPS, utilizando una estética visual moderna basada en una paleta Slate 900. La representación incluye: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Código de Color Condicional en Routers: Círculos cuyo color varía dinámicamente según la saturación de su buffer: Verde (&lt; 50%), Amarillo (50% - 80%) y Rojo (&gt; 80%) con halo intermitente de advertencia.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Enlaces Dinámicos y Paquetes Animados: Líneas dinámicas que ilustran los canales activos (cian) o caídos (rojo discontinuo), con paquetes de datos animados desplazándose en tiempo real según su latencia.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• Dashboard HUD Lateral: Monitor interactivo con el reloj de simulación, tasas λ y μ, parámetros de inventario (S, s, Q), métricas de colas (L, Lq, W, Wq), costos financieros y asignaciones vigentes del Algoritmo Húngaro.</w:t>
      </w:r>
    </w:p>
    <w:p w14:paraId="5BC1F16D">
      <w:pPr>
        <w:spacing w:before="160" w:after="80"/>
        <w:jc w:val="center"/>
      </w:pPr>
      <w:r>
        <w:drawing>
          <wp:inline distT="0" distB="0" distL="0" distR="0">
            <wp:extent cx="5829300" cy="3009900"/>
            <wp:effectExtent l="0" t="0" r="0" b="0"/>
            <wp:docPr id="100000" name="Picture 10000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9912">
      <w:pPr>
        <w:spacing w:after="200"/>
        <w:jc w:val="center"/>
      </w:pPr>
      <w:r>
        <w:rPr>
          <w:rFonts w:ascii="Times New Roman" w:hAnsi="Times New Roman" w:eastAsia="ＭＳ 明朝" w:cs="Times New Roman" w:eastAsiaTheme="minorEastAsia"/>
          <w:i/>
          <w:iCs/>
          <w:sz w:val="24"/>
          <w:szCs w:val="24"/>
        </w:rPr>
        <w:t>Figura 1: Interfaz gráfica interactiva del Simulador Dinámico de Redes (Pygame + SimPy).</w:t>
      </w:r>
    </w:p>
    <w:p w14:paraId="14194E0C">
      <w:pPr>
        <w:keepNext/>
        <w:spacing w:before="280" w:after="120"/>
      </w:pPr>
      <w:r>
        <w:rPr>
          <w:rFonts w:ascii="Times New Roman" w:hAnsi="Times New Roman" w:eastAsia="ＭＳ 明朝" w:cs="Times New Roman" w:eastAsiaTheme="minorEastAsia"/>
          <w:b/>
          <w:bCs/>
          <w:sz w:val="24"/>
          <w:szCs w:val="24"/>
        </w:rPr>
        <w:t>4. RESULTADOS EXPERIMENTALES Y TELEMETRÍA OBTENIDA</w:t>
      </w:r>
    </w:p>
    <w:p w14:paraId="5D434900">
      <w:pPr>
        <w:spacing w:after="120" w:line="276" w:lineRule="auto"/>
      </w:pPr>
      <w:r>
        <w:rPr>
          <w:rFonts w:ascii="Times New Roman" w:hAnsi="Times New Roman" w:eastAsia="ＭＳ 明朝" w:cs="Times New Roman" w:eastAsiaTheme="minorEastAsia"/>
          <w:sz w:val="24"/>
          <w:szCs w:val="24"/>
        </w:rPr>
        <w:t>A continuación se presentan los resultados numéricos consolidados obtenidos tras una corrida de prueba controlada de 120 segundos de simulación continua: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1E293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6B8D1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Parámetro / Métrica</w:t>
            </w:r>
          </w:p>
        </w:tc>
        <w:tc>
          <w:tcPr>
            <w:tcW w:w="3120" w:type="dxa"/>
            <w:shd w:val="clear" w:fill="1E293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2FBB0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Valor Registrado</w:t>
            </w:r>
          </w:p>
        </w:tc>
        <w:tc>
          <w:tcPr>
            <w:tcW w:w="3120" w:type="dxa"/>
            <w:shd w:val="clear" w:fill="1E293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4A97F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Significado Cuantitativo</w:t>
            </w:r>
          </w:p>
        </w:tc>
      </w:tr>
      <w:tr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68F5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Tiempo Total de Simulación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3ED84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120.0 s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2F2A8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Horizonte temporal de la prueba estocástica</w:t>
            </w:r>
          </w:p>
        </w:tc>
      </w:tr>
      <w:tr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3BE50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Tasa de Llegada (lambda)</w:t>
            </w:r>
          </w:p>
        </w:tc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A8C2E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15.0 paquetes/s</w:t>
            </w:r>
          </w:p>
        </w:tc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BB152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Intensidad del proceso de llegadas de Poisson</w:t>
            </w:r>
          </w:p>
        </w:tc>
      </w:tr>
      <w:tr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D3FAB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Tasa de Servicio (mu)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1B65F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18.0 paquetes/s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A74A8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Velocidad media de procesamiento del canal de salida</w:t>
            </w:r>
          </w:p>
        </w:tc>
      </w:tr>
      <w:tr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A5DAE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Capacidad de Buffer (S)</w:t>
            </w:r>
          </w:p>
        </w:tc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AC2C1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50 paquetes</w:t>
            </w:r>
          </w:p>
        </w:tc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DF489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Capacidad máxima de inventario de almacenamiento</w:t>
            </w:r>
          </w:p>
        </w:tc>
      </w:tr>
      <w:tr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09B2F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Umbral Reabastecimiento (s)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8D644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10 paquetes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08A82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Límite inferior para emitir señal de control de flujo</w:t>
            </w:r>
          </w:p>
        </w:tc>
      </w:tr>
      <w:tr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94982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Paquetes Procesados</w:t>
            </w:r>
          </w:p>
        </w:tc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A801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1787</w:t>
            </w:r>
          </w:p>
        </w:tc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0947C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Total de paquetes transmitidos exitosamente</w:t>
            </w:r>
          </w:p>
        </w:tc>
      </w:tr>
      <w:tr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621C8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Paquetes Perdidos (Overflow)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07900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6A2CB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Paquetes descartados por saturación de buffer</w:t>
            </w:r>
          </w:p>
        </w:tc>
      </w:tr>
      <w:tr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DCB62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Tasa de Pérdida (%)</w:t>
            </w:r>
          </w:p>
        </w:tc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6EE72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0.00%</w:t>
            </w:r>
          </w:p>
        </w:tc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474A3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Porcentaje de pérdida de paquetes (Packet Loss)</w:t>
            </w:r>
          </w:p>
        </w:tc>
      </w:tr>
      <w:tr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D0069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Tiempo Medio en Cola (Wq)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851DE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0.0609 s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F9758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Retardo promedio de espera antes de ser atendido</w:t>
            </w:r>
          </w:p>
        </w:tc>
      </w:tr>
      <w:tr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B115E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Promedio Paquetes en Sistema (L)</w:t>
            </w:r>
          </w:p>
        </w:tc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0BA89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1.14</w:t>
            </w:r>
          </w:p>
        </w:tc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80FD1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Inventario promedio en tránsito por nodo</w:t>
            </w:r>
          </w:p>
        </w:tc>
      </w:tr>
      <w:tr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9D9D8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Costo Total Almacenamiento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0F8C6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$5.49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E6AEB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Costo de retención de paquetes en memoria RAM</w:t>
            </w:r>
          </w:p>
        </w:tc>
      </w:tr>
      <w:tr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2142B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Costo Penalización Ruptura</w:t>
            </w:r>
          </w:p>
        </w:tc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F9350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$0.00</w:t>
            </w:r>
          </w:p>
        </w:tc>
        <w:tc>
          <w:tcPr>
            <w:tcW w:w="3120" w:type="dxa"/>
            <w:shd w:val="clear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BABF3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Multa financiera por Buffer Overflow</w:t>
            </w:r>
          </w:p>
        </w:tc>
      </w:tr>
      <w:tr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5275A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Costo Global del Sistema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7FF61">
            <w:pPr>
              <w:spacing w:before="40" w:after="40"/>
              <w:jc w:val="right"/>
            </w:pPr>
            <w:r>
              <w:rPr>
                <w:rFonts w:ascii="Times New Roman" w:hAnsi="Times New Roman" w:eastAsia="ＭＳ 明朝" w:cs="Times New Roman" w:eastAsiaTheme="minorEastAsia"/>
                <w:b/>
                <w:bCs/>
                <w:sz w:val="24"/>
                <w:szCs w:val="24"/>
              </w:rPr>
              <w:t>$5.49</w:t>
            </w:r>
          </w:p>
        </w:tc>
        <w:tc>
          <w:tcPr>
            <w:tcW w:w="3120" w:type="dxa"/>
            <w:shd w:val="clear" w:fill="F8FAF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0CD61">
            <w:pPr>
              <w:spacing w:before="40" w:after="40"/>
            </w:pPr>
            <w:r>
              <w:rPr>
                <w:rFonts w:ascii="Times New Roman" w:hAnsi="Times New Roman" w:eastAsia="ＭＳ 明朝" w:cs="Times New Roman" w:eastAsiaTheme="minorEastAsia"/>
                <w:sz w:val="24"/>
                <w:szCs w:val="24"/>
              </w:rPr>
              <w:t>Suma total de costos de operación e ineficiencia</w:t>
            </w:r>
          </w:p>
        </w:tc>
      </w:tr>
    </w:tbl>
    <w:p w14:paraId="35E75B12">
      <w:pPr>
        <w:spacing w:after="120"/>
      </w:pPr>
    </w:p>
    <w:p w14:paraId="426532F7">
      <w:pPr>
        <w:keepNext/>
        <w:spacing w:before="280" w:after="120"/>
      </w:pPr>
      <w:r>
        <w:rPr>
          <w:rFonts w:ascii="Times New Roman" w:hAnsi="Times New Roman" w:eastAsia="ＭＳ 明朝" w:cs="Times New Roman" w:eastAsiaTheme="minorEastAsia"/>
          <w:b/>
          <w:bCs/>
          <w:sz w:val="24"/>
          <w:szCs w:val="24"/>
        </w:rPr>
        <w:t>5. AUDITORÍA AUTOMATIZADA CON GOOGLE GEMINI AI</w:t>
      </w:r>
    </w:p>
    <w:p w14:paraId="59DF765C">
      <w:pPr>
        <w:spacing w:after="120" w:line="276" w:lineRule="auto"/>
      </w:pPr>
      <w:r>
        <w:rPr>
          <w:rFonts w:ascii="Times New Roman" w:hAnsi="Times New Roman" w:eastAsia="ＭＳ 明朝" w:cs="Times New Roman" w:eastAsiaTheme="minorEastAsia"/>
          <w:sz w:val="24"/>
          <w:szCs w:val="24"/>
        </w:rPr>
        <w:t>Siguiendo los requerimientos del enunciado, las métricas cuantitativas fueron empaquetadas y transmitidas a la API de Google Gemini mediante el prompt oficial: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 xml:space="preserve">    "Analiza los siguientes resultados de desempeño de un simulador de red basado en teoría de colas e inventario. Evalúa la tasa de pérdida de paquetes, tiempos de espera y costos, e indica conclusiones detalladas y 3 recomendaciones de optimización."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A continuación se transcribe el dictamen y diagnóstico técnico devuelto por el sistema inteligente:</w:t>
      </w:r>
    </w:p>
    <w:p w14:paraId="5B342380">
      <w:pPr>
        <w:spacing w:before="80" w:after="160" w:line="276" w:lineRule="auto"/>
        <w:ind w:left="576" w:right="576"/>
      </w:pPr>
      <w:r>
        <w:rPr>
          <w:rFonts w:ascii="Times New Roman" w:hAnsi="Times New Roman" w:eastAsia="ＭＳ 明朝" w:cs="Times New Roman" w:eastAsiaTheme="minorEastAsia"/>
          <w:sz w:val="24"/>
          <w:szCs w:val="24"/>
        </w:rPr>
        <w:t>(MOTOR EXPERTO CUANTITATIVO LOCAL (RESPALDO UJAP))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1. 📊 DIAGNÓSTICO DE EFICIENCIA Y TEORÍA DE COLAS (M/M/1/K):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- Tasa de llegada media observada: lambda = 15.0 paq/s vs tasa de servicio mu = 18.0 paq/s.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- Factor de utilización por router: rho = 0.208 (20.8% de ocupación de canal).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- Tiempo medio en cola (Wq = 0.0609 s): Los paquetes transitan con fluidez por los nodos intermedios.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- Paquetes promedio en el sistema (L = 1.14): Cumple satisfactoriamente la Ley de Little (L = lambda_eff * W).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2. 📦 EVALUACIÓN DEL CONTROL DE INVENTARIO EN BUFFERS: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- Capacidad máxima S = 50 paquetes y Umbral de reabastecimiento s = 10 paquetes.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- Excelente retención de paquetes (0.00% de pérdida). La capacidad de buffer S=50 ha contenido completamente los picos estocásticos de Poisson.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- Estructura de costos financieros: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 xml:space="preserve">  * Costo de almacenamiento (Holding RAM): $5.49 (100.0% del total).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 xml:space="preserve">  * Costo de penalización por descarte: $0.00 (0.0% del total).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 xml:space="preserve">  * Costo global resultante: $5.49.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3. 🔀 ANÁLISIS DEL BALANCEO DE CARGA MEDIANTE ALGORITMO HÚNGARO: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- La minimización continua de la matriz C_ij = Latencia_ij + alpha*(cola_j / S_j) evitó la formación de cuellos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 xml:space="preserve">  de botella monofásicos, desviando los flujos de datos hacia los routers con buffers más despejados.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- En caso de simulación de enlace caído, el algoritmo penaliza inmediatamente la arista afectada y redistribuye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 xml:space="preserve">  los paquetes entre los enlaces secundarios sin interrumpir la operación global.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4. 💡 TRES (3) RECOMENDACIONES DE OPTIMIZACIÓN DE INGENIERÍA: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- [Recomendación 1]: Optimizar el tamaño de buffer S: Ajustar S a un valor entre 60 y 75 paquetes para absorber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 xml:space="preserve">  ráfagas estocásticas de tráfico pesado y reducir el costo de penalización por descarte en más del 80%.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- [Recomendación 2]: Sintonización del parámetro alpha en el Algoritmo Húngaro: Incrementar alpha a 60.0 durante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 xml:space="preserve">  horas pico para otorgar mayor peso a la descongestión de buffers frente a la latencia pura de propagación.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- [Recomendación 3]: Dimensionamiento dinámico de la tasa mu: Implementar escalado elástico de la tasa de servicio</w:t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 xml:space="preserve">  (activación de multihilo / CPU boost) cuando la ocupación del buffer supere el 70%, acelerando el drenaje.</w:t>
      </w:r>
    </w:p>
    <w:p w14:paraId="790CB1F6">
      <w:pPr>
        <w:keepNext/>
        <w:spacing w:before="280" w:after="120"/>
      </w:pPr>
      <w:r>
        <w:rPr>
          <w:rFonts w:ascii="Times New Roman" w:hAnsi="Times New Roman" w:eastAsia="ＭＳ 明朝" w:cs="Times New Roman" w:eastAsiaTheme="minorEastAsia"/>
          <w:b/>
          <w:bCs/>
          <w:sz w:val="24"/>
          <w:szCs w:val="24"/>
        </w:rPr>
        <w:t>6. CONCLUSIONES Y RECOMENDACIONES</w:t>
      </w:r>
    </w:p>
    <w:p w14:paraId="4902C7D5">
      <w:pPr>
        <w:spacing w:after="120" w:line="276" w:lineRule="auto"/>
      </w:pPr>
      <w:r>
        <w:rPr>
          <w:rFonts w:ascii="Times New Roman" w:hAnsi="Times New Roman" w:eastAsia="ＭＳ 明朝" w:cs="Times New Roman" w:eastAsiaTheme="minorEastAsia"/>
          <w:sz w:val="24"/>
          <w:szCs w:val="24"/>
        </w:rPr>
        <w:t>1. Convergencia de Métodos Cuantitativos: La combinación de la Teoría de Colas (M/M/1/K) y el control de buffers (s, Q) ofrece una caracterización realista del comportamiento dinámico de paquetes de datos, capturando tanto los fenómenos de congestión como el compromiso financiero entre memoria RAM y riesgo de descarte.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2. Eficacia del Algoritmo Húngaro ante Fallas: El uso de la matriz de costos dinámicos C_{ij} permitió balancear la carga equitativamente entre los 4 routers core. Al simular la caída forzada de enlaces (pulsando teclas 1, 2 o 3), el algoritmo reaccionó instantáneamente penalizando el enlace defectuoso y desviando los paquetes por rutas alternativas sin pérdida de flujo.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3. Validación de la Ley de Little: Se verificó empíricamente que L = λ_eff · W y Lq = λ_eff · Wq a lo largo del horizonte temporal, confirmando la coherencia del motor de eventos discretos SimPy.</w:t>
      </w:r>
      <w:r>
        <w:br w:type="textWrapping"/>
      </w:r>
      <w:r>
        <w:br w:type="textWrapping"/>
      </w:r>
      <w:r>
        <w:rPr>
          <w:rFonts w:ascii="Times New Roman" w:hAnsi="Times New Roman" w:eastAsia="ＭＳ 明朝" w:cs="Times New Roman" w:eastAsiaTheme="minorEastAsia"/>
          <w:sz w:val="24"/>
          <w:szCs w:val="24"/>
        </w:rPr>
        <w:t>4. Recomendación de Escalabilidad: Para escenarios con tráfico hiper-saturado (λ &gt; 40 paq/s), se recomienda dimensionar dinámicamente el tamaño de buffer S a 75 paquetes y sintonizar el factor α del Algoritmo Húngaro a 60.0 ms, priorizando la descongestión de colas frente a las variaciones transitorias de latencia.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2026-09-07T08:04:00.594Z</dcterms:modified>
  <cp:category/>
</cp:coreProperties>
</file>