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28"/>
          <w:szCs w:val="28"/>
        </w:rPr>
        <w:t xml:space="preserve">Accomplishment Report on Application of Education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c>
          <w:tcPr>
            <w:tcW w:type="dxa" w:w="4873"/>
            <w:tcBorders>
              <w:top w:val="none" w:color="FFFFFF" w:sz="0"/>
              <w:left w:val="none" w:color="FFFFFF" w:sz="0"/>
              <w:bottom w:val="none" w:color="FFFFFF" w:sz="0"/>
              <w:right w:val="none" w:color="FFFFFF" w:sz="0"/>
            </w:tcBorders>
          </w:tcPr>
          <w:p>
            <w:r>
              <w:rPr>
                <w:b/>
                <w:bCs/>
                <w:sz w:val="20"/>
                <w:szCs w:val="20"/>
              </w:rPr>
              <w:t xml:space="preserve">Name: </w:t>
            </w:r>
            <w:r>
              <w:rPr>
                <w:sz w:val="20"/>
                <w:szCs w:val="20"/>
              </w:rPr>
              <w:t xml:space="preserve">Roberto Tupas</w:t>
            </w:r>
          </w:p>
        </w:tc>
        <w:tc>
          <w:tcPr>
            <w:tcW w:type="dxa" w:w="4873"/>
            <w:tcBorders>
              <w:top w:val="none" w:color="FFFFFF" w:sz="0"/>
              <w:left w:val="none" w:color="FFFFFF" w:sz="0"/>
              <w:bottom w:val="none" w:color="FFFFFF" w:sz="0"/>
              <w:right w:val="none" w:color="FFFFFF" w:sz="0"/>
            </w:tcBorders>
          </w:tcPr>
          <w:p>
            <w:r>
              <w:rPr>
                <w:b/>
                <w:bCs/>
                <w:sz w:val="20"/>
                <w:szCs w:val="20"/>
              </w:rPr>
              <w:t xml:space="preserve">Date: </w:t>
            </w:r>
            <w:r>
              <w:rPr>
                <w:sz w:val="20"/>
                <w:szCs w:val="20"/>
              </w:rPr>
              <w:t xml:space="preserve">April 15, 2026</w:t>
            </w:r>
          </w:p>
        </w:tc>
      </w:tr>
      <w:tr>
        <w:tc>
          <w:tcPr>
            <w:tcW w:type="dxa" w:w="4873"/>
            <w:tcBorders>
              <w:top w:val="none" w:color="FFFFFF" w:sz="0"/>
              <w:left w:val="none" w:color="FFFFFF" w:sz="0"/>
              <w:bottom w:val="none" w:color="FFFFFF" w:sz="0"/>
              <w:right w:val="none" w:color="FFFFFF" w:sz="0"/>
            </w:tcBorders>
          </w:tcPr>
          <w:p>
            <w:r>
              <w:rPr>
                <w:b/>
                <w:bCs/>
                <w:sz w:val="20"/>
                <w:szCs w:val="20"/>
              </w:rPr>
              <w:t xml:space="preserve">Position: </w:t>
            </w:r>
            <w:r>
              <w:rPr>
                <w:sz w:val="20"/>
                <w:szCs w:val="20"/>
              </w:rPr>
              <w:t xml:space="preserve">Technical Assistant I</w:t>
            </w:r>
          </w:p>
        </w:tc>
        <w:tc>
          <w:tcPr>
            <w:tcW w:type="dxa" w:w="4873"/>
            <w:tcBorders>
              <w:top w:val="none" w:color="FFFFFF" w:sz="0"/>
              <w:left w:val="none" w:color="FFFFFF" w:sz="0"/>
              <w:bottom w:val="none" w:color="FFFFFF" w:sz="0"/>
              <w:right w:val="none" w:color="FFFFFF" w:sz="0"/>
            </w:tcBorders>
          </w:tcPr>
          <w:p>
            <w:r>
              <w:rPr>
                <w:b/>
                <w:bCs/>
                <w:sz w:val="20"/>
                <w:szCs w:val="20"/>
              </w:rPr>
              <w:t xml:space="preserve">School/Office: </w:t>
            </w:r>
            <w:r>
              <w:rPr>
                <w:sz w:val="20"/>
                <w:szCs w:val="20"/>
              </w:rPr>
              <w:t xml:space="preserve">Schools Division Office of Malaybalay City</w:t>
            </w:r>
          </w:p>
        </w:tc>
      </w:tr>
    </w:tbl>
    <w:p>
      <w:pPr>
        <w:spacing w:after="100" w:before="200"/>
      </w:pPr>
      <w:r>
        <w:rPr>
          <w:b/>
          <w:bCs/>
          <w:sz w:val="22"/>
          <w:szCs w:val="22"/>
        </w:rPr>
        <w:t xml:space="preserve">I. Introduction</w:t>
      </w:r>
    </w:p>
    <w:p>
      <w:pPr>
        <w:spacing w:after="120"/>
        <w:jc w:val="both"/>
      </w:pPr>
      <w:r>
        <w:rPr>
          <w:sz w:val="20"/>
          <w:szCs w:val="20"/>
        </w:rPr>
        <w:t xml:space="preserve">This report covers the implementation of my Action Plan on Application of Education, approved by the Schools Division Superintendent, which applied competencies gained from my Bachelor's degree in Information Technology — specifically from my capstone project, a Laravel-based on-demand ordering and delivery web platform for a hardware store — to strengthen the School-Based Feeding Program (SBFP) Information System of the Schools Division Office of Malaybalay City.</w:t>
      </w:r>
    </w:p>
    <w:p>
      <w:pPr>
        <w:spacing w:after="120"/>
        <w:jc w:val="both"/>
      </w:pPr>
      <w:r>
        <w:rPr>
          <w:sz w:val="20"/>
          <w:szCs w:val="20"/>
        </w:rPr>
        <w:t xml:space="preserve">I was hired as Technical Assistant I on November 5, 2025 and began work on the SBFP Information System on November 10, 2025. Between November 2025 and March 2026, I carried out three major activities in line with the approved action plan. First, from November 10 to December 19, 2025, I reviewed and refactored two core modules of the system — the beneficiary records module and the feeding-schedule module — applying Laravel's MVC architecture and a normalized database structure, the same practices I used to build the multi-module marketplace platform in my capstone project. Second, throughout January 2026, I implemented role-based access control for three distinct user types (school-level users, SBFP coordinators, and division administrators), directly applying the multi-role authentication structure (customer, vendor, and rider) I designed for my capstone project. Third, from February to March 2026, I designed, piloted, and rolled out division-wide a request/delivery status-tracking feature modeled on the same order-tracking logic used in my capstone's delivery platform.</w:t>
      </w:r>
    </w:p>
    <w:p>
      <w:pPr>
        <w:spacing w:after="120"/>
        <w:jc w:val="both"/>
      </w:pPr>
      <w:r>
        <w:rPr>
          <w:sz w:val="20"/>
          <w:szCs w:val="20"/>
        </w:rPr>
        <w:t xml:space="preserve">These activities significantly contributed to the workplace by improving the reliability, security, and efficiency of a system the Division depends on to monitor feeding-program implementation across its elementary and secondary schools. The system's continued use was affirmed in Division Memorandum No. 153, s. 2026 (Orientation on Nutritional Status and SBFP Information System Data Gathering for SY 2026-2027), which relied on the very modules and workflows strengthened under this action plan. This report presents the results achieved against each objective, the improvements experienced by the system's beneficiaries and users, and the reflections gained from carrying out this undertaking.</w:t>
      </w:r>
    </w:p>
    <w:p>
      <w:pPr>
        <w:spacing w:after="100" w:before="200"/>
      </w:pPr>
      <w:r>
        <w:rPr>
          <w:b/>
          <w:bCs/>
          <w:sz w:val="22"/>
          <w:szCs w:val="22"/>
        </w:rPr>
        <w:t xml:space="preserve">II. Accomplishments vis-à-vis Objectives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000"/>
        <w:gridCol w:w="1546"/>
      </w:tblGrid>
      <w:tr>
        <w:trPr>
          <w:tblHeader/>
        </w:trPr>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Objectives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Actual Activities
Done to Meet the
Objectives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Actual
Accomplishments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Date of
Accomplishment</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Refactor and enhance two (2) core modules of the SBFP Information System (beneficiary records and feeding-schedule modules) using Laravel MVC best practices and a normalized database structure.</w:t>
            </w:r>
          </w:p>
        </w:tc>
        <w:tc>
          <w:tcPr>
            <w:tcMar>
              <w:top w:type="dxa" w:w="80"/>
              <w:left w:type="dxa" w:w="80"/>
              <w:bottom w:type="dxa" w:w="80"/>
              <w:right w:type="dxa" w:w="80"/>
            </w:tcMar>
            <w:vAlign w:val="center"/>
          </w:tcPr>
          <w:p>
            <w:pPr>
              <w:spacing w:after="60"/>
              <w:jc w:val="left"/>
            </w:pPr>
            <w:r>
              <w:rPr>
                <w:b w:val="false"/>
                <w:bCs w:val="false"/>
                <w:sz w:val="18"/>
                <w:szCs w:val="18"/>
              </w:rPr>
              <w:t xml:space="preserve">1. Reviewed the existing SBFP system architecture and database schema.</w:t>
            </w:r>
          </w:p>
          <w:p>
            <w:pPr>
              <w:spacing w:after="60"/>
              <w:jc w:val="left"/>
            </w:pPr>
            <w:r>
              <w:rPr>
                <w:b w:val="false"/>
                <w:bCs w:val="false"/>
                <w:sz w:val="18"/>
                <w:szCs w:val="18"/>
              </w:rPr>
              <w:t xml:space="preserve">2. Redesigned the database schema for the two target modules.</w:t>
            </w:r>
          </w:p>
          <w:p>
            <w:pPr>
              <w:spacing w:after="60"/>
              <w:jc w:val="left"/>
            </w:pPr>
            <w:r>
              <w:rPr>
                <w:b w:val="false"/>
                <w:bCs w:val="false"/>
                <w:sz w:val="18"/>
                <w:szCs w:val="18"/>
              </w:rPr>
              <w:t xml:space="preserve">3. Refactored the modules following MVC structure.</w:t>
            </w:r>
          </w:p>
          <w:p>
            <w:pPr>
              <w:spacing w:after="60"/>
              <w:jc w:val="left"/>
            </w:pPr>
            <w:r>
              <w:rPr>
                <w:b w:val="false"/>
                <w:bCs w:val="false"/>
                <w:sz w:val="18"/>
                <w:szCs w:val="18"/>
              </w:rPr>
              <w:t xml:space="preserve">4. Tested and deployed the updated modules.</w:t>
            </w:r>
          </w:p>
        </w:tc>
        <w:tc>
          <w:tcPr>
            <w:tcMar>
              <w:top w:type="dxa" w:w="80"/>
              <w:left w:type="dxa" w:w="80"/>
              <w:bottom w:type="dxa" w:w="80"/>
              <w:right w:type="dxa" w:w="80"/>
            </w:tcMar>
            <w:vAlign w:val="center"/>
          </w:tcPr>
          <w:p>
            <w:pPr>
              <w:spacing w:after="60"/>
              <w:jc w:val="left"/>
            </w:pPr>
            <w:r>
              <w:rPr>
                <w:b w:val="false"/>
                <w:bCs w:val="false"/>
                <w:sz w:val="18"/>
                <w:szCs w:val="18"/>
              </w:rPr>
              <w:t xml:space="preserve">Both modules were successfully refactored, tested, and redeployed. Data-entry errors and record-processing time were noticeably reduced, as confirmed by the SBFP Focal Person during the system walkthrough.</w:t>
            </w:r>
          </w:p>
        </w:tc>
        <w:tc>
          <w:tcPr>
            <w:tcMar>
              <w:top w:type="dxa" w:w="80"/>
              <w:left w:type="dxa" w:w="80"/>
              <w:bottom w:type="dxa" w:w="80"/>
              <w:right w:type="dxa" w:w="80"/>
            </w:tcMar>
            <w:vAlign w:val="center"/>
          </w:tcPr>
          <w:p>
            <w:pPr>
              <w:spacing w:after="60"/>
              <w:jc w:val="center"/>
            </w:pPr>
            <w:r>
              <w:rPr>
                <w:b w:val="false"/>
                <w:bCs w:val="false"/>
                <w:sz w:val="18"/>
                <w:szCs w:val="18"/>
              </w:rPr>
              <w:t xml:space="preserve">December 19, 2025</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Implement role-based access control for three (3) distinct user roles (school-level user, SBFP coordinator, division administrator).</w:t>
            </w:r>
          </w:p>
        </w:tc>
        <w:tc>
          <w:tcPr>
            <w:tcMar>
              <w:top w:type="dxa" w:w="80"/>
              <w:left w:type="dxa" w:w="80"/>
              <w:bottom w:type="dxa" w:w="80"/>
              <w:right w:type="dxa" w:w="80"/>
            </w:tcMar>
            <w:vAlign w:val="center"/>
          </w:tcPr>
          <w:p>
            <w:pPr>
              <w:spacing w:after="60"/>
              <w:jc w:val="left"/>
            </w:pPr>
            <w:r>
              <w:rPr>
                <w:b w:val="false"/>
                <w:bCs w:val="false"/>
                <w:sz w:val="18"/>
                <w:szCs w:val="18"/>
              </w:rPr>
              <w:t xml:space="preserve">1. Defined a role-permissions matrix for each user type.</w:t>
            </w:r>
          </w:p>
          <w:p>
            <w:pPr>
              <w:spacing w:after="60"/>
              <w:jc w:val="left"/>
            </w:pPr>
            <w:r>
              <w:rPr>
                <w:b w:val="false"/>
                <w:bCs w:val="false"/>
                <w:sz w:val="18"/>
                <w:szCs w:val="18"/>
              </w:rPr>
              <w:t xml:space="preserve">2. Implemented Laravel middleware/guards for role-based access.</w:t>
            </w:r>
          </w:p>
          <w:p>
            <w:pPr>
              <w:spacing w:after="60"/>
              <w:jc w:val="left"/>
            </w:pPr>
            <w:r>
              <w:rPr>
                <w:b w:val="false"/>
                <w:bCs w:val="false"/>
                <w:sz w:val="18"/>
                <w:szCs w:val="18"/>
              </w:rPr>
              <w:t xml:space="preserve">3. Conducted user-acceptance testing with representative users from each role.</w:t>
            </w:r>
          </w:p>
        </w:tc>
        <w:tc>
          <w:tcPr>
            <w:tcMar>
              <w:top w:type="dxa" w:w="80"/>
              <w:left w:type="dxa" w:w="80"/>
              <w:bottom w:type="dxa" w:w="80"/>
              <w:right w:type="dxa" w:w="80"/>
            </w:tcMar>
            <w:vAlign w:val="center"/>
          </w:tcPr>
          <w:p>
            <w:pPr>
              <w:spacing w:after="60"/>
              <w:jc w:val="left"/>
            </w:pPr>
            <w:r>
              <w:rPr>
                <w:b w:val="false"/>
                <w:bCs w:val="false"/>
                <w:sz w:val="18"/>
                <w:szCs w:val="18"/>
              </w:rPr>
              <w:t xml:space="preserve">Role-based access control was successfully implemented and validated for all three user types. Login testing showed zero unauthorized-access incidents.</w:t>
            </w:r>
          </w:p>
        </w:tc>
        <w:tc>
          <w:tcPr>
            <w:tcMar>
              <w:top w:type="dxa" w:w="80"/>
              <w:left w:type="dxa" w:w="80"/>
              <w:bottom w:type="dxa" w:w="80"/>
              <w:right w:type="dxa" w:w="80"/>
            </w:tcMar>
            <w:vAlign w:val="center"/>
          </w:tcPr>
          <w:p>
            <w:pPr>
              <w:spacing w:after="60"/>
              <w:jc w:val="center"/>
            </w:pPr>
            <w:r>
              <w:rPr>
                <w:b w:val="false"/>
                <w:bCs w:val="false"/>
                <w:sz w:val="18"/>
                <w:szCs w:val="18"/>
              </w:rPr>
              <w:t xml:space="preserve">January 30, 2026</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Deploy a request/delivery status-tracking feature, reducing average request-to-fulfillment processing time by at least 20% compared to the previous manual process.</w:t>
            </w:r>
          </w:p>
        </w:tc>
        <w:tc>
          <w:tcPr>
            <w:tcMar>
              <w:top w:type="dxa" w:w="80"/>
              <w:left w:type="dxa" w:w="80"/>
              <w:bottom w:type="dxa" w:w="80"/>
              <w:right w:type="dxa" w:w="80"/>
            </w:tcMar>
            <w:vAlign w:val="center"/>
          </w:tcPr>
          <w:p>
            <w:pPr>
              <w:spacing w:after="60"/>
              <w:jc w:val="left"/>
            </w:pPr>
            <w:r>
              <w:rPr>
                <w:b w:val="false"/>
                <w:bCs w:val="false"/>
                <w:sz w:val="18"/>
                <w:szCs w:val="18"/>
              </w:rPr>
              <w:t xml:space="preserve">1. Mapped the previous manual request/fulfillment process.</w:t>
            </w:r>
          </w:p>
          <w:p>
            <w:pPr>
              <w:spacing w:after="60"/>
              <w:jc w:val="left"/>
            </w:pPr>
            <w:r>
              <w:rPr>
                <w:b w:val="false"/>
                <w:bCs w:val="false"/>
                <w:sz w:val="18"/>
                <w:szCs w:val="18"/>
              </w:rPr>
              <w:t xml:space="preserve">2. Designed and built the automated status-tracking module.</w:t>
            </w:r>
          </w:p>
          <w:p>
            <w:pPr>
              <w:spacing w:after="60"/>
              <w:jc w:val="left"/>
            </w:pPr>
            <w:r>
              <w:rPr>
                <w:b w:val="false"/>
                <w:bCs w:val="false"/>
                <w:sz w:val="18"/>
                <w:szCs w:val="18"/>
              </w:rPr>
              <w:t xml:space="preserve">3. Pilot-tested with 2–3 schools.</w:t>
            </w:r>
          </w:p>
          <w:p>
            <w:pPr>
              <w:spacing w:after="60"/>
              <w:jc w:val="left"/>
            </w:pPr>
            <w:r>
              <w:rPr>
                <w:b w:val="false"/>
                <w:bCs w:val="false"/>
                <w:sz w:val="18"/>
                <w:szCs w:val="18"/>
              </w:rPr>
              <w:t xml:space="preserve">4. Rolled out division-wide.</w:t>
            </w:r>
          </w:p>
        </w:tc>
        <w:tc>
          <w:tcPr>
            <w:tcMar>
              <w:top w:type="dxa" w:w="80"/>
              <w:left w:type="dxa" w:w="80"/>
              <w:bottom w:type="dxa" w:w="80"/>
              <w:right w:type="dxa" w:w="80"/>
            </w:tcMar>
            <w:vAlign w:val="center"/>
          </w:tcPr>
          <w:p>
            <w:pPr>
              <w:spacing w:after="60"/>
              <w:jc w:val="left"/>
            </w:pPr>
            <w:r>
              <w:rPr>
                <w:b w:val="false"/>
                <w:bCs w:val="false"/>
                <w:sz w:val="18"/>
                <w:szCs w:val="18"/>
              </w:rPr>
              <w:t xml:space="preserve">The status-tracking module (submitted → approved → in-delivery → completed) was deployed and is in active use division-wide, achieving a 24% reduction in average turnaround time based on before-and-after processing logs.</w:t>
            </w:r>
          </w:p>
        </w:tc>
        <w:tc>
          <w:tcPr>
            <w:tcMar>
              <w:top w:type="dxa" w:w="80"/>
              <w:left w:type="dxa" w:w="80"/>
              <w:bottom w:type="dxa" w:w="80"/>
              <w:right w:type="dxa" w:w="80"/>
            </w:tcMar>
            <w:vAlign w:val="center"/>
          </w:tcPr>
          <w:p>
            <w:pPr>
              <w:spacing w:after="60"/>
              <w:jc w:val="center"/>
            </w:pPr>
            <w:r>
              <w:rPr>
                <w:b w:val="false"/>
                <w:bCs w:val="false"/>
                <w:sz w:val="18"/>
                <w:szCs w:val="18"/>
              </w:rPr>
              <w:t xml:space="preserve">March 31, 2026</w:t>
            </w:r>
          </w:p>
        </w:tc>
      </w:tr>
    </w:tbl>
    <w:p>
      <w:pPr>
        <w:spacing w:after="100" w:before="200"/>
      </w:pPr>
      <w:r>
        <w:rPr>
          <w:b/>
          <w:bCs/>
          <w:sz w:val="22"/>
          <w:szCs w:val="22"/>
        </w:rPr>
        <w:t xml:space="preserve">III. Accomplishments vis-à-vis Beneficiaries/Users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3373"/>
        <w:gridCol w:w="3373"/>
      </w:tblGrid>
      <w:tr>
        <w:trPr>
          <w:tblHeader/>
        </w:trPr>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Beneficiaries/Users</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Baseline Data</w:t>
            </w:r>
          </w:p>
        </w:tc>
        <w:tc>
          <w:tcPr>
            <w:shd w:fill="D9D9D9" w:color="auto" w:val="clear"/>
            <w:tcMar>
              <w:top w:type="dxa" w:w="80"/>
              <w:left w:type="dxa" w:w="80"/>
              <w:bottom w:type="dxa" w:w="80"/>
              <w:right w:type="dxa" w:w="80"/>
            </w:tcMar>
            <w:vAlign w:val="center"/>
          </w:tcPr>
          <w:p>
            <w:pPr>
              <w:spacing w:after="60"/>
              <w:jc w:val="center"/>
            </w:pPr>
            <w:r>
              <w:rPr>
                <w:b/>
                <w:bCs/>
                <w:sz w:val="18"/>
                <w:szCs w:val="18"/>
              </w:rPr>
              <w:t xml:space="preserve">Actual Improvement</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School heads and feeding-program teachers/coordinators across the Division's elementary and secondary schools</w:t>
            </w:r>
          </w:p>
        </w:tc>
        <w:tc>
          <w:tcPr>
            <w:tcMar>
              <w:top w:type="dxa" w:w="80"/>
              <w:left w:type="dxa" w:w="80"/>
              <w:bottom w:type="dxa" w:w="80"/>
              <w:right w:type="dxa" w:w="80"/>
            </w:tcMar>
            <w:vAlign w:val="center"/>
          </w:tcPr>
          <w:p>
            <w:pPr>
              <w:spacing w:after="60"/>
              <w:jc w:val="left"/>
            </w:pPr>
            <w:r>
              <w:rPr>
                <w:b w:val="false"/>
                <w:bCs w:val="false"/>
                <w:sz w:val="18"/>
                <w:szCs w:val="18"/>
              </w:rPr>
              <w:t xml:space="preserve">Feeding-program records and requests were tracked manually/on paper, with an average request-to-fulfillment turnaround of about 5 working days.</w:t>
            </w:r>
          </w:p>
        </w:tc>
        <w:tc>
          <w:tcPr>
            <w:tcMar>
              <w:top w:type="dxa" w:w="80"/>
              <w:left w:type="dxa" w:w="80"/>
              <w:bottom w:type="dxa" w:w="80"/>
              <w:right w:type="dxa" w:w="80"/>
            </w:tcMar>
            <w:vAlign w:val="center"/>
          </w:tcPr>
          <w:p>
            <w:pPr>
              <w:spacing w:after="60"/>
              <w:jc w:val="left"/>
            </w:pPr>
            <w:r>
              <w:rPr>
                <w:b w:val="false"/>
                <w:bCs w:val="false"/>
                <w:sz w:val="18"/>
                <w:szCs w:val="18"/>
              </w:rPr>
              <w:t xml:space="preserve">Turnaround time reduced by roughly 24% (to about 3.8 working days on average); records now centralized and accessible according to each user's role.</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SBFP coordinators and Division program personnel</w:t>
            </w:r>
          </w:p>
        </w:tc>
        <w:tc>
          <w:tcPr>
            <w:tcMar>
              <w:top w:type="dxa" w:w="80"/>
              <w:left w:type="dxa" w:w="80"/>
              <w:bottom w:type="dxa" w:w="80"/>
              <w:right w:type="dxa" w:w="80"/>
            </w:tcMar>
            <w:vAlign w:val="center"/>
          </w:tcPr>
          <w:p>
            <w:pPr>
              <w:spacing w:after="60"/>
              <w:jc w:val="left"/>
            </w:pPr>
            <w:r>
              <w:rPr>
                <w:b w:val="false"/>
                <w:bCs w:val="false"/>
                <w:sz w:val="18"/>
                <w:szCs w:val="18"/>
              </w:rPr>
              <w:t xml:space="preserve">Status of feeding-program requests and deliveries had to be manually consolidated from multiple schools for reporting.</w:t>
            </w:r>
          </w:p>
        </w:tc>
        <w:tc>
          <w:tcPr>
            <w:tcMar>
              <w:top w:type="dxa" w:w="80"/>
              <w:left w:type="dxa" w:w="80"/>
              <w:bottom w:type="dxa" w:w="80"/>
              <w:right w:type="dxa" w:w="80"/>
            </w:tcMar>
            <w:vAlign w:val="center"/>
          </w:tcPr>
          <w:p>
            <w:pPr>
              <w:spacing w:after="60"/>
              <w:jc w:val="left"/>
            </w:pPr>
            <w:r>
              <w:rPr>
                <w:b w:val="false"/>
                <w:bCs w:val="false"/>
                <w:sz w:val="18"/>
                <w:szCs w:val="18"/>
              </w:rPr>
              <w:t xml:space="preserve">Real-time visibility into request status (submitted → approved → in-delivery → completed), enabling faster consolidation for division reporting, including the SY 2026-2027 SBFP data-gathering orientation (DM-2026-153).</w:t>
            </w:r>
          </w:p>
        </w:tc>
      </w:tr>
      <w:tr>
        <w:tc>
          <w:tcPr>
            <w:tcMar>
              <w:top w:type="dxa" w:w="80"/>
              <w:left w:type="dxa" w:w="80"/>
              <w:bottom w:type="dxa" w:w="80"/>
              <w:right w:type="dxa" w:w="80"/>
            </w:tcMar>
            <w:vAlign w:val="center"/>
          </w:tcPr>
          <w:p>
            <w:pPr>
              <w:spacing w:after="60"/>
              <w:jc w:val="left"/>
            </w:pPr>
            <w:r>
              <w:rPr>
                <w:b w:val="false"/>
                <w:bCs w:val="false"/>
                <w:sz w:val="18"/>
                <w:szCs w:val="18"/>
              </w:rPr>
              <w:t xml:space="preserve">Division ICT administrators and system users</w:t>
            </w:r>
          </w:p>
        </w:tc>
        <w:tc>
          <w:tcPr>
            <w:tcMar>
              <w:top w:type="dxa" w:w="80"/>
              <w:left w:type="dxa" w:w="80"/>
              <w:bottom w:type="dxa" w:w="80"/>
              <w:right w:type="dxa" w:w="80"/>
            </w:tcMar>
            <w:vAlign w:val="center"/>
          </w:tcPr>
          <w:p>
            <w:pPr>
              <w:spacing w:after="60"/>
              <w:jc w:val="left"/>
            </w:pPr>
            <w:r>
              <w:rPr>
                <w:b w:val="false"/>
                <w:bCs w:val="false"/>
                <w:sz w:val="18"/>
                <w:szCs w:val="18"/>
              </w:rPr>
              <w:t xml:space="preserve">System access was largely undifferentiated, with limited controls separating school-level, coordinator, and administrator functions.</w:t>
            </w:r>
          </w:p>
        </w:tc>
        <w:tc>
          <w:tcPr>
            <w:tcMar>
              <w:top w:type="dxa" w:w="80"/>
              <w:left w:type="dxa" w:w="80"/>
              <w:bottom w:type="dxa" w:w="80"/>
              <w:right w:type="dxa" w:w="80"/>
            </w:tcMar>
            <w:vAlign w:val="center"/>
          </w:tcPr>
          <w:p>
            <w:pPr>
              <w:spacing w:after="60"/>
              <w:jc w:val="left"/>
            </w:pPr>
            <w:r>
              <w:rPr>
                <w:b w:val="false"/>
                <w:bCs w:val="false"/>
                <w:sz w:val="18"/>
                <w:szCs w:val="18"/>
              </w:rPr>
              <w:t xml:space="preserve">Role-based access control implemented for 3 distinct user roles, with zero unauthorized-access incidents recorded during testing and rollout.</w:t>
            </w:r>
          </w:p>
        </w:tc>
      </w:tr>
    </w:tbl>
    <w:p>
      <w:pPr>
        <w:spacing w:after="100" w:before="200"/>
      </w:pPr>
      <w:r>
        <w:rPr>
          <w:b/>
          <w:bCs/>
          <w:sz w:val="22"/>
          <w:szCs w:val="22"/>
        </w:rPr>
        <w:t xml:space="preserve">IV. Reflections</w:t>
      </w:r>
    </w:p>
    <w:p>
      <w:pPr>
        <w:spacing w:after="80" w:before="160"/>
      </w:pPr>
      <w:r>
        <w:rPr>
          <w:b/>
          <w:bCs/>
          <w:sz w:val="20"/>
          <w:szCs w:val="20"/>
        </w:rPr>
        <w:t xml:space="preserve">A. Difficulties Encountered</w:t>
      </w:r>
    </w:p>
    <w:p>
      <w:pPr>
        <w:spacing w:after="120"/>
        <w:jc w:val="both"/>
      </w:pPr>
      <w:r>
        <w:rPr>
          <w:sz w:val="20"/>
          <w:szCs w:val="20"/>
        </w:rPr>
        <w:t xml:space="preserve">As I was newly hired and had only days between my start date and the start of implementation, my biggest early challenge was getting up to speed on the SBFP system's existing codebase and data structure while still handling day-to-day ICT support duties for the Division. I addressed this by prioritizing a focused review of the system's architecture in my first week and consulting closely with the SBFP Focal Person to understand existing pain points before making changes. A second difficulty was coordinating user-acceptance testing for the role-based access control feature with school representatives, whose availability was limited by their own class and administrative schedules; I addressed this by scheduling short, flexible testing sessions and gathering feedback asynchronously where needed. Finally, piloting the status-tracking module surfaced edge cases in the manual request process that were not originally documented, which I resolved by mapping the actual process directly with SBFP coordinators rather than relying solely on existing documentation.</w:t>
      </w:r>
    </w:p>
    <w:p>
      <w:pPr>
        <w:spacing w:after="80" w:before="160"/>
      </w:pPr>
      <w:r>
        <w:rPr>
          <w:b/>
          <w:bCs/>
          <w:sz w:val="20"/>
          <w:szCs w:val="20"/>
        </w:rPr>
        <w:t xml:space="preserve">B. Most Significant Lesson/Life-Changing Experience</w:t>
      </w:r>
    </w:p>
    <w:p>
      <w:pPr>
        <w:spacing w:after="120"/>
        <w:jc w:val="both"/>
      </w:pPr>
      <w:r>
        <w:rPr>
          <w:sz w:val="20"/>
          <w:szCs w:val="20"/>
        </w:rPr>
        <w:t xml:space="preserve">The most significant lesson from this undertaking was seeing how directly the technical skills from my capstone project — built around a commercial, consumer-facing use case — could be adapted to a public-service context with real institutional constraints, such as approval workflows, varying levels of user technical literacy, and the accountability that comes with handling program data that affects schoolchildren's welfare. It reinforced for me that good system design is not just about the code, but about understanding the people and processes the system serves. This experience gave me real confidence, only months into this position, that the education I completed has direct, measurable value in the work I now do for the Division.</w:t>
      </w:r>
    </w:p>
    <w:p>
      <w:pPr>
        <w:spacing w:after="100" w:before="200"/>
      </w:pPr>
      <w:r>
        <w:rPr>
          <w:b/>
          <w:bCs/>
          <w:sz w:val="22"/>
          <w:szCs w:val="22"/>
        </w:rPr>
        <w:t xml:space="preserve">V. Appendices</w:t>
      </w:r>
    </w:p>
    <w:p>
      <w:pPr>
        <w:spacing w:after="400"/>
        <w:jc w:val="both"/>
      </w:pPr>
      <w:r>
        <w:rPr>
          <w:sz w:val="20"/>
          <w:szCs w:val="20"/>
        </w:rPr>
        <w:t xml:space="preserve">Documentation report includes: Approved Action Plan on Application of Education and Letter of Intent; Division Memorandum No. 153, s. 2026 (Orientation on Nutritional Status and SBFP Information System Data Gathering for SY 2026-2027); system screenshots of the refactored modules, role-based login screens, and status-tracking feature; user-acceptance testing sign-off sheets; and before-and-after processing-time logs.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Prepared by:</w:t>
            </w:r>
          </w:p>
          <w:p>
            <w:pPr>
              <w:spacing w:after="0" w:before="260"/>
            </w:pPr>
            <w:r>
              <w:rPr>
                <w:sz w:val="20"/>
                <w:szCs w:val="20"/>
              </w:rPr>
              <w:t xml:space="preserve"/>
            </w:r>
          </w:p>
          <w:p>
            <w:pPr>
              <w:pBdr>
                <w:top w:val="single" w:color="000000" w:sz="4" w:space="1"/>
              </w:pBdr>
              <w:jc w:val="center"/>
            </w:pPr>
            <w:r>
              <w:rPr>
                <w:b/>
                <w:bCs/>
                <w:sz w:val="20"/>
                <w:szCs w:val="20"/>
              </w:rPr>
              <w:t xml:space="preserve"> </w:t>
            </w:r>
          </w:p>
          <w:p>
            <w:pPr>
              <w:jc w:val="center"/>
            </w:pPr>
            <w:r>
              <w:rPr>
                <w:sz w:val="18"/>
                <w:szCs w:val="18"/>
              </w:rPr>
              <w:t xml:space="preserve">Proponent</w:t>
            </w:r>
          </w:p>
          <w:p>
            <w:pPr>
              <w:jc w:val="center"/>
            </w:pPr>
            <w:r>
              <w:rPr>
                <w:sz w:val="18"/>
                <w:szCs w:val="18"/>
              </w:rPr>
              <w:t xml:space="preserve">Technical Assistant I</w:t>
            </w:r>
          </w:p>
        </w:tc>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Reviewed by:</w:t>
            </w:r>
          </w:p>
          <w:p>
            <w:pPr>
              <w:spacing w:after="0" w:before="260"/>
            </w:pPr>
            <w:r>
              <w:rPr>
                <w:sz w:val="20"/>
                <w:szCs w:val="20"/>
              </w:rPr>
              <w:t xml:space="preserve"/>
            </w:r>
          </w:p>
          <w:p>
            <w:pPr>
              <w:pBdr>
                <w:top w:val="single" w:color="000000" w:sz="4" w:space="1"/>
              </w:pBdr>
              <w:jc w:val="center"/>
            </w:pPr>
            <w:r>
              <w:rPr>
                <w:b/>
                <w:bCs/>
                <w:sz w:val="20"/>
                <w:szCs w:val="20"/>
              </w:rPr>
              <w:t xml:space="preserve">DINDO M. GABALES</w:t>
            </w:r>
          </w:p>
          <w:p>
            <w:pPr>
              <w:jc w:val="center"/>
            </w:pPr>
            <w:r>
              <w:rPr>
                <w:sz w:val="18"/>
                <w:szCs w:val="18"/>
              </w:rPr>
              <w:t xml:space="preserve">EPS</w:t>
            </w:r>
          </w:p>
        </w:tc>
      </w:tr>
    </w:tbl>
    <w:p>
      <w:pPr>
        <w:spacing w:after="100" w:before="30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r>
              <w:rPr>
                <w:sz w:val="20"/>
                <w:szCs w:val="20"/>
              </w:rPr>
              <w:t xml:space="preserve"/>
            </w:r>
          </w:p>
        </w:tc>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Recommending Approval:</w:t>
            </w:r>
          </w:p>
          <w:p>
            <w:pPr>
              <w:spacing w:after="0" w:before="260"/>
            </w:pPr>
            <w:r>
              <w:rPr>
                <w:sz w:val="20"/>
                <w:szCs w:val="20"/>
              </w:rPr>
              <w:t xml:space="preserve"/>
            </w:r>
          </w:p>
          <w:p>
            <w:pPr>
              <w:pBdr>
                <w:top w:val="single" w:color="000000" w:sz="4" w:space="1"/>
              </w:pBdr>
              <w:jc w:val="center"/>
            </w:pPr>
            <w:r>
              <w:rPr>
                <w:b/>
                <w:bCs/>
                <w:sz w:val="20"/>
                <w:szCs w:val="20"/>
              </w:rPr>
              <w:t xml:space="preserve">LANILA M. PALAPAR</w:t>
            </w:r>
          </w:p>
          <w:p>
            <w:pPr>
              <w:jc w:val="center"/>
            </w:pPr>
            <w:r>
              <w:rPr>
                <w:sz w:val="18"/>
                <w:szCs w:val="18"/>
              </w:rPr>
              <w:t xml:space="preserve">Assistant Schools Division Superintendent</w:t>
            </w:r>
          </w:p>
        </w:tc>
      </w:tr>
    </w:tbl>
    <w:p>
      <w:pPr>
        <w:spacing w:after="100" w:before="300"/>
      </w:pPr>
      <w:r>
        <w:rPr>
          <w:sz w:val="20"/>
          <w:szCs w:val="20"/>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rPr>
        <w:tc>
          <w:tcPr>
            <w:tcW w:type="dxa" w:w="4873"/>
            <w:tcBorders>
              <w:top w:val="none" w:color="FFFFFF" w:sz="0"/>
              <w:left w:val="none" w:color="FFFFFF" w:sz="0"/>
              <w:bottom w:val="none" w:color="FFFFFF" w:sz="0"/>
              <w:right w:val="none" w:color="FFFFFF" w:sz="0"/>
            </w:tcBorders>
          </w:tcPr>
          <w:p>
            <w:r>
              <w:rPr>
                <w:sz w:val="20"/>
                <w:szCs w:val="20"/>
              </w:rPr>
              <w:t xml:space="preserve"/>
            </w:r>
          </w:p>
        </w:tc>
        <w:tc>
          <w:tcPr>
            <w:tcW w:type="dxa" w:w="4873"/>
            <w:tcBorders>
              <w:top w:val="none" w:color="FFFFFF" w:sz="0"/>
              <w:left w:val="none" w:color="FFFFFF" w:sz="0"/>
              <w:bottom w:val="none" w:color="FFFFFF" w:sz="0"/>
              <w:right w:val="none" w:color="FFFFFF" w:sz="0"/>
            </w:tcBorders>
          </w:tcPr>
          <w:p>
            <w:pPr>
              <w:spacing w:after="40"/>
            </w:pPr>
            <w:r>
              <w:rPr>
                <w:sz w:val="20"/>
                <w:szCs w:val="20"/>
              </w:rPr>
              <w:t xml:space="preserve">Approved by:</w:t>
            </w:r>
          </w:p>
          <w:p>
            <w:pPr>
              <w:spacing w:after="0" w:before="260"/>
            </w:pPr>
            <w:r>
              <w:rPr>
                <w:sz w:val="20"/>
                <w:szCs w:val="20"/>
              </w:rPr>
              <w:t xml:space="preserve"/>
            </w:r>
          </w:p>
          <w:p>
            <w:pPr>
              <w:pBdr>
                <w:top w:val="single" w:color="000000" w:sz="4" w:space="1"/>
              </w:pBdr>
              <w:jc w:val="center"/>
            </w:pPr>
            <w:r>
              <w:rPr>
                <w:b/>
                <w:bCs/>
                <w:sz w:val="20"/>
                <w:szCs w:val="20"/>
              </w:rPr>
              <w:t xml:space="preserve">CHERRY MAE L. LIMBACO-REYES</w:t>
            </w:r>
          </w:p>
          <w:p>
            <w:pPr>
              <w:jc w:val="center"/>
            </w:pPr>
            <w:r>
              <w:rPr>
                <w:sz w:val="18"/>
                <w:szCs w:val="18"/>
              </w:rPr>
              <w:t xml:space="preserve">Schools Division Superintendent</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2026-09-17T05:02:14.152Z</dcterms:created>
  <dcterms:modified xsi:type="dcterms:W3CDTF">2026-09-17T05:02:14.166Z</dcterms:modified>
</cp:coreProperties>
</file>

<file path=docProps/custom.xml><?xml version="1.0" encoding="utf-8"?>
<Properties xmlns="http://schemas.openxmlformats.org/officeDocument/2006/custom-properties" xmlns:vt="http://schemas.openxmlformats.org/officeDocument/2006/docPropsVTypes"/>
</file>