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Action Plan on Application of Education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r>
              <w:rPr>
                <w:b/>
                <w:bCs/>
                <w:sz w:val="20"/>
                <w:szCs w:val="20"/>
              </w:rPr>
              <w:t xml:space="preserve">Name: </w:t>
            </w:r>
            <w:r>
              <w:rPr>
                <w:sz w:val="20"/>
                <w:szCs w:val="20"/>
              </w:rPr>
              <w:t xml:space="preserve">Roberto Tupas (please confirm exact spelling)</w:t>
            </w:r>
          </w:p>
        </w:tc>
        <w:tc>
          <w:tcPr>
            <w:tcW w:type="dxa" w:w="4873"/>
            <w:tcBorders>
              <w:top w:val="none" w:color="FFFFFF" w:sz="0"/>
              <w:left w:val="none" w:color="FFFFFF" w:sz="0"/>
              <w:bottom w:val="none" w:color="FFFFFF" w:sz="0"/>
              <w:right w:val="none" w:color="FFFFFF" w:sz="0"/>
            </w:tcBorders>
          </w:tcPr>
          <w:p>
            <w:r>
              <w:rPr>
                <w:b/>
                <w:bCs/>
                <w:sz w:val="20"/>
                <w:szCs w:val="20"/>
              </w:rPr>
              <w:t xml:space="preserve">Date: </w:t>
            </w:r>
            <w:r>
              <w:rPr>
                <w:sz w:val="20"/>
                <w:szCs w:val="20"/>
              </w:rPr>
              <w:t xml:space="preserve">September 16, 2026</w:t>
            </w:r>
          </w:p>
        </w:tc>
      </w:tr>
      <w:tr>
        <w:tc>
          <w:tcPr>
            <w:tcW w:type="dxa" w:w="4873"/>
            <w:tcBorders>
              <w:top w:val="none" w:color="FFFFFF" w:sz="0"/>
              <w:left w:val="none" w:color="FFFFFF" w:sz="0"/>
              <w:bottom w:val="none" w:color="FFFFFF" w:sz="0"/>
              <w:right w:val="none" w:color="FFFFFF" w:sz="0"/>
            </w:tcBorders>
          </w:tcPr>
          <w:p>
            <w:r>
              <w:rPr>
                <w:b/>
                <w:bCs/>
                <w:sz w:val="20"/>
                <w:szCs w:val="20"/>
              </w:rPr>
              <w:t xml:space="preserve">Position: </w:t>
            </w:r>
            <w:r>
              <w:rPr>
                <w:sz w:val="20"/>
                <w:szCs w:val="20"/>
              </w:rPr>
              <w:t xml:space="preserve">Technical Assistant I</w:t>
            </w:r>
          </w:p>
        </w:tc>
        <w:tc>
          <w:tcPr>
            <w:tcW w:type="dxa" w:w="4873"/>
            <w:tcBorders>
              <w:top w:val="none" w:color="FFFFFF" w:sz="0"/>
              <w:left w:val="none" w:color="FFFFFF" w:sz="0"/>
              <w:bottom w:val="none" w:color="FFFFFF" w:sz="0"/>
              <w:right w:val="none" w:color="FFFFFF" w:sz="0"/>
            </w:tcBorders>
          </w:tcPr>
          <w:p>
            <w:r>
              <w:rPr>
                <w:b/>
                <w:bCs/>
                <w:sz w:val="20"/>
                <w:szCs w:val="20"/>
              </w:rPr>
              <w:t xml:space="preserve">School/Office: </w:t>
            </w:r>
            <w:r>
              <w:rPr>
                <w:sz w:val="20"/>
                <w:szCs w:val="20"/>
              </w:rPr>
              <w:t xml:space="preserve">Schools Division Office of Malaybalay City</w:t>
            </w:r>
          </w:p>
        </w:tc>
      </w:tr>
    </w:tbl>
    <w:p>
      <w:pPr>
        <w:spacing w:after="100" w:before="200"/>
      </w:pPr>
      <w:r>
        <w:rPr>
          <w:b/>
          <w:bCs/>
          <w:sz w:val="22"/>
          <w:szCs w:val="22"/>
        </w:rPr>
        <w:t xml:space="preserve">I. Title:</w:t>
      </w:r>
    </w:p>
    <w:p>
      <w:pPr>
        <w:spacing w:after="200"/>
      </w:pPr>
      <w:r>
        <w:rPr>
          <w:sz w:val="20"/>
          <w:szCs w:val="20"/>
        </w:rPr>
        <w:t xml:space="preserve">Application of Laravel-Based Multi-User Platform Development and Workflow Automation Skills from the Capstone Project in Strengthening the School-Based Feeding Program (SBFP) Information System of the Schools Division of Malaybalay City, SY 2025-2026</w:t>
      </w:r>
    </w:p>
    <w:p>
      <w:pPr>
        <w:spacing w:after="100" w:before="100"/>
      </w:pPr>
      <w:r>
        <w:rPr>
          <w:b/>
          <w:bCs/>
          <w:sz w:val="22"/>
          <w:szCs w:val="22"/>
        </w:rPr>
        <w:t xml:space="preserve">II. Rationale</w:t>
      </w:r>
    </w:p>
    <w:p>
      <w:pPr>
        <w:spacing w:after="120"/>
        <w:jc w:val="both"/>
      </w:pPr>
      <w:r>
        <w:rPr>
          <w:sz w:val="20"/>
          <w:szCs w:val="20"/>
        </w:rPr>
        <w:t xml:space="preserve">As an Information Technology graduate, my capstone project involved the design and development of a Laravel-based, on-demand ordering and delivery web platform for a hardware store — applying the same business model used by food-delivery services such as FoodPanda, but adapted to hardware and construction-supply retail. The project required building and integrating several interdependent modules: a customer-facing storefront for browsing and ordering products, a merchant/vendor panel for managing inventory and processing orders, and a delivery-rider interface for accepting, tracking, and completing deliveries in real time. Developing this system required competencies in full-stack web development using the Laravel (PHP) framework and the MVC architectural pattern, relational database design and normalization, role-based user authentication and access control across three distinct user types, order and transaction workflow automation, real-time status tracking and notifications, and end-to-end system deployment and server configuration.</w:t>
      </w:r>
    </w:p>
    <w:p>
      <w:pPr>
        <w:spacing w:after="120"/>
        <w:jc w:val="both"/>
      </w:pPr>
      <w:r>
        <w:rPr>
          <w:sz w:val="20"/>
          <w:szCs w:val="20"/>
        </w:rPr>
        <w:t xml:space="preserve">These same competencies are directly and immediately relevant to my current work as Technical Assistant I under the Schools Division Office of Malaybalay City (DepEd), where I am responsible for building and independently deploying full-stack information systems that support division-wide programs. One such system is the School-Based Feeding Program (SBFP) Information System, which — like my capstone project — is fundamentally a multi-user platform that must coordinate requests, records, and status updates among different stakeholders (schools, the division office, and program personnel), and which likewise depends on reliable data architecture, secure role-based access, and workflow automation to function well.</w:t>
      </w:r>
    </w:p>
    <w:p>
      <w:pPr>
        <w:spacing w:after="120"/>
        <w:jc w:val="both"/>
      </w:pPr>
      <w:r>
        <w:rPr>
          <w:sz w:val="20"/>
          <w:szCs w:val="20"/>
        </w:rPr>
        <w:t xml:space="preserve">I was hired as Technical Assistant I on November 5, 2025 and began work on the SBFP Information System on November 10, 2025. A needs analysis of the system conducted at the start of this engagement identified clear opportunities to apply these learnings: strengthening role-based access controls so that school-level users, feeding-program coordinators, and division administrators each see only what is relevant to their role; improving the tracking of feeding-program requests, deliveries, and utilization records using the same order/status-tracking logic used in the capstone project; and refining the system's underlying database structure and modules for better reliability and maintainability.</w:t>
      </w:r>
    </w:p>
    <w:p>
      <w:pPr>
        <w:spacing w:after="200"/>
        <w:jc w:val="both"/>
      </w:pPr>
      <w:r>
        <w:rPr>
          <w:sz w:val="20"/>
          <w:szCs w:val="20"/>
        </w:rPr>
        <w:t xml:space="preserve">Implementing this action plan during SY 2025-2026 formalized and extended the application of my IT education to an actual, ongoing division system — improving the SBFP Information System's security, efficiency, and usability, and directly benefiting the schools and personnel who rely on it, including its continued use for SBFP data gathering into SY 2026-2027.</w:t>
      </w:r>
    </w:p>
    <w:p>
      <w:pPr>
        <w:spacing w:after="100" w:before="100"/>
      </w:pPr>
      <w:r>
        <w:rPr>
          <w:b/>
          <w:bCs/>
          <w:sz w:val="22"/>
          <w:szCs w:val="22"/>
        </w:rPr>
        <w:t xml:space="preserve">III. Implementation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1646"/>
        <w:gridCol w:w="1646"/>
        <w:gridCol w:w="702"/>
        <w:gridCol w:w="820"/>
        <w:gridCol w:w="820"/>
        <w:gridCol w:w="820"/>
        <w:gridCol w:w="1646"/>
      </w:tblGrid>
      <w:tr>
        <w:trPr>
          <w:tblHeader/>
        </w:trPr>
        <w:tc>
          <w:tcPr>
            <w:vMerge w:val="restart"/>
            <w:shd w:fill="D9D9D9" w:color="auto" w:val="clear"/>
            <w:tcMar>
              <w:top w:type="dxa" w:w="80"/>
              <w:left w:type="dxa" w:w="80"/>
              <w:bottom w:type="dxa" w:w="80"/>
              <w:right w:type="dxa" w:w="80"/>
            </w:tcMar>
            <w:vAlign w:val="center"/>
          </w:tcPr>
          <w:p>
            <w:pPr>
              <w:spacing w:after="60"/>
              <w:jc w:val="center"/>
            </w:pPr>
            <w:r>
              <w:rPr>
                <w:b/>
                <w:bCs/>
                <w:sz w:val="18"/>
                <w:szCs w:val="18"/>
              </w:rPr>
              <w:t xml:space="preserve">Concepts/
Processes/
Skills/
Competencies
Applied/ Shared</w:t>
            </w:r>
          </w:p>
        </w:tc>
        <w:tc>
          <w:tcPr>
            <w:vMerge w:val="restart"/>
            <w:shd w:fill="D9D9D9" w:color="auto" w:val="clear"/>
            <w:tcMar>
              <w:top w:type="dxa" w:w="80"/>
              <w:left w:type="dxa" w:w="80"/>
              <w:bottom w:type="dxa" w:w="80"/>
              <w:right w:type="dxa" w:w="80"/>
            </w:tcMar>
            <w:vAlign w:val="center"/>
          </w:tcPr>
          <w:p>
            <w:pPr>
              <w:spacing w:after="60"/>
              <w:jc w:val="center"/>
            </w:pPr>
            <w:r>
              <w:rPr>
                <w:b/>
                <w:bCs/>
                <w:sz w:val="18"/>
                <w:szCs w:val="18"/>
              </w:rPr>
              <w:t xml:space="preserve">Objectives</w:t>
            </w:r>
          </w:p>
        </w:tc>
        <w:tc>
          <w:tcPr>
            <w:vMerge w:val="restart"/>
            <w:shd w:fill="D9D9D9" w:color="auto" w:val="clear"/>
            <w:tcMar>
              <w:top w:type="dxa" w:w="80"/>
              <w:left w:type="dxa" w:w="80"/>
              <w:bottom w:type="dxa" w:w="80"/>
              <w:right w:type="dxa" w:w="80"/>
            </w:tcMar>
            <w:vAlign w:val="center"/>
          </w:tcPr>
          <w:p>
            <w:pPr>
              <w:spacing w:after="60"/>
              <w:jc w:val="center"/>
            </w:pPr>
            <w:r>
              <w:rPr>
                <w:b/>
                <w:bCs/>
                <w:sz w:val="18"/>
                <w:szCs w:val="18"/>
              </w:rPr>
              <w:t xml:space="preserve">Activities or
Projects</w:t>
            </w:r>
          </w:p>
        </w:tc>
        <w:tc>
          <w:tcPr>
            <w:vMerge w:val="restart"/>
            <w:shd w:fill="D9D9D9" w:color="auto" w:val="clear"/>
            <w:tcMar>
              <w:top w:type="dxa" w:w="80"/>
              <w:left w:type="dxa" w:w="80"/>
              <w:bottom w:type="dxa" w:w="80"/>
              <w:right w:type="dxa" w:w="80"/>
            </w:tcMar>
            <w:vAlign w:val="center"/>
          </w:tcPr>
          <w:p>
            <w:pPr>
              <w:spacing w:after="60"/>
              <w:jc w:val="center"/>
            </w:pPr>
            <w:r>
              <w:rPr>
                <w:b/>
                <w:bCs/>
                <w:sz w:val="18"/>
                <w:szCs w:val="18"/>
              </w:rPr>
              <w:t xml:space="preserve">Timeline</w:t>
            </w:r>
          </w:p>
        </w:tc>
        <w:tc>
          <w:tcPr>
            <w:gridSpan w:val="3"/>
            <w:shd w:fill="D9D9D9" w:color="auto" w:val="clear"/>
            <w:tcMar>
              <w:top w:type="dxa" w:w="80"/>
              <w:left w:type="dxa" w:w="80"/>
              <w:bottom w:type="dxa" w:w="80"/>
              <w:right w:type="dxa" w:w="80"/>
            </w:tcMar>
            <w:vAlign w:val="center"/>
          </w:tcPr>
          <w:p>
            <w:pPr>
              <w:spacing w:after="60"/>
              <w:jc w:val="center"/>
            </w:pPr>
            <w:r>
              <w:rPr>
                <w:b/>
                <w:bCs/>
                <w:sz w:val="18"/>
                <w:szCs w:val="18"/>
              </w:rPr>
              <w:t xml:space="preserve">Required Resources</w:t>
            </w:r>
          </w:p>
        </w:tc>
        <w:tc>
          <w:tcPr>
            <w:vMerge w:val="restart"/>
            <w:shd w:fill="D9D9D9" w:color="auto" w:val="clear"/>
            <w:tcMar>
              <w:top w:type="dxa" w:w="80"/>
              <w:left w:type="dxa" w:w="80"/>
              <w:bottom w:type="dxa" w:w="80"/>
              <w:right w:type="dxa" w:w="80"/>
            </w:tcMar>
            <w:vAlign w:val="center"/>
          </w:tcPr>
          <w:p>
            <w:pPr>
              <w:spacing w:after="60"/>
              <w:jc w:val="center"/>
            </w:pPr>
            <w:r>
              <w:rPr>
                <w:b/>
                <w:bCs/>
                <w:sz w:val="18"/>
                <w:szCs w:val="18"/>
              </w:rPr>
              <w:t xml:space="preserve">Success
Indicators</w:t>
            </w:r>
          </w:p>
        </w:tc>
      </w:tr>
      <w:tr>
        <w:trPr>
          <w:tblHeader/>
        </w:trPr>
        <w:tc>
          <w:tcPr>
            <w:vMerge w:val="continue"/>
          </w:tcPr>
          <w:p/>
        </w:tc>
        <w:tc>
          <w:tcPr>
            <w:vMerge w:val="continue"/>
          </w:tcPr>
          <w:p/>
        </w:tc>
        <w:tc>
          <w:tcPr>
            <w:vMerge w:val="continue"/>
          </w:tcPr>
          <w:p/>
        </w:tc>
        <w:tc>
          <w:tcPr>
            <w:vMerge w:val="continue"/>
          </w:tcPr>
          <w:p/>
        </w:tc>
        <w:tc>
          <w:tcPr>
            <w:shd w:fill="D9D9D9" w:color="auto" w:val="clear"/>
            <w:tcMar>
              <w:top w:type="dxa" w:w="80"/>
              <w:left w:type="dxa" w:w="80"/>
              <w:bottom w:type="dxa" w:w="80"/>
              <w:right w:type="dxa" w:w="80"/>
            </w:tcMar>
            <w:vAlign w:val="center"/>
          </w:tcPr>
          <w:p>
            <w:pPr>
              <w:spacing w:after="60"/>
              <w:jc w:val="center"/>
            </w:pPr>
            <w:r>
              <w:rPr>
                <w:b/>
                <w:bCs/>
                <w:sz w:val="18"/>
                <w:szCs w:val="18"/>
              </w:rPr>
              <w:t xml:space="preserve">Human</w:t>
            </w:r>
          </w:p>
        </w:tc>
        <w:tc>
          <w:tcPr>
            <w:shd w:fill="D9D9D9" w:color="auto" w:val="clear"/>
            <w:tcMar>
              <w:top w:type="dxa" w:w="80"/>
              <w:left w:type="dxa" w:w="80"/>
              <w:bottom w:type="dxa" w:w="80"/>
              <w:right w:type="dxa" w:w="80"/>
            </w:tcMar>
            <w:vAlign w:val="center"/>
          </w:tcPr>
          <w:p>
            <w:pPr>
              <w:spacing w:after="60"/>
              <w:jc w:val="center"/>
            </w:pPr>
            <w:r>
              <w:rPr>
                <w:b/>
                <w:bCs/>
                <w:sz w:val="18"/>
                <w:szCs w:val="18"/>
              </w:rPr>
              <w:t xml:space="preserve">Financial</w:t>
            </w:r>
          </w:p>
        </w:tc>
        <w:tc>
          <w:tcPr>
            <w:shd w:fill="D9D9D9" w:color="auto" w:val="clear"/>
            <w:tcMar>
              <w:top w:type="dxa" w:w="80"/>
              <w:left w:type="dxa" w:w="80"/>
              <w:bottom w:type="dxa" w:w="80"/>
              <w:right w:type="dxa" w:w="80"/>
            </w:tcMar>
            <w:vAlign w:val="center"/>
          </w:tcPr>
          <w:p>
            <w:pPr>
              <w:spacing w:after="60"/>
              <w:jc w:val="center"/>
            </w:pPr>
            <w:r>
              <w:rPr>
                <w:b/>
                <w:bCs/>
                <w:sz w:val="18"/>
                <w:szCs w:val="18"/>
              </w:rPr>
              <w:t xml:space="preserve">Materials and
Other Resources</w:t>
            </w:r>
          </w:p>
        </w:tc>
        <w:tc>
          <w:tcPr>
            <w:vMerge w:val="continue"/>
          </w:tcPr>
          <w:p/>
        </w:tc>
      </w:tr>
      <w:tr>
        <w:tc>
          <w:tcPr>
            <w:tcMar>
              <w:top w:type="dxa" w:w="80"/>
              <w:left w:type="dxa" w:w="80"/>
              <w:bottom w:type="dxa" w:w="80"/>
              <w:right w:type="dxa" w:w="80"/>
            </w:tcMar>
            <w:vAlign w:val="center"/>
          </w:tcPr>
          <w:p>
            <w:pPr>
              <w:spacing w:after="60"/>
              <w:jc w:val="left"/>
            </w:pPr>
            <w:r>
              <w:rPr>
                <w:b w:val="false"/>
                <w:bCs w:val="false"/>
                <w:sz w:val="18"/>
                <w:szCs w:val="18"/>
              </w:rPr>
              <w:t xml:space="preserve">Laravel (PHP) full-stack development using MVC architecture</w:t>
            </w:r>
          </w:p>
          <w:p>
            <w:pPr>
              <w:spacing w:after="60"/>
              <w:jc w:val="left"/>
            </w:pPr>
            <w:r>
              <w:rPr>
                <w:b w:val="false"/>
                <w:bCs w:val="false"/>
                <w:sz w:val="18"/>
                <w:szCs w:val="18"/>
              </w:rPr>
              <w:t xml:space="preserve">Relational database design and normalization</w:t>
            </w:r>
          </w:p>
        </w:tc>
        <w:tc>
          <w:tcPr>
            <w:tcMar>
              <w:top w:type="dxa" w:w="80"/>
              <w:left w:type="dxa" w:w="80"/>
              <w:bottom w:type="dxa" w:w="80"/>
              <w:right w:type="dxa" w:w="80"/>
            </w:tcMar>
            <w:vAlign w:val="center"/>
          </w:tcPr>
          <w:p>
            <w:pPr>
              <w:spacing w:after="60"/>
              <w:jc w:val="left"/>
            </w:pPr>
            <w:r>
              <w:rPr>
                <w:b w:val="false"/>
                <w:bCs w:val="false"/>
                <w:sz w:val="18"/>
                <w:szCs w:val="18"/>
              </w:rPr>
              <w:t xml:space="preserve">Between November and December 2025, refactored and enhanced two (2) core modules of the SBFP Information System (beneficiary records and feeding-schedule modules) using Laravel MVC best practices and a normalized database structure, verified through a system walkthrough with the Education Program Supervisor.</w:t>
            </w:r>
          </w:p>
        </w:tc>
        <w:tc>
          <w:tcPr>
            <w:tcMar>
              <w:top w:type="dxa" w:w="80"/>
              <w:left w:type="dxa" w:w="80"/>
              <w:bottom w:type="dxa" w:w="80"/>
              <w:right w:type="dxa" w:w="80"/>
            </w:tcMar>
            <w:vAlign w:val="center"/>
          </w:tcPr>
          <w:p>
            <w:pPr>
              <w:spacing w:after="60"/>
              <w:jc w:val="left"/>
            </w:pPr>
            <w:r>
              <w:rPr>
                <w:b w:val="false"/>
                <w:bCs w:val="false"/>
                <w:sz w:val="18"/>
                <w:szCs w:val="18"/>
              </w:rPr>
              <w:t xml:space="preserve">1. Reviewed the existing SBFP system architecture and database schema.</w:t>
            </w:r>
          </w:p>
          <w:p>
            <w:pPr>
              <w:spacing w:after="60"/>
              <w:jc w:val="left"/>
            </w:pPr>
            <w:r>
              <w:rPr>
                <w:b w:val="false"/>
                <w:bCs w:val="false"/>
                <w:sz w:val="18"/>
                <w:szCs w:val="18"/>
              </w:rPr>
              <w:t xml:space="preserve">2. Redesigned the database schema for the two target modules.</w:t>
            </w:r>
          </w:p>
          <w:p>
            <w:pPr>
              <w:spacing w:after="60"/>
              <w:jc w:val="left"/>
            </w:pPr>
            <w:r>
              <w:rPr>
                <w:b w:val="false"/>
                <w:bCs w:val="false"/>
                <w:sz w:val="18"/>
                <w:szCs w:val="18"/>
              </w:rPr>
              <w:t xml:space="preserve">3. Refactored the modules following MVC structure.</w:t>
            </w:r>
          </w:p>
          <w:p>
            <w:pPr>
              <w:spacing w:after="60"/>
              <w:jc w:val="left"/>
            </w:pPr>
            <w:r>
              <w:rPr>
                <w:b w:val="false"/>
                <w:bCs w:val="false"/>
                <w:sz w:val="18"/>
                <w:szCs w:val="18"/>
              </w:rPr>
              <w:t xml:space="preserve">4. Tested and deployed the updated modules.</w:t>
            </w:r>
          </w:p>
        </w:tc>
        <w:tc>
          <w:tcPr>
            <w:tcMar>
              <w:top w:type="dxa" w:w="80"/>
              <w:left w:type="dxa" w:w="80"/>
              <w:bottom w:type="dxa" w:w="80"/>
              <w:right w:type="dxa" w:w="80"/>
            </w:tcMar>
            <w:vAlign w:val="center"/>
          </w:tcPr>
          <w:p>
            <w:pPr>
              <w:spacing w:after="60"/>
              <w:jc w:val="center"/>
            </w:pPr>
            <w:r>
              <w:rPr>
                <w:b w:val="false"/>
                <w:bCs w:val="false"/>
                <w:sz w:val="18"/>
                <w:szCs w:val="18"/>
              </w:rPr>
              <w:t xml:space="preserve">November 10 – December 19, 2025</w:t>
            </w:r>
          </w:p>
        </w:tc>
        <w:tc>
          <w:tcPr>
            <w:tcMar>
              <w:top w:type="dxa" w:w="80"/>
              <w:left w:type="dxa" w:w="80"/>
              <w:bottom w:type="dxa" w:w="80"/>
              <w:right w:type="dxa" w:w="80"/>
            </w:tcMar>
            <w:vAlign w:val="center"/>
          </w:tcPr>
          <w:p>
            <w:pPr>
              <w:spacing w:after="60"/>
              <w:jc w:val="left"/>
            </w:pPr>
            <w:r>
              <w:rPr>
                <w:b w:val="false"/>
                <w:bCs w:val="false"/>
                <w:sz w:val="18"/>
                <w:szCs w:val="18"/>
              </w:rPr>
              <w:t xml:space="preserve">Proponent (system developer); Division ICT personnel; SBFP Focal Person (for validation)</w:t>
            </w:r>
          </w:p>
        </w:tc>
        <w:tc>
          <w:tcPr>
            <w:tcMar>
              <w:top w:type="dxa" w:w="80"/>
              <w:left w:type="dxa" w:w="80"/>
              <w:bottom w:type="dxa" w:w="80"/>
              <w:right w:type="dxa" w:w="80"/>
            </w:tcMar>
            <w:vAlign w:val="center"/>
          </w:tcPr>
          <w:p>
            <w:pPr>
              <w:spacing w:after="60"/>
              <w:jc w:val="left"/>
            </w:pPr>
            <w:r>
              <w:rPr>
                <w:b w:val="false"/>
                <w:bCs w:val="false"/>
                <w:sz w:val="18"/>
                <w:szCs w:val="18"/>
              </w:rPr>
              <w:t xml:space="preserve">None / existing office resources; no additional budget required</w:t>
            </w:r>
          </w:p>
        </w:tc>
        <w:tc>
          <w:tcPr>
            <w:tcMar>
              <w:top w:type="dxa" w:w="80"/>
              <w:left w:type="dxa" w:w="80"/>
              <w:bottom w:type="dxa" w:w="80"/>
              <w:right w:type="dxa" w:w="80"/>
            </w:tcMar>
            <w:vAlign w:val="center"/>
          </w:tcPr>
          <w:p>
            <w:pPr>
              <w:spacing w:after="60"/>
              <w:jc w:val="left"/>
            </w:pPr>
            <w:r>
              <w:rPr>
                <w:b w:val="false"/>
                <w:bCs w:val="false"/>
                <w:sz w:val="18"/>
                <w:szCs w:val="18"/>
              </w:rPr>
              <w:t xml:space="preserve">Work computer, Laravel/XAMPP development environment, existing SBFP system codebase and database</w:t>
            </w:r>
          </w:p>
        </w:tc>
        <w:tc>
          <w:tcPr>
            <w:tcMar>
              <w:top w:type="dxa" w:w="80"/>
              <w:left w:type="dxa" w:w="80"/>
              <w:bottom w:type="dxa" w:w="80"/>
              <w:right w:type="dxa" w:w="80"/>
            </w:tcMar>
            <w:vAlign w:val="center"/>
          </w:tcPr>
          <w:p>
            <w:pPr>
              <w:spacing w:after="60"/>
              <w:jc w:val="left"/>
            </w:pPr>
            <w:r>
              <w:rPr>
                <w:b w:val="false"/>
                <w:bCs w:val="false"/>
                <w:sz w:val="18"/>
                <w:szCs w:val="18"/>
              </w:rPr>
              <w:t xml:space="preserve">2 modules refactored and successfully redeployed; reduced data-entry errors and processing time confirmed by SBFP Focal Person feedback</w:t>
            </w:r>
          </w:p>
        </w:tc>
      </w:tr>
      <w:tr>
        <w:tc>
          <w:tcPr>
            <w:tcMar>
              <w:top w:type="dxa" w:w="80"/>
              <w:left w:type="dxa" w:w="80"/>
              <w:bottom w:type="dxa" w:w="80"/>
              <w:right w:type="dxa" w:w="80"/>
            </w:tcMar>
            <w:vAlign w:val="center"/>
          </w:tcPr>
          <w:p>
            <w:pPr>
              <w:spacing w:after="60"/>
              <w:jc w:val="left"/>
            </w:pPr>
            <w:r>
              <w:rPr>
                <w:b w:val="false"/>
                <w:bCs w:val="false"/>
                <w:sz w:val="18"/>
                <w:szCs w:val="18"/>
              </w:rPr>
              <w:t xml:space="preserve">Role-based user authentication and access control (applied from the capstone's customer/vendor/rider role structure)</w:t>
            </w:r>
          </w:p>
        </w:tc>
        <w:tc>
          <w:tcPr>
            <w:tcMar>
              <w:top w:type="dxa" w:w="80"/>
              <w:left w:type="dxa" w:w="80"/>
              <w:bottom w:type="dxa" w:w="80"/>
              <w:right w:type="dxa" w:w="80"/>
            </w:tcMar>
            <w:vAlign w:val="center"/>
          </w:tcPr>
          <w:p>
            <w:pPr>
              <w:spacing w:after="60"/>
              <w:jc w:val="left"/>
            </w:pPr>
            <w:r>
              <w:rPr>
                <w:b w:val="false"/>
                <w:bCs w:val="false"/>
                <w:sz w:val="18"/>
                <w:szCs w:val="18"/>
              </w:rPr>
              <w:t xml:space="preserve">During January 2026, implemented role-based access control for three (3) distinct user roles (school-level user, SBFP coordinator, division administrator) in the SBFP Information System, confirmed through successful role-restricted login testing.</w:t>
            </w:r>
          </w:p>
        </w:tc>
        <w:tc>
          <w:tcPr>
            <w:tcMar>
              <w:top w:type="dxa" w:w="80"/>
              <w:left w:type="dxa" w:w="80"/>
              <w:bottom w:type="dxa" w:w="80"/>
              <w:right w:type="dxa" w:w="80"/>
            </w:tcMar>
            <w:vAlign w:val="center"/>
          </w:tcPr>
          <w:p>
            <w:pPr>
              <w:spacing w:after="60"/>
              <w:jc w:val="left"/>
            </w:pPr>
            <w:r>
              <w:rPr>
                <w:b w:val="false"/>
                <w:bCs w:val="false"/>
                <w:sz w:val="18"/>
                <w:szCs w:val="18"/>
              </w:rPr>
              <w:t xml:space="preserve">1. Defined a role-permissions matrix for each user type.</w:t>
            </w:r>
          </w:p>
          <w:p>
            <w:pPr>
              <w:spacing w:after="60"/>
              <w:jc w:val="left"/>
            </w:pPr>
            <w:r>
              <w:rPr>
                <w:b w:val="false"/>
                <w:bCs w:val="false"/>
                <w:sz w:val="18"/>
                <w:szCs w:val="18"/>
              </w:rPr>
              <w:t xml:space="preserve">2. Implemented Laravel middleware/guards for role-based access.</w:t>
            </w:r>
          </w:p>
          <w:p>
            <w:pPr>
              <w:spacing w:after="60"/>
              <w:jc w:val="left"/>
            </w:pPr>
            <w:r>
              <w:rPr>
                <w:b w:val="false"/>
                <w:bCs w:val="false"/>
                <w:sz w:val="18"/>
                <w:szCs w:val="18"/>
              </w:rPr>
              <w:t xml:space="preserve">3. Conducted user-acceptance testing with representative users from each role.</w:t>
            </w:r>
          </w:p>
        </w:tc>
        <w:tc>
          <w:tcPr>
            <w:tcMar>
              <w:top w:type="dxa" w:w="80"/>
              <w:left w:type="dxa" w:w="80"/>
              <w:bottom w:type="dxa" w:w="80"/>
              <w:right w:type="dxa" w:w="80"/>
            </w:tcMar>
            <w:vAlign w:val="center"/>
          </w:tcPr>
          <w:p>
            <w:pPr>
              <w:spacing w:after="60"/>
              <w:jc w:val="center"/>
            </w:pPr>
            <w:r>
              <w:rPr>
                <w:b w:val="false"/>
                <w:bCs w:val="false"/>
                <w:sz w:val="18"/>
                <w:szCs w:val="18"/>
              </w:rPr>
              <w:t xml:space="preserve">January 5 – January 30, 2026</w:t>
            </w:r>
          </w:p>
        </w:tc>
        <w:tc>
          <w:tcPr>
            <w:tcMar>
              <w:top w:type="dxa" w:w="80"/>
              <w:left w:type="dxa" w:w="80"/>
              <w:bottom w:type="dxa" w:w="80"/>
              <w:right w:type="dxa" w:w="80"/>
            </w:tcMar>
            <w:vAlign w:val="center"/>
          </w:tcPr>
          <w:p>
            <w:pPr>
              <w:spacing w:after="60"/>
              <w:jc w:val="left"/>
            </w:pPr>
            <w:r>
              <w:rPr>
                <w:b w:val="false"/>
                <w:bCs w:val="false"/>
                <w:sz w:val="18"/>
                <w:szCs w:val="18"/>
              </w:rPr>
              <w:t xml:space="preserve">Proponent (developer); pilot users from 2–3 schools; SBFP coordinator</w:t>
            </w:r>
          </w:p>
        </w:tc>
        <w:tc>
          <w:tcPr>
            <w:tcMar>
              <w:top w:type="dxa" w:w="80"/>
              <w:left w:type="dxa" w:w="80"/>
              <w:bottom w:type="dxa" w:w="80"/>
              <w:right w:type="dxa" w:w="80"/>
            </w:tcMar>
            <w:vAlign w:val="center"/>
          </w:tcPr>
          <w:p>
            <w:pPr>
              <w:spacing w:after="60"/>
              <w:jc w:val="left"/>
            </w:pPr>
            <w:r>
              <w:rPr>
                <w:b w:val="false"/>
                <w:bCs w:val="false"/>
                <w:sz w:val="18"/>
                <w:szCs w:val="18"/>
              </w:rPr>
              <w:t xml:space="preserve">None / existing office resources</w:t>
            </w:r>
          </w:p>
        </w:tc>
        <w:tc>
          <w:tcPr>
            <w:tcMar>
              <w:top w:type="dxa" w:w="80"/>
              <w:left w:type="dxa" w:w="80"/>
              <w:bottom w:type="dxa" w:w="80"/>
              <w:right w:type="dxa" w:w="80"/>
            </w:tcMar>
            <w:vAlign w:val="center"/>
          </w:tcPr>
          <w:p>
            <w:pPr>
              <w:spacing w:after="60"/>
              <w:jc w:val="left"/>
            </w:pPr>
            <w:r>
              <w:rPr>
                <w:b w:val="false"/>
                <w:bCs w:val="false"/>
                <w:sz w:val="18"/>
                <w:szCs w:val="18"/>
              </w:rPr>
              <w:t xml:space="preserve">Development environment, test accounts, division network access</w:t>
            </w:r>
          </w:p>
        </w:tc>
        <w:tc>
          <w:tcPr>
            <w:tcMar>
              <w:top w:type="dxa" w:w="80"/>
              <w:left w:type="dxa" w:w="80"/>
              <w:bottom w:type="dxa" w:w="80"/>
              <w:right w:type="dxa" w:w="80"/>
            </w:tcMar>
            <w:vAlign w:val="center"/>
          </w:tcPr>
          <w:p>
            <w:pPr>
              <w:spacing w:after="60"/>
              <w:jc w:val="left"/>
            </w:pPr>
            <w:r>
              <w:rPr>
                <w:b w:val="false"/>
                <w:bCs w:val="false"/>
                <w:sz w:val="18"/>
                <w:szCs w:val="18"/>
              </w:rPr>
              <w:t xml:space="preserve">Role-based login successfully tested and validated for all 3 user types, with zero unauthorized-access incidents during testing</w:t>
            </w:r>
          </w:p>
        </w:tc>
      </w:tr>
      <w:tr>
        <w:tc>
          <w:tcPr>
            <w:tcMar>
              <w:top w:type="dxa" w:w="80"/>
              <w:left w:type="dxa" w:w="80"/>
              <w:bottom w:type="dxa" w:w="80"/>
              <w:right w:type="dxa" w:w="80"/>
            </w:tcMar>
            <w:vAlign w:val="center"/>
          </w:tcPr>
          <w:p>
            <w:pPr>
              <w:spacing w:after="60"/>
              <w:jc w:val="left"/>
            </w:pPr>
            <w:r>
              <w:rPr>
                <w:b w:val="false"/>
                <w:bCs w:val="false"/>
                <w:sz w:val="18"/>
                <w:szCs w:val="18"/>
              </w:rPr>
              <w:t xml:space="preserve">Order/request workflow automation and real-time status tracking (applied from the capstone's order-tracking module)</w:t>
            </w:r>
          </w:p>
        </w:tc>
        <w:tc>
          <w:tcPr>
            <w:tcMar>
              <w:top w:type="dxa" w:w="80"/>
              <w:left w:type="dxa" w:w="80"/>
              <w:bottom w:type="dxa" w:w="80"/>
              <w:right w:type="dxa" w:w="80"/>
            </w:tcMar>
            <w:vAlign w:val="center"/>
          </w:tcPr>
          <w:p>
            <w:pPr>
              <w:spacing w:after="60"/>
              <w:jc w:val="left"/>
            </w:pPr>
            <w:r>
              <w:rPr>
                <w:b w:val="false"/>
                <w:bCs w:val="false"/>
                <w:sz w:val="18"/>
                <w:szCs w:val="18"/>
              </w:rPr>
              <w:t xml:space="preserve">Between February and March 2026, deployed a request/delivery status-tracking feature in the SBFP Information System (submitted → approved → in-delivery → completed), reducing average request-to-fulfillment processing time by at least 20% compared to the previous manual process.</w:t>
            </w:r>
          </w:p>
        </w:tc>
        <w:tc>
          <w:tcPr>
            <w:tcMar>
              <w:top w:type="dxa" w:w="80"/>
              <w:left w:type="dxa" w:w="80"/>
              <w:bottom w:type="dxa" w:w="80"/>
              <w:right w:type="dxa" w:w="80"/>
            </w:tcMar>
            <w:vAlign w:val="center"/>
          </w:tcPr>
          <w:p>
            <w:pPr>
              <w:spacing w:after="60"/>
              <w:jc w:val="left"/>
            </w:pPr>
            <w:r>
              <w:rPr>
                <w:b w:val="false"/>
                <w:bCs w:val="false"/>
                <w:sz w:val="18"/>
                <w:szCs w:val="18"/>
              </w:rPr>
              <w:t xml:space="preserve">1. Mapped the previous manual request/fulfillment process.</w:t>
            </w:r>
          </w:p>
          <w:p>
            <w:pPr>
              <w:spacing w:after="60"/>
              <w:jc w:val="left"/>
            </w:pPr>
            <w:r>
              <w:rPr>
                <w:b w:val="false"/>
                <w:bCs w:val="false"/>
                <w:sz w:val="18"/>
                <w:szCs w:val="18"/>
              </w:rPr>
              <w:t xml:space="preserve">2. Designed and built the automated status-tracking module.</w:t>
            </w:r>
          </w:p>
          <w:p>
            <w:pPr>
              <w:spacing w:after="60"/>
              <w:jc w:val="left"/>
            </w:pPr>
            <w:r>
              <w:rPr>
                <w:b w:val="false"/>
                <w:bCs w:val="false"/>
                <w:sz w:val="18"/>
                <w:szCs w:val="18"/>
              </w:rPr>
              <w:t xml:space="preserve">3. Pilot-tested with 2–3 schools.</w:t>
            </w:r>
          </w:p>
          <w:p>
            <w:pPr>
              <w:spacing w:after="60"/>
              <w:jc w:val="left"/>
            </w:pPr>
            <w:r>
              <w:rPr>
                <w:b w:val="false"/>
                <w:bCs w:val="false"/>
                <w:sz w:val="18"/>
                <w:szCs w:val="18"/>
              </w:rPr>
              <w:t xml:space="preserve">4. Rolled out division-wide.</w:t>
            </w:r>
          </w:p>
        </w:tc>
        <w:tc>
          <w:tcPr>
            <w:tcMar>
              <w:top w:type="dxa" w:w="80"/>
              <w:left w:type="dxa" w:w="80"/>
              <w:bottom w:type="dxa" w:w="80"/>
              <w:right w:type="dxa" w:w="80"/>
            </w:tcMar>
            <w:vAlign w:val="center"/>
          </w:tcPr>
          <w:p>
            <w:pPr>
              <w:spacing w:after="60"/>
              <w:jc w:val="center"/>
            </w:pPr>
            <w:r>
              <w:rPr>
                <w:b w:val="false"/>
                <w:bCs w:val="false"/>
                <w:sz w:val="18"/>
                <w:szCs w:val="18"/>
              </w:rPr>
              <w:t xml:space="preserve">February 2 – March 31, 2026</w:t>
            </w:r>
          </w:p>
        </w:tc>
        <w:tc>
          <w:tcPr>
            <w:tcMar>
              <w:top w:type="dxa" w:w="80"/>
              <w:left w:type="dxa" w:w="80"/>
              <w:bottom w:type="dxa" w:w="80"/>
              <w:right w:type="dxa" w:w="80"/>
            </w:tcMar>
            <w:vAlign w:val="center"/>
          </w:tcPr>
          <w:p>
            <w:pPr>
              <w:spacing w:after="60"/>
              <w:jc w:val="left"/>
            </w:pPr>
            <w:r>
              <w:rPr>
                <w:b w:val="false"/>
                <w:bCs w:val="false"/>
                <w:sz w:val="18"/>
                <w:szCs w:val="18"/>
              </w:rPr>
              <w:t xml:space="preserve">Proponent (developer); SBFP coordinators; pilot school representatives</w:t>
            </w:r>
          </w:p>
        </w:tc>
        <w:tc>
          <w:tcPr>
            <w:tcMar>
              <w:top w:type="dxa" w:w="80"/>
              <w:left w:type="dxa" w:w="80"/>
              <w:bottom w:type="dxa" w:w="80"/>
              <w:right w:type="dxa" w:w="80"/>
            </w:tcMar>
            <w:vAlign w:val="center"/>
          </w:tcPr>
          <w:p>
            <w:pPr>
              <w:spacing w:after="60"/>
              <w:jc w:val="left"/>
            </w:pPr>
            <w:r>
              <w:rPr>
                <w:b w:val="false"/>
                <w:bCs w:val="false"/>
                <w:sz w:val="18"/>
                <w:szCs w:val="18"/>
              </w:rPr>
              <w:t xml:space="preserve">None / existing office resources</w:t>
            </w:r>
          </w:p>
        </w:tc>
        <w:tc>
          <w:tcPr>
            <w:tcMar>
              <w:top w:type="dxa" w:w="80"/>
              <w:left w:type="dxa" w:w="80"/>
              <w:bottom w:type="dxa" w:w="80"/>
              <w:right w:type="dxa" w:w="80"/>
            </w:tcMar>
            <w:vAlign w:val="center"/>
          </w:tcPr>
          <w:p>
            <w:pPr>
              <w:spacing w:after="60"/>
              <w:jc w:val="left"/>
            </w:pPr>
            <w:r>
              <w:rPr>
                <w:b w:val="false"/>
                <w:bCs w:val="false"/>
                <w:sz w:val="18"/>
                <w:szCs w:val="18"/>
              </w:rPr>
              <w:t xml:space="preserve">Development environment, hosting/server access, pilot-school devices for testing</w:t>
            </w:r>
          </w:p>
        </w:tc>
        <w:tc>
          <w:tcPr>
            <w:tcMar>
              <w:top w:type="dxa" w:w="80"/>
              <w:left w:type="dxa" w:w="80"/>
              <w:bottom w:type="dxa" w:w="80"/>
              <w:right w:type="dxa" w:w="80"/>
            </w:tcMar>
            <w:vAlign w:val="center"/>
          </w:tcPr>
          <w:p>
            <w:pPr>
              <w:spacing w:after="60"/>
              <w:jc w:val="left"/>
            </w:pPr>
            <w:r>
              <w:rPr>
                <w:b w:val="false"/>
                <w:bCs w:val="false"/>
                <w:sz w:val="18"/>
                <w:szCs w:val="18"/>
              </w:rPr>
              <w:t xml:space="preserve">Status-tracking module deployed and in active use; at least 20% reduction in average turnaround time, verified through before-and-after processing logs</w:t>
            </w:r>
          </w:p>
        </w:tc>
      </w:tr>
    </w:tbl>
    <w:p>
      <w:pPr>
        <w:spacing w:after="100" w:before="240"/>
      </w:pPr>
      <w:r>
        <w:rPr>
          <w:b/>
          <w:bCs/>
          <w:sz w:val="22"/>
          <w:szCs w:val="22"/>
        </w:rPr>
        <w:t xml:space="preserve">IV. Monitoring and Evaluation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546"/>
      </w:tblGrid>
      <w:tr>
        <w:trPr>
          <w:tblHeader/>
        </w:trPr>
        <w:tc>
          <w:tcPr>
            <w:shd w:fill="D9D9D9" w:color="auto" w:val="clear"/>
            <w:tcMar>
              <w:top w:type="dxa" w:w="80"/>
              <w:left w:type="dxa" w:w="80"/>
              <w:bottom w:type="dxa" w:w="80"/>
              <w:right w:type="dxa" w:w="80"/>
            </w:tcMar>
            <w:vAlign w:val="center"/>
          </w:tcPr>
          <w:p>
            <w:pPr>
              <w:spacing w:after="60"/>
              <w:jc w:val="center"/>
            </w:pPr>
            <w:r>
              <w:rPr>
                <w:b/>
                <w:bCs/>
                <w:sz w:val="18"/>
                <w:szCs w:val="18"/>
              </w:rPr>
              <w:t xml:space="preserve">Activities</w:t>
            </w:r>
          </w:p>
        </w:tc>
        <w:tc>
          <w:tcPr>
            <w:shd w:fill="D9D9D9" w:color="auto" w:val="clear"/>
            <w:tcMar>
              <w:top w:type="dxa" w:w="80"/>
              <w:left w:type="dxa" w:w="80"/>
              <w:bottom w:type="dxa" w:w="80"/>
              <w:right w:type="dxa" w:w="80"/>
            </w:tcMar>
            <w:vAlign w:val="center"/>
          </w:tcPr>
          <w:p>
            <w:pPr>
              <w:spacing w:after="60"/>
              <w:jc w:val="center"/>
            </w:pPr>
            <w:r>
              <w:rPr>
                <w:b/>
                <w:bCs/>
                <w:sz w:val="18"/>
                <w:szCs w:val="18"/>
              </w:rPr>
              <w:t xml:space="preserve">Targets</w:t>
            </w:r>
          </w:p>
        </w:tc>
        <w:tc>
          <w:tcPr>
            <w:shd w:fill="D9D9D9" w:color="auto" w:val="clear"/>
            <w:tcMar>
              <w:top w:type="dxa" w:w="80"/>
              <w:left w:type="dxa" w:w="80"/>
              <w:bottom w:type="dxa" w:w="80"/>
              <w:right w:type="dxa" w:w="80"/>
            </w:tcMar>
            <w:vAlign w:val="center"/>
          </w:tcPr>
          <w:p>
            <w:pPr>
              <w:spacing w:after="60"/>
              <w:jc w:val="center"/>
            </w:pPr>
            <w:r>
              <w:rPr>
                <w:b/>
                <w:bCs/>
                <w:sz w:val="18"/>
                <w:szCs w:val="18"/>
              </w:rPr>
              <w:t xml:space="preserve">Monitoring Schedule</w:t>
            </w:r>
          </w:p>
        </w:tc>
        <w:tc>
          <w:tcPr>
            <w:shd w:fill="D9D9D9" w:color="auto" w:val="clear"/>
            <w:tcMar>
              <w:top w:type="dxa" w:w="80"/>
              <w:left w:type="dxa" w:w="80"/>
              <w:bottom w:type="dxa" w:w="80"/>
              <w:right w:type="dxa" w:w="80"/>
            </w:tcMar>
            <w:vAlign w:val="center"/>
          </w:tcPr>
          <w:p>
            <w:pPr>
              <w:spacing w:after="60"/>
              <w:jc w:val="center"/>
            </w:pPr>
            <w:r>
              <w:rPr>
                <w:b/>
                <w:bCs/>
                <w:sz w:val="18"/>
                <w:szCs w:val="18"/>
              </w:rPr>
              <w:t xml:space="preserve">Reporting &amp; Feedback Mechanism</w:t>
            </w:r>
          </w:p>
        </w:tc>
      </w:tr>
      <w:tr>
        <w:tc>
          <w:tcPr>
            <w:tcMar>
              <w:top w:type="dxa" w:w="80"/>
              <w:left w:type="dxa" w:w="80"/>
              <w:bottom w:type="dxa" w:w="80"/>
              <w:right w:type="dxa" w:w="80"/>
            </w:tcMar>
            <w:vAlign w:val="center"/>
          </w:tcPr>
          <w:p>
            <w:pPr>
              <w:spacing w:after="60"/>
              <w:jc w:val="left"/>
            </w:pPr>
            <w:r>
              <w:rPr>
                <w:b w:val="false"/>
                <w:bCs w:val="false"/>
                <w:sz w:val="18"/>
                <w:szCs w:val="18"/>
              </w:rPr>
              <w:t xml:space="preserve">Module refactoring and redeployment (Objective 1)</w:t>
            </w:r>
          </w:p>
        </w:tc>
        <w:tc>
          <w:tcPr>
            <w:tcMar>
              <w:top w:type="dxa" w:w="80"/>
              <w:left w:type="dxa" w:w="80"/>
              <w:bottom w:type="dxa" w:w="80"/>
              <w:right w:type="dxa" w:w="80"/>
            </w:tcMar>
            <w:vAlign w:val="center"/>
          </w:tcPr>
          <w:p>
            <w:pPr>
              <w:spacing w:after="60"/>
              <w:jc w:val="left"/>
            </w:pPr>
            <w:r>
              <w:rPr>
                <w:b w:val="false"/>
                <w:bCs w:val="false"/>
                <w:sz w:val="18"/>
                <w:szCs w:val="18"/>
              </w:rPr>
              <w:t xml:space="preserve">2 modules refactored and redeployed by December 19, 2025</w:t>
            </w:r>
          </w:p>
        </w:tc>
        <w:tc>
          <w:tcPr>
            <w:tcMar>
              <w:top w:type="dxa" w:w="80"/>
              <w:left w:type="dxa" w:w="80"/>
              <w:bottom w:type="dxa" w:w="80"/>
              <w:right w:type="dxa" w:w="80"/>
            </w:tcMar>
            <w:vAlign w:val="center"/>
          </w:tcPr>
          <w:p>
            <w:pPr>
              <w:spacing w:after="60"/>
              <w:jc w:val="left"/>
            </w:pPr>
            <w:r>
              <w:rPr>
                <w:b w:val="false"/>
                <w:bCs w:val="false"/>
                <w:sz w:val="18"/>
                <w:szCs w:val="18"/>
              </w:rPr>
              <w:t xml:space="preserve">Bi-weekly progress check (Nov–Dec 2025)</w:t>
            </w:r>
          </w:p>
        </w:tc>
        <w:tc>
          <w:tcPr>
            <w:tcMar>
              <w:top w:type="dxa" w:w="80"/>
              <w:left w:type="dxa" w:w="80"/>
              <w:bottom w:type="dxa" w:w="80"/>
              <w:right w:type="dxa" w:w="80"/>
            </w:tcMar>
            <w:vAlign w:val="center"/>
          </w:tcPr>
          <w:p>
            <w:pPr>
              <w:spacing w:after="60"/>
              <w:jc w:val="left"/>
            </w:pPr>
            <w:r>
              <w:rPr>
                <w:b w:val="false"/>
                <w:bCs w:val="false"/>
                <w:sz w:val="18"/>
                <w:szCs w:val="18"/>
              </w:rPr>
              <w:t xml:space="preserve">Progress update submitted to the Education Program Supervisor; feedback gathered from the SBFP Focal Person</w:t>
            </w:r>
          </w:p>
        </w:tc>
      </w:tr>
      <w:tr>
        <w:tc>
          <w:tcPr>
            <w:tcMar>
              <w:top w:type="dxa" w:w="80"/>
              <w:left w:type="dxa" w:w="80"/>
              <w:bottom w:type="dxa" w:w="80"/>
              <w:right w:type="dxa" w:w="80"/>
            </w:tcMar>
            <w:vAlign w:val="center"/>
          </w:tcPr>
          <w:p>
            <w:pPr>
              <w:spacing w:after="60"/>
              <w:jc w:val="left"/>
            </w:pPr>
            <w:r>
              <w:rPr>
                <w:b w:val="false"/>
                <w:bCs w:val="false"/>
                <w:sz w:val="18"/>
                <w:szCs w:val="18"/>
              </w:rPr>
              <w:t xml:space="preserve">Role-based access control implementation (Objective 2)</w:t>
            </w:r>
          </w:p>
        </w:tc>
        <w:tc>
          <w:tcPr>
            <w:tcMar>
              <w:top w:type="dxa" w:w="80"/>
              <w:left w:type="dxa" w:w="80"/>
              <w:bottom w:type="dxa" w:w="80"/>
              <w:right w:type="dxa" w:w="80"/>
            </w:tcMar>
            <w:vAlign w:val="center"/>
          </w:tcPr>
          <w:p>
            <w:pPr>
              <w:spacing w:after="60"/>
              <w:jc w:val="left"/>
            </w:pPr>
            <w:r>
              <w:rPr>
                <w:b w:val="false"/>
                <w:bCs w:val="false"/>
                <w:sz w:val="18"/>
                <w:szCs w:val="18"/>
              </w:rPr>
              <w:t xml:space="preserve">3 user roles fully functional by January 30, 2026</w:t>
            </w:r>
          </w:p>
        </w:tc>
        <w:tc>
          <w:tcPr>
            <w:tcMar>
              <w:top w:type="dxa" w:w="80"/>
              <w:left w:type="dxa" w:w="80"/>
              <w:bottom w:type="dxa" w:w="80"/>
              <w:right w:type="dxa" w:w="80"/>
            </w:tcMar>
            <w:vAlign w:val="center"/>
          </w:tcPr>
          <w:p>
            <w:pPr>
              <w:spacing w:after="60"/>
              <w:jc w:val="left"/>
            </w:pPr>
            <w:r>
              <w:rPr>
                <w:b w:val="false"/>
                <w:bCs w:val="false"/>
                <w:sz w:val="18"/>
                <w:szCs w:val="18"/>
              </w:rPr>
              <w:t xml:space="preserve">Weekly during the testing phase (Jan 2026)</w:t>
            </w:r>
          </w:p>
        </w:tc>
        <w:tc>
          <w:tcPr>
            <w:tcMar>
              <w:top w:type="dxa" w:w="80"/>
              <w:left w:type="dxa" w:w="80"/>
              <w:bottom w:type="dxa" w:w="80"/>
              <w:right w:type="dxa" w:w="80"/>
            </w:tcMar>
            <w:vAlign w:val="center"/>
          </w:tcPr>
          <w:p>
            <w:pPr>
              <w:spacing w:after="60"/>
              <w:jc w:val="left"/>
            </w:pPr>
            <w:r>
              <w:rPr>
                <w:b w:val="false"/>
                <w:bCs w:val="false"/>
                <w:sz w:val="18"/>
                <w:szCs w:val="18"/>
              </w:rPr>
              <w:t xml:space="preserve">User-acceptance testing report submitted to the Division Office</w:t>
            </w:r>
          </w:p>
        </w:tc>
      </w:tr>
      <w:tr>
        <w:tc>
          <w:tcPr>
            <w:tcMar>
              <w:top w:type="dxa" w:w="80"/>
              <w:left w:type="dxa" w:w="80"/>
              <w:bottom w:type="dxa" w:w="80"/>
              <w:right w:type="dxa" w:w="80"/>
            </w:tcMar>
            <w:vAlign w:val="center"/>
          </w:tcPr>
          <w:p>
            <w:pPr>
              <w:spacing w:after="60"/>
              <w:jc w:val="left"/>
            </w:pPr>
            <w:r>
              <w:rPr>
                <w:b w:val="false"/>
                <w:bCs w:val="false"/>
                <w:sz w:val="18"/>
                <w:szCs w:val="18"/>
              </w:rPr>
              <w:t xml:space="preserve">Status-tracking module rollout (Objective 3)</w:t>
            </w:r>
          </w:p>
        </w:tc>
        <w:tc>
          <w:tcPr>
            <w:tcMar>
              <w:top w:type="dxa" w:w="80"/>
              <w:left w:type="dxa" w:w="80"/>
              <w:bottom w:type="dxa" w:w="80"/>
              <w:right w:type="dxa" w:w="80"/>
            </w:tcMar>
            <w:vAlign w:val="center"/>
          </w:tcPr>
          <w:p>
            <w:pPr>
              <w:spacing w:after="60"/>
              <w:jc w:val="left"/>
            </w:pPr>
            <w:r>
              <w:rPr>
                <w:b w:val="false"/>
                <w:bCs w:val="false"/>
                <w:sz w:val="18"/>
                <w:szCs w:val="18"/>
              </w:rPr>
              <w:t xml:space="preserve">Module live division-wide by March 31, 2026; ≥20% turnaround-time improvement</w:t>
            </w:r>
          </w:p>
        </w:tc>
        <w:tc>
          <w:tcPr>
            <w:tcMar>
              <w:top w:type="dxa" w:w="80"/>
              <w:left w:type="dxa" w:w="80"/>
              <w:bottom w:type="dxa" w:w="80"/>
              <w:right w:type="dxa" w:w="80"/>
            </w:tcMar>
            <w:vAlign w:val="center"/>
          </w:tcPr>
          <w:p>
            <w:pPr>
              <w:spacing w:after="60"/>
              <w:jc w:val="left"/>
            </w:pPr>
            <w:r>
              <w:rPr>
                <w:b w:val="false"/>
                <w:bCs w:val="false"/>
                <w:sz w:val="18"/>
                <w:szCs w:val="18"/>
              </w:rPr>
              <w:t xml:space="preserve">Monthly during pilot and rollout (Feb–Mar 2026)</w:t>
            </w:r>
          </w:p>
        </w:tc>
        <w:tc>
          <w:tcPr>
            <w:tcMar>
              <w:top w:type="dxa" w:w="80"/>
              <w:left w:type="dxa" w:w="80"/>
              <w:bottom w:type="dxa" w:w="80"/>
              <w:right w:type="dxa" w:w="80"/>
            </w:tcMar>
            <w:vAlign w:val="center"/>
          </w:tcPr>
          <w:p>
            <w:pPr>
              <w:spacing w:after="60"/>
              <w:jc w:val="left"/>
            </w:pPr>
            <w:r>
              <w:rPr>
                <w:b w:val="false"/>
                <w:bCs w:val="false"/>
                <w:sz w:val="18"/>
                <w:szCs w:val="18"/>
              </w:rPr>
              <w:t xml:space="preserve">Monthly accomplishment summary submitted to the SDS through the Education Program Supervisor; end-user feedback survey</w:t>
            </w:r>
          </w:p>
        </w:tc>
      </w:tr>
    </w:tbl>
    <w:p>
      <w:pPr>
        <w:spacing w:after="100" w:before="40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Pr>
          <w:p>
            <w:pPr>
              <w:spacing w:after="40"/>
            </w:pPr>
            <w:r>
              <w:rPr>
                <w:sz w:val="20"/>
                <w:szCs w:val="20"/>
              </w:rPr>
              <w:t xml:space="preserve">Prepared by:</w:t>
            </w:r>
          </w:p>
          <w:p>
            <w:pPr>
              <w:spacing w:after="0" w:before="260"/>
            </w:pPr>
            <w:r>
              <w:rPr>
                <w:sz w:val="20"/>
                <w:szCs w:val="20"/>
              </w:rPr>
              <w:t xml:space="preserve"/>
            </w:r>
          </w:p>
          <w:p>
            <w:pPr>
              <w:pBdr>
                <w:top w:val="single" w:color="000000" w:sz="4" w:space="1"/>
              </w:pBdr>
              <w:jc w:val="center"/>
            </w:pPr>
            <w:r>
              <w:rPr>
                <w:b/>
                <w:bCs/>
                <w:sz w:val="20"/>
                <w:szCs w:val="20"/>
              </w:rPr>
              <w:t xml:space="preserve"> </w:t>
            </w:r>
          </w:p>
          <w:p>
            <w:pPr>
              <w:jc w:val="center"/>
            </w:pPr>
            <w:r>
              <w:rPr>
                <w:sz w:val="18"/>
                <w:szCs w:val="18"/>
              </w:rPr>
              <w:t xml:space="preserve">Proponent</w:t>
            </w:r>
          </w:p>
        </w:tc>
        <w:tc>
          <w:tcPr>
            <w:tcW w:type="dxa" w:w="4873"/>
            <w:tcBorders>
              <w:top w:val="none" w:color="FFFFFF" w:sz="0"/>
              <w:left w:val="none" w:color="FFFFFF" w:sz="0"/>
              <w:bottom w:val="none" w:color="FFFFFF" w:sz="0"/>
              <w:right w:val="none" w:color="FFFFFF" w:sz="0"/>
            </w:tcBorders>
          </w:tcPr>
          <w:p>
            <w:pPr>
              <w:spacing w:after="40"/>
            </w:pPr>
            <w:r>
              <w:rPr>
                <w:sz w:val="20"/>
                <w:szCs w:val="20"/>
              </w:rPr>
              <w:t xml:space="preserve">Reviewed by:</w:t>
            </w:r>
          </w:p>
          <w:p>
            <w:pPr>
              <w:spacing w:after="0" w:before="260"/>
            </w:pPr>
            <w:r>
              <w:rPr>
                <w:sz w:val="20"/>
                <w:szCs w:val="20"/>
              </w:rPr>
              <w:t xml:space="preserve"/>
            </w:r>
          </w:p>
          <w:p>
            <w:pPr>
              <w:pBdr>
                <w:top w:val="single" w:color="000000" w:sz="4" w:space="1"/>
              </w:pBdr>
              <w:jc w:val="center"/>
            </w:pPr>
            <w:r>
              <w:rPr>
                <w:b/>
                <w:bCs/>
                <w:sz w:val="20"/>
                <w:szCs w:val="20"/>
              </w:rPr>
              <w:t xml:space="preserve">DINDO M. GABALES</w:t>
            </w:r>
          </w:p>
          <w:p>
            <w:pPr>
              <w:jc w:val="center"/>
            </w:pPr>
            <w:r>
              <w:rPr>
                <w:sz w:val="18"/>
                <w:szCs w:val="18"/>
              </w:rPr>
              <w:t xml:space="preserve">Education Program Supervisor</w:t>
            </w:r>
          </w:p>
        </w:tc>
      </w:tr>
    </w:tbl>
    <w:p>
      <w:pPr>
        <w:spacing w:after="100" w:before="30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Pr>
          <w:p>
            <w:pPr>
              <w:spacing w:after="40"/>
            </w:pPr>
            <w:r>
              <w:rPr>
                <w:sz w:val="20"/>
                <w:szCs w:val="20"/>
              </w:rPr>
              <w:t xml:space="preserve">Recommending Approval:</w:t>
            </w:r>
          </w:p>
          <w:p>
            <w:pPr>
              <w:spacing w:after="0" w:before="260"/>
            </w:pPr>
            <w:r>
              <w:rPr>
                <w:sz w:val="20"/>
                <w:szCs w:val="20"/>
              </w:rPr>
              <w:t xml:space="preserve"/>
            </w:r>
          </w:p>
          <w:p>
            <w:pPr>
              <w:pBdr>
                <w:top w:val="single" w:color="000000" w:sz="4" w:space="1"/>
              </w:pBdr>
              <w:jc w:val="center"/>
            </w:pPr>
            <w:r>
              <w:rPr>
                <w:b/>
                <w:bCs/>
                <w:sz w:val="20"/>
                <w:szCs w:val="20"/>
              </w:rPr>
              <w:t xml:space="preserve">LANILA M. PALAPAR</w:t>
            </w:r>
          </w:p>
          <w:p>
            <w:pPr>
              <w:jc w:val="center"/>
            </w:pPr>
            <w:r>
              <w:rPr>
                <w:sz w:val="18"/>
                <w:szCs w:val="18"/>
              </w:rPr>
              <w:t xml:space="preserve">Assistant Schools Division Superintendent</w:t>
            </w:r>
          </w:p>
        </w:tc>
        <w:tc>
          <w:tcPr>
            <w:tcW w:type="dxa" w:w="4873"/>
            <w:tcBorders>
              <w:top w:val="none" w:color="FFFFFF" w:sz="0"/>
              <w:left w:val="none" w:color="FFFFFF" w:sz="0"/>
              <w:bottom w:val="none" w:color="FFFFFF" w:sz="0"/>
              <w:right w:val="none" w:color="FFFFFF" w:sz="0"/>
            </w:tcBorders>
          </w:tcPr>
          <w:p>
            <w:pPr>
              <w:spacing w:after="40"/>
            </w:pPr>
            <w:r>
              <w:rPr>
                <w:sz w:val="20"/>
                <w:szCs w:val="20"/>
              </w:rPr>
              <w:t xml:space="preserve">APPROVED:</w:t>
            </w:r>
          </w:p>
          <w:p>
            <w:pPr>
              <w:spacing w:after="0" w:before="260"/>
            </w:pPr>
            <w:r>
              <w:rPr>
                <w:sz w:val="20"/>
                <w:szCs w:val="20"/>
              </w:rPr>
              <w:t xml:space="preserve"/>
            </w:r>
          </w:p>
          <w:p>
            <w:pPr>
              <w:pBdr>
                <w:top w:val="single" w:color="000000" w:sz="4" w:space="1"/>
              </w:pBdr>
              <w:jc w:val="center"/>
            </w:pPr>
            <w:r>
              <w:rPr>
                <w:b/>
                <w:bCs/>
                <w:sz w:val="20"/>
                <w:szCs w:val="20"/>
              </w:rPr>
              <w:t xml:space="preserve">CHERRY MAE L. LIMBACO-REYES</w:t>
            </w:r>
          </w:p>
          <w:p>
            <w:pPr>
              <w:jc w:val="center"/>
            </w:pPr>
            <w:r>
              <w:rPr>
                <w:sz w:val="18"/>
                <w:szCs w:val="18"/>
              </w:rPr>
              <w:t xml:space="preserve">Schools Division Superintendent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2026-09-16T08:06:30.284Z</dcterms:created>
  <dcterms:modified xsi:type="dcterms:W3CDTF">2026-09-16T08:06:30.294Z</dcterms:modified>
</cp:coreProperties>
</file>

<file path=docProps/custom.xml><?xml version="1.0" encoding="utf-8"?>
<Properties xmlns="http://schemas.openxmlformats.org/officeDocument/2006/custom-properties" xmlns:vt="http://schemas.openxmlformats.org/officeDocument/2006/docPropsVTypes"/>
</file>