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B9CA8" w14:textId="77777777" w:rsidR="00D11AD1" w:rsidRPr="00D11AD1" w:rsidRDefault="00D11AD1" w:rsidP="00D11AD1">
      <w:pPr>
        <w:shd w:val="clear" w:color="auto" w:fill="FFFFFF"/>
        <w:jc w:val="right"/>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Saeima ir pieņēmusi un Valsts</w:t>
      </w:r>
      <w:r w:rsidRPr="00D11AD1">
        <w:rPr>
          <w:rFonts w:ascii="Arial" w:eastAsia="Times New Roman" w:hAnsi="Arial" w:cs="Arial"/>
          <w:color w:val="414142"/>
          <w:sz w:val="20"/>
          <w:szCs w:val="20"/>
          <w:lang w:eastAsia="en-GB"/>
        </w:rPr>
        <w:br/>
        <w:t>prezidents izsludina šādu likumu:</w:t>
      </w:r>
    </w:p>
    <w:p w14:paraId="7215B138" w14:textId="77777777" w:rsidR="00D11AD1" w:rsidRPr="00D11AD1" w:rsidRDefault="00D11AD1" w:rsidP="00D11AD1">
      <w:pPr>
        <w:shd w:val="clear" w:color="auto" w:fill="FFFFFF"/>
        <w:jc w:val="center"/>
        <w:rPr>
          <w:rFonts w:ascii="Arial" w:eastAsia="Times New Roman" w:hAnsi="Arial" w:cs="Arial"/>
          <w:b/>
          <w:bCs/>
          <w:color w:val="414142"/>
          <w:sz w:val="35"/>
          <w:szCs w:val="35"/>
          <w:lang w:eastAsia="en-GB"/>
        </w:rPr>
      </w:pPr>
      <w:r w:rsidRPr="00D11AD1">
        <w:rPr>
          <w:rFonts w:ascii="Arial" w:eastAsia="Times New Roman" w:hAnsi="Arial" w:cs="Arial"/>
          <w:b/>
          <w:bCs/>
          <w:color w:val="414142"/>
          <w:sz w:val="35"/>
          <w:szCs w:val="35"/>
          <w:lang w:eastAsia="en-GB"/>
        </w:rPr>
        <w:t>Par Latvijas Republikas un Armēnijas Republikas konvenciju par nodokļu dubultās uzlikšanas un nodokļu nemaksāšanas novēršanu attiecībā uz ienākuma un kapitāla nodokļiem</w:t>
      </w:r>
    </w:p>
    <w:p w14:paraId="453CA987" w14:textId="77777777" w:rsidR="00D11AD1" w:rsidRPr="00D11AD1" w:rsidRDefault="00D11AD1" w:rsidP="00D11AD1">
      <w:pPr>
        <w:shd w:val="clear" w:color="auto" w:fill="FFFFFF"/>
        <w:spacing w:line="293" w:lineRule="atLeast"/>
        <w:ind w:firstLine="300"/>
        <w:jc w:val="both"/>
        <w:rPr>
          <w:rFonts w:ascii="Arial" w:eastAsia="Times New Roman" w:hAnsi="Arial" w:cs="Arial"/>
          <w:color w:val="414142"/>
          <w:sz w:val="20"/>
          <w:szCs w:val="20"/>
          <w:lang w:eastAsia="en-GB"/>
        </w:rPr>
      </w:pPr>
      <w:bookmarkStart w:id="0" w:name="p1"/>
      <w:bookmarkStart w:id="1" w:name="p-126226"/>
      <w:bookmarkEnd w:id="0"/>
      <w:bookmarkEnd w:id="1"/>
      <w:r w:rsidRPr="00D11AD1">
        <w:rPr>
          <w:rFonts w:ascii="Arial" w:eastAsia="Times New Roman" w:hAnsi="Arial" w:cs="Arial"/>
          <w:b/>
          <w:bCs/>
          <w:color w:val="414142"/>
          <w:sz w:val="20"/>
          <w:szCs w:val="20"/>
          <w:lang w:eastAsia="en-GB"/>
        </w:rPr>
        <w:t>1.pants.</w:t>
      </w:r>
      <w:r w:rsidRPr="00D11AD1">
        <w:rPr>
          <w:rFonts w:ascii="Arial" w:eastAsia="Times New Roman" w:hAnsi="Arial" w:cs="Arial"/>
          <w:color w:val="414142"/>
          <w:sz w:val="20"/>
          <w:szCs w:val="20"/>
          <w:lang w:eastAsia="en-GB"/>
        </w:rPr>
        <w:t> 2000.gada 15.martā Rīgā parakstītā </w:t>
      </w:r>
      <w:hyperlink r:id="rId4" w:tgtFrame="_blank" w:history="1">
        <w:r w:rsidRPr="00D11AD1">
          <w:rPr>
            <w:rFonts w:ascii="Arial" w:eastAsia="Times New Roman" w:hAnsi="Arial" w:cs="Arial"/>
            <w:color w:val="16497B"/>
            <w:sz w:val="20"/>
            <w:szCs w:val="20"/>
            <w:u w:val="single"/>
            <w:lang w:eastAsia="en-GB"/>
          </w:rPr>
          <w:t>Latvijas Republikas un Armēnijas Republikas konvencija par nodokļu dubultās uzlikšanas un nodokļu nemaksāšanas novēršanu attiecībā uz ienākuma un kapitāla nodokļiem</w:t>
        </w:r>
      </w:hyperlink>
      <w:r w:rsidRPr="00D11AD1">
        <w:rPr>
          <w:rFonts w:ascii="Arial" w:eastAsia="Times New Roman" w:hAnsi="Arial" w:cs="Arial"/>
          <w:color w:val="414142"/>
          <w:sz w:val="20"/>
          <w:szCs w:val="20"/>
          <w:lang w:eastAsia="en-GB"/>
        </w:rPr>
        <w:t> (turpmāk — Konvencija) un 2000.gada 15.martā Rīgā parakstītais tās protokols (turpmāk — Protokols) ar šo likumu tiek pieņemti un apstiprināti.</w:t>
      </w:r>
    </w:p>
    <w:p w14:paraId="4340875F" w14:textId="77777777" w:rsidR="00D11AD1" w:rsidRPr="00D11AD1" w:rsidRDefault="00D11AD1" w:rsidP="00D11AD1">
      <w:pPr>
        <w:shd w:val="clear" w:color="auto" w:fill="FFFFFF"/>
        <w:spacing w:line="293" w:lineRule="atLeast"/>
        <w:ind w:firstLine="300"/>
        <w:jc w:val="both"/>
        <w:rPr>
          <w:rFonts w:ascii="Arial" w:eastAsia="Times New Roman" w:hAnsi="Arial" w:cs="Arial"/>
          <w:color w:val="414142"/>
          <w:sz w:val="20"/>
          <w:szCs w:val="20"/>
          <w:lang w:eastAsia="en-GB"/>
        </w:rPr>
      </w:pPr>
      <w:bookmarkStart w:id="2" w:name="p2"/>
      <w:bookmarkStart w:id="3" w:name="p-126227"/>
      <w:bookmarkEnd w:id="2"/>
      <w:bookmarkEnd w:id="3"/>
      <w:r w:rsidRPr="00D11AD1">
        <w:rPr>
          <w:rFonts w:ascii="Arial" w:eastAsia="Times New Roman" w:hAnsi="Arial" w:cs="Arial"/>
          <w:b/>
          <w:bCs/>
          <w:color w:val="414142"/>
          <w:sz w:val="20"/>
          <w:szCs w:val="20"/>
          <w:lang w:eastAsia="en-GB"/>
        </w:rPr>
        <w:t>2.pants.</w:t>
      </w:r>
      <w:r w:rsidRPr="00D11AD1">
        <w:rPr>
          <w:rFonts w:ascii="Arial" w:eastAsia="Times New Roman" w:hAnsi="Arial" w:cs="Arial"/>
          <w:color w:val="414142"/>
          <w:sz w:val="20"/>
          <w:szCs w:val="20"/>
          <w:lang w:eastAsia="en-GB"/>
        </w:rPr>
        <w:t> Likums stājas spēkā nākamajā dienā pēc tā izsludināšanas. Līdz ar likumu izsludināma Konvencija un Protokols latviešu un angļu valodā.</w:t>
      </w:r>
    </w:p>
    <w:p w14:paraId="1D960D7F" w14:textId="77777777" w:rsidR="00D11AD1" w:rsidRPr="00D11AD1" w:rsidRDefault="00D11AD1" w:rsidP="00D11AD1">
      <w:pPr>
        <w:shd w:val="clear" w:color="auto" w:fill="FFFFFF"/>
        <w:spacing w:line="293" w:lineRule="atLeast"/>
        <w:ind w:firstLine="300"/>
        <w:jc w:val="both"/>
        <w:rPr>
          <w:rFonts w:ascii="Arial" w:eastAsia="Times New Roman" w:hAnsi="Arial" w:cs="Arial"/>
          <w:color w:val="414142"/>
          <w:sz w:val="20"/>
          <w:szCs w:val="20"/>
          <w:lang w:eastAsia="en-GB"/>
        </w:rPr>
      </w:pPr>
      <w:bookmarkStart w:id="4" w:name="p3"/>
      <w:bookmarkStart w:id="5" w:name="p-126228"/>
      <w:bookmarkEnd w:id="4"/>
      <w:bookmarkEnd w:id="5"/>
      <w:r w:rsidRPr="00D11AD1">
        <w:rPr>
          <w:rFonts w:ascii="Arial" w:eastAsia="Times New Roman" w:hAnsi="Arial" w:cs="Arial"/>
          <w:b/>
          <w:bCs/>
          <w:color w:val="414142"/>
          <w:sz w:val="20"/>
          <w:szCs w:val="20"/>
          <w:lang w:eastAsia="en-GB"/>
        </w:rPr>
        <w:t>3.pants.</w:t>
      </w:r>
      <w:r w:rsidRPr="00D11AD1">
        <w:rPr>
          <w:rFonts w:ascii="Arial" w:eastAsia="Times New Roman" w:hAnsi="Arial" w:cs="Arial"/>
          <w:color w:val="414142"/>
          <w:sz w:val="20"/>
          <w:szCs w:val="20"/>
          <w:lang w:eastAsia="en-GB"/>
        </w:rPr>
        <w:t> Konvencija un Protokols stājas spēkā Konvencijas </w:t>
      </w:r>
      <w:hyperlink r:id="rId5" w:anchor="p28" w:history="1">
        <w:r w:rsidRPr="00D11AD1">
          <w:rPr>
            <w:rFonts w:ascii="Arial" w:eastAsia="Times New Roman" w:hAnsi="Arial" w:cs="Arial"/>
            <w:color w:val="16497B"/>
            <w:sz w:val="20"/>
            <w:szCs w:val="20"/>
            <w:u w:val="single"/>
            <w:lang w:eastAsia="en-GB"/>
          </w:rPr>
          <w:t>28.pantā</w:t>
        </w:r>
      </w:hyperlink>
      <w:r w:rsidRPr="00D11AD1">
        <w:rPr>
          <w:rFonts w:ascii="Arial" w:eastAsia="Times New Roman" w:hAnsi="Arial" w:cs="Arial"/>
          <w:color w:val="414142"/>
          <w:sz w:val="20"/>
          <w:szCs w:val="20"/>
          <w:lang w:eastAsia="en-GB"/>
        </w:rPr>
        <w:t> noteiktajā laikā un kārtībā, un Ārlietu ministrija par to paziņo laikrakstā "Latvijas Vēstnesis".</w:t>
      </w:r>
    </w:p>
    <w:p w14:paraId="20908DA4" w14:textId="77777777" w:rsidR="00D11AD1" w:rsidRPr="00D11AD1" w:rsidRDefault="00D11AD1" w:rsidP="00D11AD1">
      <w:pPr>
        <w:shd w:val="clear" w:color="auto" w:fill="FFFFFF"/>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Likums Saeimā pieņemts 2000.gada 25.maijā.</w:t>
      </w:r>
    </w:p>
    <w:p w14:paraId="64969183" w14:textId="77777777" w:rsidR="00D11AD1" w:rsidRPr="00D11AD1" w:rsidRDefault="00D11AD1" w:rsidP="00D11AD1">
      <w:pPr>
        <w:shd w:val="clear" w:color="auto" w:fill="FFFFFF"/>
        <w:jc w:val="right"/>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Valsts prezidente V.Vīķe-Freiberga</w:t>
      </w:r>
    </w:p>
    <w:p w14:paraId="7F592C9F" w14:textId="77777777" w:rsidR="00D11AD1" w:rsidRPr="00D11AD1" w:rsidRDefault="00D11AD1" w:rsidP="00D11AD1">
      <w:pPr>
        <w:shd w:val="clear" w:color="auto" w:fill="FFFFFF"/>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Rīgā 2000.gada 7.jūnijā</w:t>
      </w:r>
    </w:p>
    <w:p w14:paraId="1B11CE65" w14:textId="77777777" w:rsidR="00D11AD1" w:rsidRPr="00D11AD1" w:rsidRDefault="00D11AD1" w:rsidP="00D11AD1">
      <w:pPr>
        <w:shd w:val="clear" w:color="auto" w:fill="FFFFFF"/>
        <w:jc w:val="center"/>
        <w:rPr>
          <w:rFonts w:ascii="Arial" w:eastAsia="Times New Roman" w:hAnsi="Arial" w:cs="Arial"/>
          <w:b/>
          <w:bCs/>
          <w:color w:val="414142"/>
          <w:sz w:val="27"/>
          <w:szCs w:val="27"/>
          <w:lang w:eastAsia="en-GB"/>
        </w:rPr>
      </w:pPr>
      <w:bookmarkStart w:id="6" w:name="piel-126234"/>
      <w:bookmarkStart w:id="7" w:name="126235"/>
      <w:bookmarkStart w:id="8" w:name="n-126235"/>
      <w:bookmarkEnd w:id="6"/>
      <w:bookmarkEnd w:id="7"/>
      <w:bookmarkEnd w:id="8"/>
      <w:r w:rsidRPr="00D11AD1">
        <w:rPr>
          <w:rFonts w:ascii="Arial" w:eastAsia="Times New Roman" w:hAnsi="Arial" w:cs="Arial"/>
          <w:b/>
          <w:bCs/>
          <w:color w:val="414142"/>
          <w:sz w:val="27"/>
          <w:szCs w:val="27"/>
          <w:lang w:eastAsia="en-GB"/>
        </w:rPr>
        <w:t>Latvijas Republikas un Armēnijas Republikas konvencija par nodokļu dubultās uzlikšanas un nodokļu nemaksāšanas novēršanu attiecībā uz ienākuma un kapitāla nodokļiem</w:t>
      </w:r>
    </w:p>
    <w:p w14:paraId="1527AB4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Latvijas Republika un Armēnijas Republika, vadoties no vēlēšanās attīstīt un nostiprināt ekonomiskās, zinātniskās, tehniskās un kultūras attiecības starp abām Līgumslēdzējām Valstīm, kā arī nolūkā novērst nodokļu dubulto uzlikšanu, nodokļu nemaksāšanu un nepieļaut diskrimināciju nodokļu uzlikšanas ceļā attiecībā uz ienākuma un kapitāla nodokļiem, ir nolēmušas noslēgt šo Konvenciju un</w:t>
      </w:r>
    </w:p>
    <w:p w14:paraId="2DE240D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vienojas:</w:t>
      </w:r>
    </w:p>
    <w:p w14:paraId="5BDE82F2"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I daļa</w:t>
      </w:r>
    </w:p>
    <w:p w14:paraId="02526E03"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Konvencijas piemērošanas sfēra</w:t>
      </w:r>
    </w:p>
    <w:p w14:paraId="2F531260"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6" w:anchor="p1" w:history="1">
        <w:r w:rsidRPr="00D11AD1">
          <w:rPr>
            <w:rFonts w:ascii="Arial" w:eastAsia="Times New Roman" w:hAnsi="Arial" w:cs="Arial"/>
            <w:b/>
            <w:bCs/>
            <w:color w:val="16497B"/>
            <w:sz w:val="20"/>
            <w:szCs w:val="20"/>
            <w:u w:val="single"/>
            <w:lang w:eastAsia="en-GB"/>
          </w:rPr>
          <w:t>1.pants</w:t>
        </w:r>
      </w:hyperlink>
    </w:p>
    <w:p w14:paraId="20F4C9F1"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Konvencijas darbības sfēra</w:t>
      </w:r>
    </w:p>
    <w:p w14:paraId="69F3DD9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Šī Konvencija attiecas uz personām, kas ir vienas Līgumslēdzējas Valsts vai abu Līgumslēdzēju Valstu rezidenti.</w:t>
      </w:r>
    </w:p>
    <w:p w14:paraId="4B88EF27"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7" w:anchor="p2" w:history="1">
        <w:r w:rsidRPr="00D11AD1">
          <w:rPr>
            <w:rFonts w:ascii="Arial" w:eastAsia="Times New Roman" w:hAnsi="Arial" w:cs="Arial"/>
            <w:b/>
            <w:bCs/>
            <w:color w:val="16497B"/>
            <w:sz w:val="20"/>
            <w:szCs w:val="20"/>
            <w:u w:val="single"/>
            <w:lang w:eastAsia="en-GB"/>
          </w:rPr>
          <w:t>2.pants</w:t>
        </w:r>
      </w:hyperlink>
    </w:p>
    <w:p w14:paraId="5F4B8A53"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Nodokļi, uz kuriem attiecas Konvencija</w:t>
      </w:r>
    </w:p>
    <w:p w14:paraId="7006863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Šī Konvencija attiecas uz ienākuma un kapitāla nodokļiem, ko neatkarīgi no to iekasēšanas veida iekasē Līgumslēdzējas Valsts vai arī tās pašvaldību vārdā.</w:t>
      </w:r>
    </w:p>
    <w:p w14:paraId="4557D3A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2. Par ienākuma un kapitāla nodokļiem uzskatāmi visi nodokļi, ar kuriem apliek kopējo ienākumu, kopējo kapitālu vai ienākuma vai kapitāla daļu, arī nodoklis, ar kuru apliek kustamā vai nekustamā īpašuma atsavināšanas rezultātā gūto ienākumu un kapitāla vērtības pieaugumu.</w:t>
      </w:r>
    </w:p>
    <w:p w14:paraId="5560A30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Esošie nodokļi, uz kuriem attiecas šī Konvencija, konkrēti ir:</w:t>
      </w:r>
    </w:p>
    <w:p w14:paraId="775B6E8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Armēnijā:</w:t>
      </w:r>
    </w:p>
    <w:p w14:paraId="09AC1E3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peļņas nodoklis;</w:t>
      </w:r>
    </w:p>
    <w:p w14:paraId="2B0FF07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ienākuma nodoklis;</w:t>
      </w:r>
    </w:p>
    <w:p w14:paraId="1D8989F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(iii) īpašuma nodoklis;</w:t>
      </w:r>
    </w:p>
    <w:p w14:paraId="407F403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(iv) zemes nodoklis;</w:t>
      </w:r>
    </w:p>
    <w:p w14:paraId="6CCF7C9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(turpmāk — Armēnijas nodokļi);</w:t>
      </w:r>
    </w:p>
    <w:p w14:paraId="6EEC457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Latvijā:</w:t>
      </w:r>
    </w:p>
    <w:p w14:paraId="7931A32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uzņēmumu ienākuma nodoklis;</w:t>
      </w:r>
    </w:p>
    <w:p w14:paraId="004CB63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iedzīvotāju ienākuma nodoklis;</w:t>
      </w:r>
    </w:p>
    <w:p w14:paraId="19F6DB2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(iii) nekustamā īpašuma nodoklis;</w:t>
      </w:r>
    </w:p>
    <w:p w14:paraId="2E42677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(turpmāk — Latvijas nodokļi).</w:t>
      </w:r>
    </w:p>
    <w:p w14:paraId="4487676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Šī Konvencija tiks piemērota arī visiem identiskiem vai pēc būtības līdzīgiem ienākuma vai kapitāla nodokļiem, kuri, papildinot vai aizstājot esošos nodokļus, tiks ieviesti Līgumslēdzējā Valstī pēc šīs Konvencijas parakstīšanas datuma. Abu Līgumslēdzēju Valstu kompetentajām iestādēm ir savstarpēji jāinformē vienai otra par jebkuriem nozīmīgiem grozījumiem šo valstu attiecīgajos nodokļu likumdošanas aktos.</w:t>
      </w:r>
    </w:p>
    <w:p w14:paraId="1997729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II daļa</w:t>
      </w:r>
    </w:p>
    <w:p w14:paraId="6213512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Definīcijas</w:t>
      </w:r>
    </w:p>
    <w:p w14:paraId="1A1D70FB"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8" w:anchor="p3" w:history="1">
        <w:r w:rsidRPr="00D11AD1">
          <w:rPr>
            <w:rFonts w:ascii="Arial" w:eastAsia="Times New Roman" w:hAnsi="Arial" w:cs="Arial"/>
            <w:b/>
            <w:bCs/>
            <w:color w:val="16497B"/>
            <w:sz w:val="20"/>
            <w:szCs w:val="20"/>
            <w:u w:val="single"/>
            <w:lang w:eastAsia="en-GB"/>
          </w:rPr>
          <w:t>3.pants</w:t>
        </w:r>
      </w:hyperlink>
    </w:p>
    <w:p w14:paraId="768413EA"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Vispārīgās definīcijas</w:t>
      </w:r>
    </w:p>
    <w:p w14:paraId="43FCE3D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Ja no konteksta neizriet citādi, šajā Konvencijā:</w:t>
      </w:r>
    </w:p>
    <w:p w14:paraId="57BD248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jēdzieni "Līgumslēdzēja Valsts" un "otra Līgumslēdzēja Valsts" atkarībā no konteksta apzīmē Latviju vai Armēniju;</w:t>
      </w:r>
    </w:p>
    <w:p w14:paraId="0E2FAAE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b) jēdziens "Armēnija" nozīmē Armēnijas Republiku, un, lietots ģeogrāfiskā nozīmē, tas apzīmē teritoriju, arī iekšējos ūdeņus, attiecībā uz kuru Armēnijas Republika īsteno savas suverēnās tiesības un jurisdikciju saskaņā ar starptautiskajām tiesībām un tās iekšzemes likumdošanas aktiem;</w:t>
      </w:r>
    </w:p>
    <w:p w14:paraId="55BB776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c) jēdziens "Latvija" nozīmē Latvijas Republiku, un, lietots ģeogrāfiskā nozīmē, tas apzīmē Latvijas Republikas teritoriju un jebkuru citu Latvijas Republikas teritoriālajiem ūdeņiem piegulošu teritoriju, kurā saskaņā ar Latvijas likumdošanas aktiem un starptautiskajām tiesībām var tikt īstenotas Latvijas tiesības uz jūras un zemes dzīlēm un tur esošajiem dabas resursiem;</w:t>
      </w:r>
    </w:p>
    <w:p w14:paraId="13E0289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d) jēdziens "persona" apzīmē fizisko personu, sabiedrību un jebkuru citu personu kopumu;</w:t>
      </w:r>
    </w:p>
    <w:p w14:paraId="198327D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e) jēdziens "sabiedrība" apzīmē jebkuru apvienotu veidojumu vai jebkuru vienību, kas nodokļu aplikšanas nolūkos tiek uzskatīta par apvienotu veidojumu;</w:t>
      </w:r>
    </w:p>
    <w:p w14:paraId="579B3E6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f) jēdzieni "Līgumslēdzējas Valsts uzņēmums" un "otras Līgumslēdzējas Valsts uzņēmums" attiecīgi apzīmē uzņēmumu, ko vada Līgumslēdzējas Valsts rezidents, un uzņēmumu, ko vada otras Līgumslēdzējas Valsts rezidents;</w:t>
      </w:r>
    </w:p>
    <w:p w14:paraId="79B638E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g) jēdziens "starptautiskā satiksme" apzīmē jebkurus pārvadājumus ar gaisa transportu, ko veic Līgumslēdzējas Valsts uzņēmums, izņemot tos gadījumus, kad gaisa transporta līdzekļi pārvietojas vienīgi otras Līgumslēdzējas Valsts iekšienē;</w:t>
      </w:r>
    </w:p>
    <w:p w14:paraId="5EB1F24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h) jēdziens "kompetentās iestādes" apzīmē:</w:t>
      </w:r>
    </w:p>
    <w:p w14:paraId="6BA93B8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Armēnijā — finansu un ekonomikas ministru vai viņa pilnvaroto pārstāvi;</w:t>
      </w:r>
    </w:p>
    <w:p w14:paraId="565D95C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Latvijā — Finansu ministriju vai tās pilnvaroto pārstāvi;</w:t>
      </w:r>
    </w:p>
    <w:p w14:paraId="5F48480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i) jēdziens "pilsonis" apzīmē:</w:t>
      </w:r>
    </w:p>
    <w:p w14:paraId="72FF8EE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jebkuru fizisko personu, kas ir Līgumslēdzējas Valsts pilsonis;</w:t>
      </w:r>
    </w:p>
    <w:p w14:paraId="511B134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jebkuru juridisko personu, līgumsabiedrību vai asociāciju, kuras statuss izriet no Līgumslēdzējā Valstī spēkā esošajiem likumdošanas aktiem.</w:t>
      </w:r>
    </w:p>
    <w:p w14:paraId="16BE99E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Piemērojot šo Konvenciju jebkurā laikā, Līgumslēdzēja Valsts lietos jebkuru jēdzienu, kas šeit nav definēts, tikai tādā nozīmē, ja vien no konteksta neizriet citādi, kādā tas attiecīgajā laikā lietots šīs Līgumslēdzējas Valsts likumdošanas aktos attiecībā uz nodokļiem, uz kuriem attiecas šī Konvencija. Turklāt jebkuram jēdzienu skaidrojumam saskaņā ar piemērojamajiem nodokļu likumdošanas aktiem būs prioritāte pār šo jēdzienu skaidrojumiem saskaņā ar citiem šīs valsts likumdošanas aktiem.</w:t>
      </w:r>
    </w:p>
    <w:p w14:paraId="29220A7B"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9" w:anchor="p4" w:history="1">
        <w:r w:rsidRPr="00D11AD1">
          <w:rPr>
            <w:rFonts w:ascii="Arial" w:eastAsia="Times New Roman" w:hAnsi="Arial" w:cs="Arial"/>
            <w:b/>
            <w:bCs/>
            <w:color w:val="16497B"/>
            <w:sz w:val="20"/>
            <w:szCs w:val="20"/>
            <w:u w:val="single"/>
            <w:lang w:eastAsia="en-GB"/>
          </w:rPr>
          <w:t>4.pants</w:t>
        </w:r>
      </w:hyperlink>
    </w:p>
    <w:p w14:paraId="19F8DDF0"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Rezidents</w:t>
      </w:r>
    </w:p>
    <w:p w14:paraId="7B66FE1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xml:space="preserve">1. Šajā Konvencijā jēdziens "Līgumslēdzējas Valsts rezidents" apzīmē jebkuru personu, kas saskaņā ar šīs valsts likumdošanas aktiem ir pakļauta aplikšanai ar nodokļiem, pamatojoties uz tās pastāvīgo dzīvesvietu, inkorporācijas (reģistrācijas) vietu, rezidenci, faktiskās vadības atrašanās vietu </w:t>
      </w:r>
      <w:r w:rsidRPr="00D11AD1">
        <w:rPr>
          <w:rFonts w:ascii="Arial" w:eastAsia="Times New Roman" w:hAnsi="Arial" w:cs="Arial"/>
          <w:color w:val="414142"/>
          <w:sz w:val="20"/>
          <w:szCs w:val="20"/>
          <w:lang w:eastAsia="en-GB"/>
        </w:rPr>
        <w:lastRenderedPageBreak/>
        <w:t>vai jebkuru citu līdzīga rakstura kritēriju. Jēdziens ietver arī šīs Līgumslēdzējas Valsts valdību vai tās pašvaldības. Bet šis jēdziens neietver jebkuras personas, kurām šajā valstī tiek uzlikti nodokļi tikai attiecībā uz to ienākumiem no šajā valstī esošajiem avotiem vai par šajā valstī izvietoto kapitālu.</w:t>
      </w:r>
    </w:p>
    <w:p w14:paraId="392E207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Ja saskaņā ar </w:t>
      </w:r>
      <w:hyperlink r:id="rId10" w:anchor="p1" w:history="1">
        <w:r w:rsidRPr="00D11AD1">
          <w:rPr>
            <w:rFonts w:ascii="Arial" w:eastAsia="Times New Roman" w:hAnsi="Arial" w:cs="Arial"/>
            <w:color w:val="16497B"/>
            <w:sz w:val="20"/>
            <w:szCs w:val="20"/>
            <w:u w:val="single"/>
            <w:lang w:eastAsia="en-GB"/>
          </w:rPr>
          <w:t>1.punkta</w:t>
        </w:r>
      </w:hyperlink>
      <w:r w:rsidRPr="00D11AD1">
        <w:rPr>
          <w:rFonts w:ascii="Arial" w:eastAsia="Times New Roman" w:hAnsi="Arial" w:cs="Arial"/>
          <w:color w:val="414142"/>
          <w:sz w:val="20"/>
          <w:szCs w:val="20"/>
          <w:lang w:eastAsia="en-GB"/>
        </w:rPr>
        <w:t> noteikumiem fiziskā persona ir abu Līgumslēdzēju Valstu rezidents, tās statuss tiks noteikts šādā veidā:</w:t>
      </w:r>
    </w:p>
    <w:p w14:paraId="399FDE3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šī persona tiks uzskatīta par rezidentu tikai tajā valstī, kurā atrodas tās pastāvīgā dzīvesvieta; ja tās pastāvīgā dzīvesvieta ir abās valstīs, šī persona tiks uzskatīta tikai par tās valsts rezidentu, ar kuru tai ir ciešākas personiskās vai ekonomiskās attiecības (vitālo interešu centrs);</w:t>
      </w:r>
    </w:p>
    <w:p w14:paraId="451D39F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ja nav iespējams noteikt valsti, kurā šai personai ir vitālo interešu centrs, vai arī ja tai nav pastāvīgas dzīvesvietas nevienā no abām valstīm, šī persona tiks uzskatīta tikai par tās valsts rezidentu, kura tai ir ierastā mītnes zeme;</w:t>
      </w:r>
    </w:p>
    <w:p w14:paraId="0D45FCA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c) ja šai personai ierastā mītnes zeme ir abas valstis vai nav neviena no tām, tā tiks uzskatīta tikai par tās valsts rezidentu, kuras pilsonis ir šī persona;</w:t>
      </w:r>
    </w:p>
    <w:p w14:paraId="50FB059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d) ja šī persona ir abu valstu pilsonis vai nav nevienas šīs valsts pilsonis, Līgumslēdzēju Valstu kompetentās iestādes izšķir šo jautājumu, savstarpēji vienojoties.</w:t>
      </w:r>
    </w:p>
    <w:p w14:paraId="491220A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Ja saskaņā ar </w:t>
      </w:r>
      <w:hyperlink r:id="rId11" w:anchor="p1" w:history="1">
        <w:r w:rsidRPr="00D11AD1">
          <w:rPr>
            <w:rFonts w:ascii="Arial" w:eastAsia="Times New Roman" w:hAnsi="Arial" w:cs="Arial"/>
            <w:color w:val="16497B"/>
            <w:sz w:val="20"/>
            <w:szCs w:val="20"/>
            <w:u w:val="single"/>
            <w:lang w:eastAsia="en-GB"/>
          </w:rPr>
          <w:t>1.punkta</w:t>
        </w:r>
      </w:hyperlink>
      <w:r w:rsidRPr="00D11AD1">
        <w:rPr>
          <w:rFonts w:ascii="Arial" w:eastAsia="Times New Roman" w:hAnsi="Arial" w:cs="Arial"/>
          <w:color w:val="414142"/>
          <w:sz w:val="20"/>
          <w:szCs w:val="20"/>
          <w:lang w:eastAsia="en-GB"/>
        </w:rPr>
        <w:t> nosacījumiem persona, kas nav fiziskā persona, ir abu Līgumslēdzēju Valstu rezidents, Līgumslēdzēju Valstu kompetentām iestādēm jācenšas izšķirt šo jautājumu, savstarpēji vienojoties, un noteikt šīs Konvencijas piemērošanas veidu šādai personai.</w:t>
      </w:r>
    </w:p>
    <w:p w14:paraId="577CC791"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12" w:anchor="p5" w:history="1">
        <w:r w:rsidRPr="00D11AD1">
          <w:rPr>
            <w:rFonts w:ascii="Arial" w:eastAsia="Times New Roman" w:hAnsi="Arial" w:cs="Arial"/>
            <w:b/>
            <w:bCs/>
            <w:color w:val="16497B"/>
            <w:sz w:val="20"/>
            <w:szCs w:val="20"/>
            <w:u w:val="single"/>
            <w:lang w:eastAsia="en-GB"/>
          </w:rPr>
          <w:t>5.pants</w:t>
        </w:r>
      </w:hyperlink>
    </w:p>
    <w:p w14:paraId="6900F86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Pastāvīgā pārstāvniecība</w:t>
      </w:r>
    </w:p>
    <w:p w14:paraId="6545F1B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Šajā Konvencijā jēdziens "pastāvīgā pārstāvniecība" nozīmē noteiktu vietu, kur uzņēmums pilnīgi vai daļēji veic uzņēmējdarbību.</w:t>
      </w:r>
    </w:p>
    <w:p w14:paraId="4755D33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Jēdziens "pastāvīgā pārstāvniecība" ietver:</w:t>
      </w:r>
    </w:p>
    <w:p w14:paraId="4294BC7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uzņēmuma vadības atrašanās vietu;</w:t>
      </w:r>
    </w:p>
    <w:p w14:paraId="5F1033F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filiāli;</w:t>
      </w:r>
    </w:p>
    <w:p w14:paraId="0BA6972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c) kantori;</w:t>
      </w:r>
    </w:p>
    <w:p w14:paraId="11014F6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d) fabriku;</w:t>
      </w:r>
    </w:p>
    <w:p w14:paraId="7A5081B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e) darbnīcu; un</w:t>
      </w:r>
    </w:p>
    <w:p w14:paraId="7D8CBB5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f) šahtu, naftas vai gāzes ieguves vietu, akmeņlauztuves vai jebkuru citu dabas resursu izpētes vai ieguves vietu.</w:t>
      </w:r>
    </w:p>
    <w:p w14:paraId="1AFB060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3. a) Būvlaukums, montāžas, komplektēšanas vai instalācijas projekts, vai ar to saistītā pārraudzības darbība tiks uzskatīti par pastāvīgo pārstāvniecību tikai tad, ja šis būvlaukums, projekts vai darbība notiek ilgāk nekā deviņus mēnešus;</w:t>
      </w:r>
    </w:p>
    <w:p w14:paraId="2B2391F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Līgumslēdzējas Valsts šelfa zonā veiktā darbība, kas saistīta ar šīs valsts jūras un zemes dzīļu un tur esošo dabas resursu pētīšanu un izmantošanu, tiks uzskatīta par tādu darbību, kas veikta, izmantojot šajā valstī esošo pastāvīgo pārstāvniecību, ja šādas darbības ilgums pārsniedz laika posmu vai laika posmus kopumā 30 dienu garumā jebkurā 12 mēnešu ilgā periodā.</w:t>
      </w:r>
    </w:p>
    <w:p w14:paraId="0EA36C8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Neatkarīgi no šī panta iepriekšējo punktu noteikumiem jēdziens "pastāvīgā pārstāvniecība" neietver:</w:t>
      </w:r>
    </w:p>
    <w:p w14:paraId="2E87289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ēku un iekārtu izmantošanu tikai un vienīgi uzņēmumam piederošo preču vai izstrādājumu uzglabāšanai, demonstrēšanai vai piegādēm;</w:t>
      </w:r>
    </w:p>
    <w:p w14:paraId="122C455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uzņēmumam piederošos preču vai izstrādājumu krājumus, kas paredzēti tikai un vienīgi uzglabāšanai, demonstrēšanai vai piegādēm;</w:t>
      </w:r>
    </w:p>
    <w:p w14:paraId="476D5F2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c) uzņēmumam piederošos preču vai izstrādājumu krājumus, kas paredzēti tikai un vienīgi pārstrādei citā uzņēmumā;</w:t>
      </w:r>
    </w:p>
    <w:p w14:paraId="49E7D2E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d) pastāvīgu darbības vietu, kas paredzēta tikai un vienīgi preču vai izstrādājumu iepirkšanai vai informācijas vākšanai uzņēmuma vajadzībām;</w:t>
      </w:r>
    </w:p>
    <w:p w14:paraId="5D93A8A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e) pastāvīgu darbības vietu, kas paredzēta tikai un vienīgi tam, lai veiktu uzņēmuma labā jebkurus citus priekšdarbus vai palīgdarbību;</w:t>
      </w:r>
    </w:p>
    <w:p w14:paraId="04BB329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f) pastāvīgu darbības vietu, kas paredzēta tikai un vienīgi tam, lai veiktu šī punkta no a) līdz e) apakšpunktā minētās darbības jebkādā to kombinācijā, ar nosacījumu, ka kopējam darbības veidam ir priekšdarbu vai palīgdarbības raksturs.</w:t>
      </w:r>
    </w:p>
    <w:p w14:paraId="1C8FBB3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Neatkarīgi no 1. un 2.punkta noteikumiem, ja persona, kura nav 6.punktā minētais neatkarīgā statusa aģents, darbojas uzņēmuma labā un parasti Līgumslēdzējā Valstī izmanto tai piešķirtās pilnvaras noslēgt līgumus šī uzņēmuma vārdā, tiks uzskatīts, ka šim uzņēmumam ir pastāvīgā pārstāvniecība šajā valstī attiecībā uz jebkuru šīs personas veikto darbību uzņēmuma labā, izņemot gadījumus, kad pastāvīgo darbības vietu, kuru izmanto šī persona, veicot </w:t>
      </w:r>
      <w:hyperlink r:id="rId13" w:anchor="p4" w:history="1">
        <w:r w:rsidRPr="00D11AD1">
          <w:rPr>
            <w:rFonts w:ascii="Arial" w:eastAsia="Times New Roman" w:hAnsi="Arial" w:cs="Arial"/>
            <w:color w:val="16497B"/>
            <w:sz w:val="20"/>
            <w:szCs w:val="20"/>
            <w:u w:val="single"/>
            <w:lang w:eastAsia="en-GB"/>
          </w:rPr>
          <w:t>4.punktā</w:t>
        </w:r>
      </w:hyperlink>
      <w:r w:rsidRPr="00D11AD1">
        <w:rPr>
          <w:rFonts w:ascii="Arial" w:eastAsia="Times New Roman" w:hAnsi="Arial" w:cs="Arial"/>
          <w:color w:val="414142"/>
          <w:sz w:val="20"/>
          <w:szCs w:val="20"/>
          <w:lang w:eastAsia="en-GB"/>
        </w:rPr>
        <w:t> minēto darbību, nevar uzskatīt par pastāvīgo pārstāvniecību saskaņā ar šī panta 4.punkta noteikumiem.</w:t>
      </w:r>
    </w:p>
    <w:p w14:paraId="510E255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6. Tiks uzskatīts, ka uzņēmumam nav pastāvīgās pārstāvniecības Līgumslēdzējā Valstī, ja uzņēmums veic uzņēmējdarbību šajā valstī, vienīgi izmantojot brokeri, tirdzniecības aģentu vai jebkuru citu neatkarīga statusa aģentu, ar nosacījumu, ka šīs personas veic savu parasto uzņēmējdarbību.</w:t>
      </w:r>
    </w:p>
    <w:p w14:paraId="26BA635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7. Fakts, ka sabiedrība — Līgumslēdzējas Valsts rezidents kontrolē sabiedrību, kura ir otras Līgumslēdzējas Valsts rezidents vai kura veic uzņēmējdarbību šajā otrā valstī (izmantojot pastāvīgo pārstāvniecību vai kādā citā veidā), vai ir pakļauta šādas sabiedrības kontrolei, pats par sevi nepārvērš vienu no šīm sabiedrībām par otras sabiedrības pastāvīgo pārstāvniecību.</w:t>
      </w:r>
    </w:p>
    <w:p w14:paraId="57814B41"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III daļa</w:t>
      </w:r>
    </w:p>
    <w:p w14:paraId="1630F03B"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lastRenderedPageBreak/>
        <w:t>Ienākuma aplikšana ar nodokļiem</w:t>
      </w:r>
    </w:p>
    <w:p w14:paraId="6E7CC552"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14" w:anchor="p6" w:history="1">
        <w:r w:rsidRPr="00D11AD1">
          <w:rPr>
            <w:rFonts w:ascii="Arial" w:eastAsia="Times New Roman" w:hAnsi="Arial" w:cs="Arial"/>
            <w:b/>
            <w:bCs/>
            <w:color w:val="16497B"/>
            <w:sz w:val="20"/>
            <w:szCs w:val="20"/>
            <w:u w:val="single"/>
            <w:lang w:eastAsia="en-GB"/>
          </w:rPr>
          <w:t>6.pants</w:t>
        </w:r>
      </w:hyperlink>
    </w:p>
    <w:p w14:paraId="43AADC57"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Ienākums no nekustamā īpašuma</w:t>
      </w:r>
    </w:p>
    <w:p w14:paraId="0CD3D1B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Ienākumu, ko gūst Līgumslēdzējas Valsts rezidents no nekustamā īpašuma (arī ienākumu no lauksaimniecības vai mežkopības), kas atrodas otrā Līgumslēdzējā Valstī, var aplikt ar nodokļiem šajā otrā valstī.</w:t>
      </w:r>
    </w:p>
    <w:p w14:paraId="3520563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Jēdzienam "nekustamais īpašums" būs tāda nozīme, kāda tam ir tās Līgumslēdzējas Valsts likumdošanas aktos, kurā atrodas minētais īpašums. Šīs Konvencijas noteikumi, kas attiecas uz nekustamo īpašumu, tiks piemēroti arī attiecībā uz īpašumu, kas ir piederīgs nekustamajam īpašumam, mājlopiem un iekārtām, ko izmanto lauksaimniecībā un mežkopībā, tiesībām, kuras vispārējā likumdošanā ir attiecināmas uz zemei piesaistīto īpašumu, jebkurām nekustamā īpašuma pirkšanas un pārdošanas tiesību izmantošanas tiesībām vai līdzīgām tiesībām iegūt nekustamo īpašumu, nekustamā īpašuma uzurfruktu (lietošanas tiesības) un tiesībām uz mainīga lieluma vai pastāvīgiem maksājumiem par tiesībām izmantot derīgos izrakteņus, avotus un citus dabas resursus vai par to izmantošanu, tiesībām uz īpašumu, kas var tikt radīts, veicot jūras un zemes dzīļu un tur esošo dabas resursu pētīšanu un izmantošanu, ieskaitot tiesības uz līdzdalību īpašumā vai peļņā, kuru var gūt šis īpašums. Par nekustamo īpašumu netiks uzskatīti kuģi, liellaivas un lidmašīnas.</w:t>
      </w:r>
    </w:p>
    <w:p w14:paraId="3498001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Šī panta 1.punkta noteikumi tiks piemēroti attiecībā uz ienākumu no nekustamā īpašuma tiešas izmantošanas, izīrēšanas vai izmantošanas citā veidā, kā arī attiecībā uz ienākumu, ko iegūst, atsavinot nekustamo īpašumu.</w:t>
      </w:r>
    </w:p>
    <w:p w14:paraId="4648BEE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Ja sabiedrības akcijas vai citas korporatīvās tiesības dod to īpašniekam tiesības uz sabiedrības nekustamā īpašuma izmantošanu, tad ienākumu no šo tiesību tiešas izmantošanas, iznomāšanas vai lietošanas jebkādā citā veidā var aplikt ar nodokļiem tajā Līgumslēdzējā Valstī, kurā atrodas šis nekustamais īpašums.</w:t>
      </w:r>
    </w:p>
    <w:p w14:paraId="6FD0C5D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Šī panta 1., 3. un 4.punkta noteikumi tiks piemēroti arī attiecībā uz ienākumu no uzņēmuma nekustamā īpašuma, kā arī attiecībā uz ienākumu no nekustamā īpašuma, kas tiek izmantots neatkarīgu individuālu pakalpojumu sniegšanai.</w:t>
      </w:r>
    </w:p>
    <w:p w14:paraId="374290BD"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7.pants</w:t>
      </w:r>
    </w:p>
    <w:p w14:paraId="0FB76F0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Uzņēmējdarbības peļņa</w:t>
      </w:r>
    </w:p>
    <w:p w14:paraId="0B2AA37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Līgumslēdzējas Valsts uzņēmuma peļņa tiks aplikta ar nodokļiem tikai šajā valstī, izņemot gadījumus, kad uzņēmums veic uzņēmējdarbību otrā Līgumslēdzējā Valstī, izmantojot tur esošo pastāvīgo pārstāvniecību. Ja uzņēmums veic uzņēmējdarbību minētajā veidā, uzņēmuma peļņu var aplikt ar nodokļiem otrā valstī, bet tikai to peļņas daļu, kas ir attiecināma uz šo pastāvīgo pārstāvniecību.</w:t>
      </w:r>
    </w:p>
    <w:p w14:paraId="7DCD590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Saskaņā ar </w:t>
      </w:r>
      <w:hyperlink r:id="rId15" w:anchor="p3" w:history="1">
        <w:r w:rsidRPr="00D11AD1">
          <w:rPr>
            <w:rFonts w:ascii="Arial" w:eastAsia="Times New Roman" w:hAnsi="Arial" w:cs="Arial"/>
            <w:color w:val="16497B"/>
            <w:sz w:val="20"/>
            <w:szCs w:val="20"/>
            <w:u w:val="single"/>
            <w:lang w:eastAsia="en-GB"/>
          </w:rPr>
          <w:t>3.punkta</w:t>
        </w:r>
      </w:hyperlink>
      <w:r w:rsidRPr="00D11AD1">
        <w:rPr>
          <w:rFonts w:ascii="Arial" w:eastAsia="Times New Roman" w:hAnsi="Arial" w:cs="Arial"/>
          <w:color w:val="414142"/>
          <w:sz w:val="20"/>
          <w:szCs w:val="20"/>
          <w:lang w:eastAsia="en-GB"/>
        </w:rPr>
        <w:t xml:space="preserve"> noteikumiem, ja Līgumslēdzējas Valsts uzņēmums veic uzņēmējdarbību otrā Līgumslēdzējā Valstī, izmantojot tur esošo pastāvīgo pārstāvniecību, katrā Līgumslēdzējā Valstī uz šo pastāvīgo pārstāvniecību attiecināms tāds peļņas daudzums, kādu šī pārstāvniecība varētu gūt, </w:t>
      </w:r>
      <w:r w:rsidRPr="00D11AD1">
        <w:rPr>
          <w:rFonts w:ascii="Arial" w:eastAsia="Times New Roman" w:hAnsi="Arial" w:cs="Arial"/>
          <w:color w:val="414142"/>
          <w:sz w:val="20"/>
          <w:szCs w:val="20"/>
          <w:lang w:eastAsia="en-GB"/>
        </w:rPr>
        <w:lastRenderedPageBreak/>
        <w:t>ja nepārprotami būtu atsevišķs uzņēmums, kas veic vienādu vai līdzīgu uzņēmējdarbību tādos pašos vai līdzīgos apstākļos un darbojas pilnīgi neatkarīgi no šī uzņēmuma.</w:t>
      </w:r>
    </w:p>
    <w:p w14:paraId="49DE459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Nosakot pastāvīgās pārstāvniecības peļņu, tiks pieļauta pastāvīgās pārstāvniecības izdevumu atskaitīšana no summas, kuru apliek ar nodokļiem. Šie izdevumi var būt pārstāvniecības operatīvie un vispārējie administratīvie izdevumi, kas radušies vai nu valstī, kur atrodas pastāvīgā pārstāvniecība, vai citur.</w:t>
      </w:r>
    </w:p>
    <w:p w14:paraId="6F2104C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Ja Līgumslēdzējā Valstī peļņu, kas attiecināma uz pastāvīgo pārstāvniecību, nosaka, sadalot uzņēmuma kopīgo peļņu proporcionāli starp tā struktūrvienībām, </w:t>
      </w:r>
      <w:hyperlink r:id="rId16" w:anchor="p2" w:history="1">
        <w:r w:rsidRPr="00D11AD1">
          <w:rPr>
            <w:rFonts w:ascii="Arial" w:eastAsia="Times New Roman" w:hAnsi="Arial" w:cs="Arial"/>
            <w:color w:val="16497B"/>
            <w:sz w:val="20"/>
            <w:szCs w:val="20"/>
            <w:u w:val="single"/>
            <w:lang w:eastAsia="en-GB"/>
          </w:rPr>
          <w:t>2.punkts</w:t>
        </w:r>
      </w:hyperlink>
      <w:r w:rsidRPr="00D11AD1">
        <w:rPr>
          <w:rFonts w:ascii="Arial" w:eastAsia="Times New Roman" w:hAnsi="Arial" w:cs="Arial"/>
          <w:color w:val="414142"/>
          <w:sz w:val="20"/>
          <w:szCs w:val="20"/>
          <w:lang w:eastAsia="en-GB"/>
        </w:rPr>
        <w:t> neaizliedz Līgumslēdzējai Valstij kā parasti noteikt apliekamās peļņas daļu pēc šī principa; tomēr šī sadales metode jālieto tā, lai rezultāts atbilstu šajā pantā ietvertajiem principiem.</w:t>
      </w:r>
    </w:p>
    <w:p w14:paraId="60C12C5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Uz pastāvīgo pārstāvniecību netiks attiecināta peļņa tikai tāpēc vien, ka tā ir iegādājusies sava uzņēmuma vajadzībām preces vai izstrādājumus.</w:t>
      </w:r>
    </w:p>
    <w:p w14:paraId="6DCF151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6. Šī panta iepriekšējo punktu piemērošanai, uz pastāvīgo pārstāvniecību attiecināmā peļņa, katru gadu ir jānosaka ar vienu un to pašu metodi, izņemot gadījumus, kad ir pietiekams pamats rīkoties citādi.</w:t>
      </w:r>
    </w:p>
    <w:p w14:paraId="3C690D7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7. Ja peļņā ir ietverti ienākuma veidi, kas tiek atsevišķi aplūkoti citos šīs Konvencijas pantos, šī panta noteikumi neietekmēs šo citu pantu noteikumus.</w:t>
      </w:r>
    </w:p>
    <w:p w14:paraId="25375140"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8.pants</w:t>
      </w:r>
    </w:p>
    <w:p w14:paraId="5634B9BF"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Gaisa transports</w:t>
      </w:r>
    </w:p>
    <w:p w14:paraId="3FC6C8C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Līgumslēdzējas Valsts uzņēmuma peļņa no gaisa transporta līdzekļu izmantošanas starptautiskajā satiksmē tiks aplikta ar nodokļiem tikai šajā valstī.</w:t>
      </w:r>
    </w:p>
    <w:p w14:paraId="48104AF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Šī panta 1.punkta noteikumi attiecas arī uz peļņu, kas gūta no piedalīšanās pulā, kopējā uzņēmējdarbībā vai starptautiskās satiksmes transporta uzņēmumā, bet tikai tik lielā mērā, cik šī peļņa ir attiecināma uz uzņēmuma līdzdalību kopējā uzņēmējdarbībā.</w:t>
      </w:r>
    </w:p>
    <w:p w14:paraId="341897B5"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17" w:anchor="p9" w:history="1">
        <w:r w:rsidRPr="00D11AD1">
          <w:rPr>
            <w:rFonts w:ascii="Arial" w:eastAsia="Times New Roman" w:hAnsi="Arial" w:cs="Arial"/>
            <w:b/>
            <w:bCs/>
            <w:color w:val="16497B"/>
            <w:sz w:val="20"/>
            <w:szCs w:val="20"/>
            <w:u w:val="single"/>
            <w:lang w:eastAsia="en-GB"/>
          </w:rPr>
          <w:t>9.pants</w:t>
        </w:r>
      </w:hyperlink>
    </w:p>
    <w:p w14:paraId="2E80DA83"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Saistītie uzņēmumi</w:t>
      </w:r>
    </w:p>
    <w:p w14:paraId="204BB2A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Gadījumos, kad:</w:t>
      </w:r>
    </w:p>
    <w:p w14:paraId="13125D9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Līgumslēdzējas Valsts uzņēmums tieši vai netieši piedalās otras Līgumslēdzējas Valsts uzņēmuma vadībā vai kontrolē vai tam pieder daļa no šī uzņēmuma kapitāla; vai</w:t>
      </w:r>
    </w:p>
    <w:p w14:paraId="429CE29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vienas un tās pašas personas tieši vai netieši piedalās Līgumslēdzējas Valsts uzņēmuma vadībā vai kontrolē vai tām pieder daļa kapitāla šajā uzņēmumā un vienlaikus tās tieši vai netieši piedalās otras Līgumslēdzējas Valsts uzņēmuma vadībā vai kontrolē vai tām pieder daļa otras valsts uzņēmuma kapitāla,</w:t>
      </w:r>
    </w:p>
    <w:p w14:paraId="17AD7CF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un jebkurā gadījumā šo divu uzņēmumu komerciālās un finansu attiecības tiek veidotas vai nodibinātas pēc noteikumiem, kas atšķiras no tādiem noteikumiem, kuri būtu spēkā starp diviem neatkarīgiem (savstarpēji nesaistītiem) uzņēmumiem, tad jebkura peļņa, kas veidotos vienam no uzņēmumiem, bet iepriekšminēto noteikumu ietekmē nav izveidojusies, var tikt iekļauta šī uzņēmuma peļņā un atbilstoši aplikta ar nodokļiem.</w:t>
      </w:r>
    </w:p>
    <w:p w14:paraId="759F0B5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Ja Līgumslēdzēja Valsts iekļauj šīs valsts uzņēmuma peļņā un attiecīgi apliek ar nodokļiem to peļņu, attiecībā uz kuru otrā valstī otras Līgumslēdzējas Valsts uzņēmums ir ticis aplikts ar nodokļiem, un šī iekļautā peļņa ir tāda peļņa, kuru būtu guvis pirmās Līgumslēdzējas Valsts uzņēmums, ja attiecības starp šiem diviem uzņēmumiem būtu bijušas tādas, kādas pastāvētu starp diviem neatkarīgiem uzņēmumiem, tad otrai valstij ir jāizdara atbilstošas korektīvas attiecībā uz nodokļa lielumu, ar kuru tiek aplikta šī peļņa otrā valstī. Nosakot šīs korektīvas, jāņem vērā citi šīs Konvencijas noteikumi un, ja nepieciešams, jārīko Līgumslēdzēju Valstu kompetento iestāžu konsultācijas.</w:t>
      </w:r>
    </w:p>
    <w:p w14:paraId="7182974A"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10.pants</w:t>
      </w:r>
    </w:p>
    <w:p w14:paraId="39F2E2CD"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Dividendes</w:t>
      </w:r>
    </w:p>
    <w:p w14:paraId="35F3A21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Dividendes, ko sabiedrība — Līgumslēdzējas Valsts rezidents izmaksā otras Līgumslēdzējas Valsts rezidentam, var aplikt ar nodokļiem šajā otrā valstī.</w:t>
      </w:r>
    </w:p>
    <w:p w14:paraId="5E9F5C5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Tomēr šīs dividendes var arī aplikt ar nodokļiem atbilstoši attiecīgās valsts likumdošanas aktiem tajā Līgumslēdzējā Valstī, kuras rezidents ir sabiedrība, kas izmaksā dividendes, bet, ja dividenžu īstenais īpašnieks ir otrās Līgumslēdzējas Valsts rezidents, nodoklis nedrīkst pārsniegt:</w:t>
      </w:r>
    </w:p>
    <w:p w14:paraId="22A5A68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5% no dividenžu bruto apjoma, ja dividenžu īstenais īpašnieks ir sabiedrība (kas nav līgumsabiedrība), kura tieši pārvalda vismaz 25%  no kapitāla sabiedrībā, kura izmaksā dividendes;</w:t>
      </w:r>
    </w:p>
    <w:p w14:paraId="47F37D9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15% no dividenžu bruto apjoma visos pārējos gadījumos.</w:t>
      </w:r>
    </w:p>
    <w:p w14:paraId="6325C1D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Šis punkts neietekmēs sabiedrības aplikšanu ar nodokļiem attiecībā uz peļņu, no kuras tiek izmaksātas dividendes.</w:t>
      </w:r>
    </w:p>
    <w:p w14:paraId="3A89AFC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Jēdziens "dividendes" šajā pantā nozīmē ienākumu no akcijām vai citām tādām tiesībām piedalīties peļņas sadalē, kuras nav parādsaistības, kā arī ienākumu no citām tiesībām, kurš saskaņā ar tās valsts likumdošanas aktiem, kuras rezidents ir sabiedrība, kas veic šo peļņas sadali, ir pakļauts tādai pašai aplikšanai ar nodokļiem kā ienākums no akcijām.</w:t>
      </w:r>
    </w:p>
    <w:p w14:paraId="4F29C70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Šī panta 1. un 2.punkta noteikumi netiks piemēroti, ja dividenžu īstenais īpašnieks, būdams Līgumslēdzējas Valsts rezidents, veic uzņēmējdarbību otrā Līgumslēdzējā Valstī, izmantojot tur esošo pastāvīgo pārstāvniecību, vai arī sniedz otrā valstī neatkarīgus individuālos pakalpojumus, izmantojot tur izvietoto pastāvīgo bāzi, ja sabiedrība, kura izmaksā dividendes, ir šīs otras valsts rezidents un ja līdzdalība, par kuru tiek izmaksātas dividendes, ir faktiski saistīta ar pastāvīgo pārstāvniecību vai pastāvīgo bāzi. Šajā gadījumā atkarībā no apstākļiem ir piemērojami </w:t>
      </w:r>
      <w:hyperlink r:id="rId18" w:anchor="p7" w:history="1">
        <w:r w:rsidRPr="00D11AD1">
          <w:rPr>
            <w:rFonts w:ascii="Arial" w:eastAsia="Times New Roman" w:hAnsi="Arial" w:cs="Arial"/>
            <w:color w:val="16497B"/>
            <w:sz w:val="20"/>
            <w:szCs w:val="20"/>
            <w:u w:val="single"/>
            <w:lang w:eastAsia="en-GB"/>
          </w:rPr>
          <w:t>7.panta</w:t>
        </w:r>
      </w:hyperlink>
      <w:r w:rsidRPr="00D11AD1">
        <w:rPr>
          <w:rFonts w:ascii="Arial" w:eastAsia="Times New Roman" w:hAnsi="Arial" w:cs="Arial"/>
          <w:color w:val="414142"/>
          <w:sz w:val="20"/>
          <w:szCs w:val="20"/>
          <w:lang w:eastAsia="en-GB"/>
        </w:rPr>
        <w:t> (Uzņēmējdarbības peļņa) vai </w:t>
      </w:r>
      <w:hyperlink r:id="rId19" w:anchor="p14" w:history="1">
        <w:r w:rsidRPr="00D11AD1">
          <w:rPr>
            <w:rFonts w:ascii="Arial" w:eastAsia="Times New Roman" w:hAnsi="Arial" w:cs="Arial"/>
            <w:color w:val="16497B"/>
            <w:sz w:val="20"/>
            <w:szCs w:val="20"/>
            <w:u w:val="single"/>
            <w:lang w:eastAsia="en-GB"/>
          </w:rPr>
          <w:t>14.panta</w:t>
        </w:r>
      </w:hyperlink>
      <w:r w:rsidRPr="00D11AD1">
        <w:rPr>
          <w:rFonts w:ascii="Arial" w:eastAsia="Times New Roman" w:hAnsi="Arial" w:cs="Arial"/>
          <w:color w:val="414142"/>
          <w:sz w:val="20"/>
          <w:szCs w:val="20"/>
          <w:lang w:eastAsia="en-GB"/>
        </w:rPr>
        <w:t> (neatkarīgie individuālie pakalpojumi) noteikumi.</w:t>
      </w:r>
    </w:p>
    <w:p w14:paraId="10C6226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xml:space="preserve">5. Ja sabiedrība — Līgumslēdzējas Valsts rezidents gūst peļņu vai ienākumus no otras Līgumslēdzējas Valsts, šī otra valsts nedrīkst nedz aplikt ar jebkādu nodokli šīs sabiedrības izmaksātās </w:t>
      </w:r>
      <w:r w:rsidRPr="00D11AD1">
        <w:rPr>
          <w:rFonts w:ascii="Arial" w:eastAsia="Times New Roman" w:hAnsi="Arial" w:cs="Arial"/>
          <w:color w:val="414142"/>
          <w:sz w:val="20"/>
          <w:szCs w:val="20"/>
          <w:lang w:eastAsia="en-GB"/>
        </w:rPr>
        <w:lastRenderedPageBreak/>
        <w:t>dividendes, izņemot gadījumus, kad dividendes tiek izmaksātas šīs otras valsts rezidentam vai kad līdzdalība, par kuru tiek izmaksātas dividendes, ir faktiski saistīta ar pastāvīgo pārstāvniecību vai pastāvīgo bāzi, kas atrodas otrā valstī, nedz arī aplikt ar nesadalītās peļņas nodokli sabiedrības nesadalīto peļņu pat tādā gadījumā, ja izmaksātās dividendes vai nesadalītā peļņa pilnīgi vai daļēji sastāv no otrā valstī gūtās peļņas vai ienākuma.</w:t>
      </w:r>
    </w:p>
    <w:p w14:paraId="1C238E3C"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20" w:anchor="p11" w:history="1">
        <w:r w:rsidRPr="00D11AD1">
          <w:rPr>
            <w:rFonts w:ascii="Arial" w:eastAsia="Times New Roman" w:hAnsi="Arial" w:cs="Arial"/>
            <w:b/>
            <w:bCs/>
            <w:color w:val="16497B"/>
            <w:sz w:val="20"/>
            <w:szCs w:val="20"/>
            <w:u w:val="single"/>
            <w:lang w:eastAsia="en-GB"/>
          </w:rPr>
          <w:t>11.pants</w:t>
        </w:r>
      </w:hyperlink>
    </w:p>
    <w:p w14:paraId="1B145716"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Procenti</w:t>
      </w:r>
    </w:p>
    <w:p w14:paraId="765D9ED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Procentus, kas rodas Līgumslēdzējā Valstī un tiek izmaksāti otras Līgumslēdzējas Valsts rezidentam, var aplikt ar nodokļiem šajā otrā valstī.</w:t>
      </w:r>
    </w:p>
    <w:p w14:paraId="00A277C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Tomēr šos procentus var arī aplikt ar nodokļiem atbilstoši attiecīgās valsts likumdošanas aktiem tajā Līgumslēdzējā Valstī, kurā tie rodas. Ja procentu īstenais īpašnieks ir otras Līgumslēdzējas Valsts rezidents, nodoklis nedrīkst pārsniegt 10% no šo procentu kopapjoma.</w:t>
      </w:r>
    </w:p>
    <w:p w14:paraId="73D96AC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Neatkarīgi no </w:t>
      </w:r>
      <w:hyperlink r:id="rId21" w:anchor="p2" w:history="1">
        <w:r w:rsidRPr="00D11AD1">
          <w:rPr>
            <w:rFonts w:ascii="Arial" w:eastAsia="Times New Roman" w:hAnsi="Arial" w:cs="Arial"/>
            <w:color w:val="16497B"/>
            <w:sz w:val="20"/>
            <w:szCs w:val="20"/>
            <w:u w:val="single"/>
            <w:lang w:eastAsia="en-GB"/>
          </w:rPr>
          <w:t>2.punkta</w:t>
        </w:r>
      </w:hyperlink>
      <w:r w:rsidRPr="00D11AD1">
        <w:rPr>
          <w:rFonts w:ascii="Arial" w:eastAsia="Times New Roman" w:hAnsi="Arial" w:cs="Arial"/>
          <w:color w:val="414142"/>
          <w:sz w:val="20"/>
          <w:szCs w:val="20"/>
          <w:lang w:eastAsia="en-GB"/>
        </w:rPr>
        <w:t> noteikumiem procenti, kas rodas vienā Līgumslēdzējā Valstī, kuru saņēmējs un īstenais īpašnieks ir otras Līgumslēdzējas Valsts valdība, ieskaitot tās pašvaldības, centrālo banku vai jebkuru citu šai valdībai pilnīgi piederošu finansu institūciju, kā arī procenti, kas saņemti par otrās valsts valdības garantētajiem aizdevumiem, netiks aplikti ar nodokļiem pirmajā minētajā valstī.</w:t>
      </w:r>
    </w:p>
    <w:p w14:paraId="76E12BB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Šajā pantā lietotais jēdziens "procenti" nozīmē ienākumu no jebkura veida parāda prasībām neatkarīgi no to nodrošinājuma ar hipotēku un neatkarīgi no tā, vai tām ir vai nav tiesības piedalīties parādnieka peļņas sadalē, jo sevišķi ienākumu no valdības vērtspapīriem, ienākumu no obligācijām un parādzīmēm, ieskaitot prēmijas un balvas par šiem vērtspapīriem, obligācijām vai parādzīmēm. Soda naudas, kas saņemtas par laikā neveiktajiem maksājumiem, netiks uzskatītas par procentiem, uz kuriem attiecas šis pants.</w:t>
      </w:r>
    </w:p>
    <w:p w14:paraId="3756899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Šī panta 1., 2. un 3.punkta noteikumi netiks piemēroti, ja procentu īstenais īpašnieks, būdams Līgumslēdzējas Valsts rezidents, veic uzņēmējdarbību otrā Līgumslēdzējā Valstī, kurā rodas šie procenti, izmantojot tur esošo pastāvīgo pārstāvniecību, vai arī sniedz šajā otrā valstī neatkarīgus individuālos pakalpojumus, izmantojot tur izvietoto pastāvīgo bāzi, un parāda prasības, uz kuru pamata tiek maksāti procenti, ir faktiski saistītas ar šo pastāvīgo pārstāvniecību vai pastāvīgo bāzi. Šajā gadījumā atkarībā no apstākļiem ir piemērojami </w:t>
      </w:r>
      <w:hyperlink r:id="rId22" w:anchor="p7" w:history="1">
        <w:r w:rsidRPr="00D11AD1">
          <w:rPr>
            <w:rFonts w:ascii="Arial" w:eastAsia="Times New Roman" w:hAnsi="Arial" w:cs="Arial"/>
            <w:color w:val="16497B"/>
            <w:sz w:val="20"/>
            <w:szCs w:val="20"/>
            <w:u w:val="single"/>
            <w:lang w:eastAsia="en-GB"/>
          </w:rPr>
          <w:t>7.panta</w:t>
        </w:r>
      </w:hyperlink>
      <w:r w:rsidRPr="00D11AD1">
        <w:rPr>
          <w:rFonts w:ascii="Arial" w:eastAsia="Times New Roman" w:hAnsi="Arial" w:cs="Arial"/>
          <w:color w:val="414142"/>
          <w:sz w:val="20"/>
          <w:szCs w:val="20"/>
          <w:lang w:eastAsia="en-GB"/>
        </w:rPr>
        <w:t> (Uzņēmējdarbības peļņa) vai </w:t>
      </w:r>
      <w:hyperlink r:id="rId23" w:anchor="p14" w:history="1">
        <w:r w:rsidRPr="00D11AD1">
          <w:rPr>
            <w:rFonts w:ascii="Arial" w:eastAsia="Times New Roman" w:hAnsi="Arial" w:cs="Arial"/>
            <w:color w:val="16497B"/>
            <w:sz w:val="20"/>
            <w:szCs w:val="20"/>
            <w:u w:val="single"/>
            <w:lang w:eastAsia="en-GB"/>
          </w:rPr>
          <w:t>14.panta</w:t>
        </w:r>
      </w:hyperlink>
      <w:r w:rsidRPr="00D11AD1">
        <w:rPr>
          <w:rFonts w:ascii="Arial" w:eastAsia="Times New Roman" w:hAnsi="Arial" w:cs="Arial"/>
          <w:color w:val="414142"/>
          <w:sz w:val="20"/>
          <w:szCs w:val="20"/>
          <w:lang w:eastAsia="en-GB"/>
        </w:rPr>
        <w:t> (Neatkarīgie individuālie pakalpojumi) noteikumi.</w:t>
      </w:r>
    </w:p>
    <w:p w14:paraId="0DE9EAD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6. Tiks uzskatīts, ka procenti rodas Līgumslēdzējā Valstī, ja procentu maksātājs ir šīs valsts rezidents. Tomēr, ja persona, kas izmaksā procentus, neatkarīgi no tā, vai šī persona ir Līgumslēdzējas Valsts rezidents vai nav, izmanto Līgumslēdzējā Valstī esošo pastāvīgo pārstāvniecību vai tur izvietoto pastāvīgo bāzi, sakarā ar kuru radušās parāda saistības, par kurām tiek maksāti procenti, un šos procentus izmaksā (sedz) pastāvīgā pārstāvniecība vai pastāvīgā bāze, tiks uzskatīts, ka šie procenti rodas tajā valstī, kurā atrodas pastāvīgā pārstāvniecība vai pastāvīgā bāze.</w:t>
      </w:r>
    </w:p>
    <w:p w14:paraId="61E2B9F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xml:space="preserve">7. Ja sakarā ar īpašām attiecībām starp procentu maksātāju un procentu īsteno īpašnieku vai starp viņiem abiem un kādu trešo personu procentu summa, kas attiecas uz parāda prasībām, uz kuru pamata tā tiek izmaksāta, pārsniedz summu, par kādu būtu varējuši vienoties procentu maksātājs un </w:t>
      </w:r>
      <w:r w:rsidRPr="00D11AD1">
        <w:rPr>
          <w:rFonts w:ascii="Arial" w:eastAsia="Times New Roman" w:hAnsi="Arial" w:cs="Arial"/>
          <w:color w:val="414142"/>
          <w:sz w:val="20"/>
          <w:szCs w:val="20"/>
          <w:lang w:eastAsia="en-GB"/>
        </w:rPr>
        <w:lastRenderedPageBreak/>
        <w:t>procentu īstenais īpašnieks, ja starp viņiem nebūtu minēto īpašo attiecību, tad šī panta noteikumi tiks piemēroti tikai attiecībā uz pēdējo minēto summu. Šajā gadījumā atlikusī maksājumu daļa tiek aplikta ar nodokļiem atbilstoši katras Līgumslēdzējas Valsts likumdošanas aktiem ar nosacījumu, ka tiek ievēroti pārējie šīs Konvencijas noteikumi.</w:t>
      </w:r>
    </w:p>
    <w:p w14:paraId="5204B7E8"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12.pants</w:t>
      </w:r>
    </w:p>
    <w:p w14:paraId="1A101933"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Autoratlīdzība</w:t>
      </w:r>
    </w:p>
    <w:p w14:paraId="76A36BC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Autoratlīdzību, kas rodas Līgumslēdzējā Valstī un tiek izmaksāta otras Līgumslēdzējas Valsts rezidentam, var aplikt ar nodokļiem šajā otrā valstī.</w:t>
      </w:r>
    </w:p>
    <w:p w14:paraId="766B931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Tomēr šo autoratlīdzību var aplikt ar nodokļiem atbilstoši attiecīgās valsts likumdošanas aktiem tajā Līgumslēdzējā Valstī, kurā tā rodas. Ja autoratlīdzības īstenais īpašnieks ir otras Līgumslēdzējas Valsts rezidents, nodoklis nedrīkst pārsniegt 10% no autoratlīdzības kopapjoma.</w:t>
      </w:r>
    </w:p>
    <w:p w14:paraId="17F7419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Jēdziens "autoratlīdzība" šajā pantā nozīmē jebkāda veida maksājumus, ko saņem kā atlīdzību par jebkuru autortiesību izmantošanu vai par tiesībām izmantot jebkuras autortiesības uz literāru, mākslas vai zinātnisku darbu, ieskaitot kinofilmas un filmas vai ierakstus radio vai televīzijas pārraidēm, uz jebkuru patentu, firmas zīmi, dizainu vai modeli, plānu, slepenu formulu vai procesu, vai par rūpnieciskas, komerciālas, vai zinātniskas iekārtas izmantošanu, vai par tiesībām to izmantot, vai par informāciju attiecībā uz rūpniecisku, komerciālu vai zinātnisku darbību un pieredzi.</w:t>
      </w:r>
    </w:p>
    <w:p w14:paraId="039AE13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Šī panta 1. un 2.punkta nosacījumi netiks piemēroti, ja šo autoratlīdzību īstenais īpašnieks, būdams Līgumslēdzējas Valsts rezidents, veic uzņēmējdarbību otrā Līgumslēdzējā Valstī, kurā rodas autoratlīdzība, izmantojot tur esošo pastāvīgo pārstāvniecību, vai šajā otrā valstī sniedz neatkarīgus individuālos pakalpojumus, izmantojot tur izvietoto pastāvīgo bāzi, un, ja tiesības vai īpašums, uz kuriem attiecas autoratlīdzības maksājumi, ir faktiski saistīti ar šo pastāvīgo pārstāvniecību vai pastāvīgo bāzi. Šajā gadījumā atkarībā no apstākļiem ir piemērojami </w:t>
      </w:r>
      <w:hyperlink r:id="rId24" w:anchor="p7" w:history="1">
        <w:r w:rsidRPr="00D11AD1">
          <w:rPr>
            <w:rFonts w:ascii="Arial" w:eastAsia="Times New Roman" w:hAnsi="Arial" w:cs="Arial"/>
            <w:color w:val="16497B"/>
            <w:sz w:val="20"/>
            <w:szCs w:val="20"/>
            <w:u w:val="single"/>
            <w:lang w:eastAsia="en-GB"/>
          </w:rPr>
          <w:t>7.panta</w:t>
        </w:r>
      </w:hyperlink>
      <w:r w:rsidRPr="00D11AD1">
        <w:rPr>
          <w:rFonts w:ascii="Arial" w:eastAsia="Times New Roman" w:hAnsi="Arial" w:cs="Arial"/>
          <w:color w:val="414142"/>
          <w:sz w:val="20"/>
          <w:szCs w:val="20"/>
          <w:lang w:eastAsia="en-GB"/>
        </w:rPr>
        <w:t> (Uzņēmējdarbības peļņa) vai </w:t>
      </w:r>
      <w:hyperlink r:id="rId25" w:anchor="p14" w:history="1">
        <w:r w:rsidRPr="00D11AD1">
          <w:rPr>
            <w:rFonts w:ascii="Arial" w:eastAsia="Times New Roman" w:hAnsi="Arial" w:cs="Arial"/>
            <w:color w:val="16497B"/>
            <w:sz w:val="20"/>
            <w:szCs w:val="20"/>
            <w:u w:val="single"/>
            <w:lang w:eastAsia="en-GB"/>
          </w:rPr>
          <w:t>14.panta</w:t>
        </w:r>
      </w:hyperlink>
      <w:r w:rsidRPr="00D11AD1">
        <w:rPr>
          <w:rFonts w:ascii="Arial" w:eastAsia="Times New Roman" w:hAnsi="Arial" w:cs="Arial"/>
          <w:color w:val="414142"/>
          <w:sz w:val="20"/>
          <w:szCs w:val="20"/>
          <w:lang w:eastAsia="en-GB"/>
        </w:rPr>
        <w:t> (Neatkarīgie individuālie pakalpojumi) noteikumi.</w:t>
      </w:r>
    </w:p>
    <w:p w14:paraId="67BDF14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Ja autoratlīdzības maksātājs ir Līgumslēdzējas Valsts rezidents, tiks uzskatīts, ka autoratlīdzība rodas šajā valstī. Tomēr, ja persona, kas izmaksā autoratlīdzību, neatkarīgi no tā, vai šī persona ir Līgumslēdzējas Valsts rezidents vai nav, izmanto Līgumslēdzējā Valstī esošo pastāvīgo pārstāvniecību vai tur izvietoto pastāvīgo bāzi, sakarā ar kuru radušās saistības izmaksāt autoratlīdzību, un šo autoratlīdzību izmaksā (sedz) pastāvīgā pārstāvniecība vai pastāvīgā bāze, tiks uzskatīts, ka autoratlīdzība rodas tajā valstī, kurā atrodas pastāvīgā pārstāvniecība vai pastāvīgā bāze.</w:t>
      </w:r>
    </w:p>
    <w:p w14:paraId="7CDD76B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6. Ja sakarā ar īpašām attiecībām starp autoratlīdzības maksātāju un autoratlīdzības īsteno īpašnieku vai starp viņiem abiem un kādu trešo personu autoratlīdzības summa, kas attiecas uz tiesībām, izmantošanu vai informāciju, pārsniedz autoratlīdzības summu, par kādu būtu varējuši vienoties maksātājs un īstenais īpašnieks, ja starp viņiem nebūtu minēto īpašo attiecību, tad šī panta noteikumi tiks piemēroti tikai attiecībā uz pēdējo minēto summu. Šajā gadījumā maksājumu daļa, kas pārsniedz šo summu, tiek aplikta ar nodokļiem atbilstoši katras Līgumslēdzējas Valsts likumdošanas aktiem ar nosacījumu, ka tiek ievēroti pārējie šīs Konvencijas noteikumi.</w:t>
      </w:r>
    </w:p>
    <w:p w14:paraId="572079D0"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13.pants</w:t>
      </w:r>
    </w:p>
    <w:p w14:paraId="13EDFBE7"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lastRenderedPageBreak/>
        <w:t>Kapitāla pieaugums</w:t>
      </w:r>
    </w:p>
    <w:p w14:paraId="2BE5908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Ienākumu, ko gūst Līgumslēdzējas Valsts rezidents, atsavinot 6.pantā (Ienākums no nekustamā īpašuma) minēto otrā Līgumslēdzējā Valstī esošo nekustamo īpašumu, var aplikt ar nodokļiem šajā otrā valstī.</w:t>
      </w:r>
    </w:p>
    <w:p w14:paraId="20E5788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Ienākumu, ko gūst Līgumslēdzējas Valsts rezidents, atsavinot tādas sabiedrības akcijas, kuras aktīvi galvenokārt sastāv no </w:t>
      </w:r>
      <w:hyperlink r:id="rId26" w:anchor="p6" w:history="1">
        <w:r w:rsidRPr="00D11AD1">
          <w:rPr>
            <w:rFonts w:ascii="Arial" w:eastAsia="Times New Roman" w:hAnsi="Arial" w:cs="Arial"/>
            <w:color w:val="16497B"/>
            <w:sz w:val="20"/>
            <w:szCs w:val="20"/>
            <w:u w:val="single"/>
            <w:lang w:eastAsia="en-GB"/>
          </w:rPr>
          <w:t>6.pantā</w:t>
        </w:r>
      </w:hyperlink>
      <w:r w:rsidRPr="00D11AD1">
        <w:rPr>
          <w:rFonts w:ascii="Arial" w:eastAsia="Times New Roman" w:hAnsi="Arial" w:cs="Arial"/>
          <w:color w:val="414142"/>
          <w:sz w:val="20"/>
          <w:szCs w:val="20"/>
          <w:lang w:eastAsia="en-GB"/>
        </w:rPr>
        <w:t> (Ienākums no nekustamā īpašuma) minētā otrā Līgumslēdzējā Valstī esošā nekustamā īpašuma, var aplikt ar nodokļiem šajā otrā valstī.</w:t>
      </w:r>
    </w:p>
    <w:p w14:paraId="1E4EDBA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Pieaugumu (kapitāla), kas gūts par kustamā īpašuma, kas ir Līgumslēdzējas Valsts uzņēmuma pastāvīgās pārstāvniecības otrā Līgumslēdzējā Valstī uzņēmējdarbībā izmantojamā īpašuma daļa, atsavināšanu vai par kustamā īpašuma, kas ir piederīgs Līgumslēdzējas Valsts rezidenta pastāvīgajai bāzei otrā Līgumslēdzējā Valstī, kura izveidota neatkarīgo individuālo pakalpojumu sniegšanai, atsavināšanu, ieskaitot pieaugumu (kapitāla) no šādas pastāvīgās pārstāvniecības (atsevišķi vai kopā ar visu uzņēmumu) atsavināšanas vai šādas pastāvīgās bāzes atsavināšanas, var aplikt ar nodokļiem otrā Līgumslēdzējā Valstī.</w:t>
      </w:r>
    </w:p>
    <w:p w14:paraId="524E012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Kapitāla pieaugumu, ko gūst Līgumslēdzējas Valsts uzņēmums, atsavinot šī uzņēmuma starptautiskajā satiksmē izmantotos gaisa transporta līdzekļus vai atsavinot kustamo īpašumu, kas saistīts ar šo gaisa transporta līdzekļu izmantošanu, apliek ar nodokļiem tikai šajā valstī.</w:t>
      </w:r>
    </w:p>
    <w:p w14:paraId="158FA47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Kapitāla pieaugumu, kas gūts par jebkura tāda īpašuma atsavināšanu, kas atšķiras no </w:t>
      </w:r>
      <w:hyperlink r:id="rId27" w:anchor="p1" w:history="1">
        <w:r w:rsidRPr="00D11AD1">
          <w:rPr>
            <w:rFonts w:ascii="Arial" w:eastAsia="Times New Roman" w:hAnsi="Arial" w:cs="Arial"/>
            <w:color w:val="16497B"/>
            <w:sz w:val="20"/>
            <w:szCs w:val="20"/>
            <w:u w:val="single"/>
            <w:lang w:eastAsia="en-GB"/>
          </w:rPr>
          <w:t>1.</w:t>
        </w:r>
      </w:hyperlink>
      <w:r w:rsidRPr="00D11AD1">
        <w:rPr>
          <w:rFonts w:ascii="Arial" w:eastAsia="Times New Roman" w:hAnsi="Arial" w:cs="Arial"/>
          <w:color w:val="414142"/>
          <w:sz w:val="20"/>
          <w:szCs w:val="20"/>
          <w:lang w:eastAsia="en-GB"/>
        </w:rPr>
        <w:t>, </w:t>
      </w:r>
      <w:hyperlink r:id="rId28" w:anchor="p2" w:history="1">
        <w:r w:rsidRPr="00D11AD1">
          <w:rPr>
            <w:rFonts w:ascii="Arial" w:eastAsia="Times New Roman" w:hAnsi="Arial" w:cs="Arial"/>
            <w:color w:val="16497B"/>
            <w:sz w:val="20"/>
            <w:szCs w:val="20"/>
            <w:u w:val="single"/>
            <w:lang w:eastAsia="en-GB"/>
          </w:rPr>
          <w:t>2.</w:t>
        </w:r>
      </w:hyperlink>
      <w:r w:rsidRPr="00D11AD1">
        <w:rPr>
          <w:rFonts w:ascii="Arial" w:eastAsia="Times New Roman" w:hAnsi="Arial" w:cs="Arial"/>
          <w:color w:val="414142"/>
          <w:sz w:val="20"/>
          <w:szCs w:val="20"/>
          <w:lang w:eastAsia="en-GB"/>
        </w:rPr>
        <w:t>, </w:t>
      </w:r>
      <w:hyperlink r:id="rId29" w:anchor="p3" w:history="1">
        <w:r w:rsidRPr="00D11AD1">
          <w:rPr>
            <w:rFonts w:ascii="Arial" w:eastAsia="Times New Roman" w:hAnsi="Arial" w:cs="Arial"/>
            <w:color w:val="16497B"/>
            <w:sz w:val="20"/>
            <w:szCs w:val="20"/>
            <w:u w:val="single"/>
            <w:lang w:eastAsia="en-GB"/>
          </w:rPr>
          <w:t>3. </w:t>
        </w:r>
      </w:hyperlink>
      <w:r w:rsidRPr="00D11AD1">
        <w:rPr>
          <w:rFonts w:ascii="Arial" w:eastAsia="Times New Roman" w:hAnsi="Arial" w:cs="Arial"/>
          <w:color w:val="414142"/>
          <w:sz w:val="20"/>
          <w:szCs w:val="20"/>
          <w:lang w:eastAsia="en-GB"/>
        </w:rPr>
        <w:t>un </w:t>
      </w:r>
      <w:hyperlink r:id="rId30" w:anchor="p4" w:history="1">
        <w:r w:rsidRPr="00D11AD1">
          <w:rPr>
            <w:rFonts w:ascii="Arial" w:eastAsia="Times New Roman" w:hAnsi="Arial" w:cs="Arial"/>
            <w:color w:val="16497B"/>
            <w:sz w:val="20"/>
            <w:szCs w:val="20"/>
            <w:u w:val="single"/>
            <w:lang w:eastAsia="en-GB"/>
          </w:rPr>
          <w:t>4.punktā</w:t>
        </w:r>
      </w:hyperlink>
      <w:r w:rsidRPr="00D11AD1">
        <w:rPr>
          <w:rFonts w:ascii="Arial" w:eastAsia="Times New Roman" w:hAnsi="Arial" w:cs="Arial"/>
          <w:color w:val="414142"/>
          <w:sz w:val="20"/>
          <w:szCs w:val="20"/>
          <w:lang w:eastAsia="en-GB"/>
        </w:rPr>
        <w:t> minētā īpašuma, apliek ar nodokļiem tikai tajā Līgumslēdzējā Valstī, kuras rezidents ir šī īpašuma atsavinātājs.</w:t>
      </w:r>
    </w:p>
    <w:p w14:paraId="42A62F65"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31" w:anchor="p14" w:history="1">
        <w:r w:rsidRPr="00D11AD1">
          <w:rPr>
            <w:rFonts w:ascii="Arial" w:eastAsia="Times New Roman" w:hAnsi="Arial" w:cs="Arial"/>
            <w:b/>
            <w:bCs/>
            <w:color w:val="16497B"/>
            <w:sz w:val="20"/>
            <w:szCs w:val="20"/>
            <w:u w:val="single"/>
            <w:lang w:eastAsia="en-GB"/>
          </w:rPr>
          <w:t>14.pants</w:t>
        </w:r>
      </w:hyperlink>
    </w:p>
    <w:p w14:paraId="7C750350"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Neatkarīgie individuālie pakalpojumi</w:t>
      </w:r>
    </w:p>
    <w:p w14:paraId="300D1B2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Līgumslēdzējas Valsts rezidenta — fiziskās personas ienākumi, kas gūti, sniedzot profesionālus pakalpojumus vai veicot cita veida neatkarīgu darbību, tiks aplikti ar nodokļiem tikai šajā valstī, izņemot gadījumus, kad šī persona savas darbības vajadzībām izmanto pastāvīgo bāzi (regulāri pieejamu pastāvīgu darbības vietu) otrā Līgumslēdzējā Valstī. Ja tiek izmantota šāda pastāvīgā bāze, ienākumus var aplikt ar nodokļiem arī otrā Līgumslēdzējā Valstī, bet tikai tik lielā mērā, kādā tie ir attiecināmi uz šo pastāvīgo bāzi. Gadījumā, kad Līgumslēdzējas Valsts rezidents — fiziskā persona uzturas otrā Līgumslēdzējā Valstī laika posmu vai laika posmus, kuri kopumā pārsniedz 183 dienas jebkurā 12 mēnešu periodā, kas sākas vai beidzas attiecīgajā finansu gadā, tiks uzskatīts, ka šī persona izmanto regulāri pieejamu pastāvīgo bāzi otrā Līgumslēdzējā Valstī, un ienākums, kas gūts par otrā valstī veiktajām iepriekš minētajām darbībām, tiks attiecināts uz šo pastāvīgo bāzi.</w:t>
      </w:r>
    </w:p>
    <w:p w14:paraId="01D7BA8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Jēdziens "profesionālie pakalpojumi" ietver neatkarīgu zinātnisko, literāro, māksliniecisko, izglītojošo vai pedagoģisko darbību, kā arī ārsta, jurista, inženiera, arhitekta, zobārsta un grāmatveža neatkarīgu darbību.</w:t>
      </w:r>
    </w:p>
    <w:p w14:paraId="4C1C9813"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32" w:anchor="p15" w:history="1">
        <w:r w:rsidRPr="00D11AD1">
          <w:rPr>
            <w:rFonts w:ascii="Arial" w:eastAsia="Times New Roman" w:hAnsi="Arial" w:cs="Arial"/>
            <w:b/>
            <w:bCs/>
            <w:color w:val="16497B"/>
            <w:sz w:val="20"/>
            <w:szCs w:val="20"/>
            <w:u w:val="single"/>
            <w:lang w:eastAsia="en-GB"/>
          </w:rPr>
          <w:t>15.pants</w:t>
        </w:r>
      </w:hyperlink>
    </w:p>
    <w:p w14:paraId="0002FD7B"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Atkarīgie individuālie pakalpojumi</w:t>
      </w:r>
    </w:p>
    <w:p w14:paraId="0DC3035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1. Saskaņā ar </w:t>
      </w:r>
      <w:hyperlink r:id="rId33" w:anchor="p16" w:history="1">
        <w:r w:rsidRPr="00D11AD1">
          <w:rPr>
            <w:rFonts w:ascii="Arial" w:eastAsia="Times New Roman" w:hAnsi="Arial" w:cs="Arial"/>
            <w:color w:val="16497B"/>
            <w:sz w:val="20"/>
            <w:szCs w:val="20"/>
            <w:u w:val="single"/>
            <w:lang w:eastAsia="en-GB"/>
          </w:rPr>
          <w:t>16.panta</w:t>
        </w:r>
      </w:hyperlink>
      <w:r w:rsidRPr="00D11AD1">
        <w:rPr>
          <w:rFonts w:ascii="Arial" w:eastAsia="Times New Roman" w:hAnsi="Arial" w:cs="Arial"/>
          <w:color w:val="414142"/>
          <w:sz w:val="20"/>
          <w:szCs w:val="20"/>
          <w:lang w:eastAsia="en-GB"/>
        </w:rPr>
        <w:t> (Direktoru atalgojums), </w:t>
      </w:r>
      <w:hyperlink r:id="rId34" w:anchor="p18" w:history="1">
        <w:r w:rsidRPr="00D11AD1">
          <w:rPr>
            <w:rFonts w:ascii="Arial" w:eastAsia="Times New Roman" w:hAnsi="Arial" w:cs="Arial"/>
            <w:color w:val="16497B"/>
            <w:sz w:val="20"/>
            <w:szCs w:val="20"/>
            <w:u w:val="single"/>
            <w:lang w:eastAsia="en-GB"/>
          </w:rPr>
          <w:t>18.panta</w:t>
        </w:r>
      </w:hyperlink>
      <w:r w:rsidRPr="00D11AD1">
        <w:rPr>
          <w:rFonts w:ascii="Arial" w:eastAsia="Times New Roman" w:hAnsi="Arial" w:cs="Arial"/>
          <w:color w:val="414142"/>
          <w:sz w:val="20"/>
          <w:szCs w:val="20"/>
          <w:lang w:eastAsia="en-GB"/>
        </w:rPr>
        <w:t> (Pensijas) un </w:t>
      </w:r>
      <w:hyperlink r:id="rId35" w:anchor="p19" w:history="1">
        <w:r w:rsidRPr="00D11AD1">
          <w:rPr>
            <w:rFonts w:ascii="Arial" w:eastAsia="Times New Roman" w:hAnsi="Arial" w:cs="Arial"/>
            <w:color w:val="16497B"/>
            <w:sz w:val="20"/>
            <w:szCs w:val="20"/>
            <w:u w:val="single"/>
            <w:lang w:eastAsia="en-GB"/>
          </w:rPr>
          <w:t>19.panta</w:t>
        </w:r>
      </w:hyperlink>
      <w:r w:rsidRPr="00D11AD1">
        <w:rPr>
          <w:rFonts w:ascii="Arial" w:eastAsia="Times New Roman" w:hAnsi="Arial" w:cs="Arial"/>
          <w:color w:val="414142"/>
          <w:sz w:val="20"/>
          <w:szCs w:val="20"/>
          <w:lang w:eastAsia="en-GB"/>
        </w:rPr>
        <w:t> (Valsts dienests) noteikumiem darba alga, izpeļņa un cita veida līdzīga atlīdzība, ko saņem Līgumslēdzējas Valsts rezidents par algoto darbu, tiks aplikta ar nodokļiem tikai šajā valstī, ja vien algots darbs netiek veikts otrā Līgumslēdzējā Valstī. Ja algots darbs tiek veikts otrā Līgumslēdzējā Valstī, par to saņemto atlīdzību var aplikt ar nodokļiem šajā otrā valstī.</w:t>
      </w:r>
    </w:p>
    <w:p w14:paraId="0D65030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Neatkarīgi no </w:t>
      </w:r>
      <w:hyperlink r:id="rId36" w:anchor="p1" w:history="1">
        <w:r w:rsidRPr="00D11AD1">
          <w:rPr>
            <w:rFonts w:ascii="Arial" w:eastAsia="Times New Roman" w:hAnsi="Arial" w:cs="Arial"/>
            <w:color w:val="16497B"/>
            <w:sz w:val="20"/>
            <w:szCs w:val="20"/>
            <w:u w:val="single"/>
            <w:lang w:eastAsia="en-GB"/>
          </w:rPr>
          <w:t>1.punkta</w:t>
        </w:r>
      </w:hyperlink>
      <w:r w:rsidRPr="00D11AD1">
        <w:rPr>
          <w:rFonts w:ascii="Arial" w:eastAsia="Times New Roman" w:hAnsi="Arial" w:cs="Arial"/>
          <w:color w:val="414142"/>
          <w:sz w:val="20"/>
          <w:szCs w:val="20"/>
          <w:lang w:eastAsia="en-GB"/>
        </w:rPr>
        <w:t> noteikumiem atlīdzība, kuru Līgumslēdzējas Valsts rezidents saņem par algotu darbu, kas tiek veikts otrā Līgumslēdzējā Valstī, tiks aplikta ar nodokli tikai pirmajā minētajā valstī, ja:</w:t>
      </w:r>
    </w:p>
    <w:p w14:paraId="77319E4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atlīdzības saņēmējs ir atradies otrā valstī laika posmu vai laika posmus, kuri kopumā nepārsniedz 183 dienas jebkurā 12 mēnešu periodā, kas sākas vai beidzas attiecīgajā nodokļu gadā; un</w:t>
      </w:r>
    </w:p>
    <w:p w14:paraId="45913E7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atlīdzību maksā darba devējs, kas nav otras valsts rezidents, vai cita persona tāda darba devēja vārdā; un</w:t>
      </w:r>
    </w:p>
    <w:p w14:paraId="7015BCB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c) atlīdzību neizmaksā pastāvīgā pārstāvniecība vai pastāvīgā bāze, ko darba devējs izmanto otrā valstī.</w:t>
      </w:r>
    </w:p>
    <w:p w14:paraId="0CF654E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Neatkarīgi no šī panta iepriekšminētajiem noteikumiem atlīdzību par darbu, kas tiek veikts, strādājot uz Līgumslēdzējas Valsts uzņēmuma starptautiskajā satiksmē izmantotajiem gaisa transporta līdzekļiem, var aplikt ar nodokļiem šajā valstī.</w:t>
      </w:r>
    </w:p>
    <w:p w14:paraId="6124359A"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37" w:anchor="p16" w:history="1">
        <w:r w:rsidRPr="00D11AD1">
          <w:rPr>
            <w:rFonts w:ascii="Arial" w:eastAsia="Times New Roman" w:hAnsi="Arial" w:cs="Arial"/>
            <w:b/>
            <w:bCs/>
            <w:color w:val="16497B"/>
            <w:sz w:val="20"/>
            <w:szCs w:val="20"/>
            <w:u w:val="single"/>
            <w:lang w:eastAsia="en-GB"/>
          </w:rPr>
          <w:t>16.pants</w:t>
        </w:r>
      </w:hyperlink>
    </w:p>
    <w:p w14:paraId="45292F4F"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Direktoru atalgojums</w:t>
      </w:r>
    </w:p>
    <w:p w14:paraId="5808C5C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Direktoru atalgojumu un citu līdzīgu atlīdzību, ko saņem Līgumslēdzējas Valsts rezidents kā sabiedrības, kas ir otras Līgumslēdzējas Valsts rezidents, direktoru padomes vai citas līdzīgas institūcijas loceklis, var aplikt ar nodokļiem otrā Līgumslēdzējā Valstī.</w:t>
      </w:r>
    </w:p>
    <w:p w14:paraId="639892EC"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38" w:anchor="p17" w:history="1">
        <w:r w:rsidRPr="00D11AD1">
          <w:rPr>
            <w:rFonts w:ascii="Arial" w:eastAsia="Times New Roman" w:hAnsi="Arial" w:cs="Arial"/>
            <w:b/>
            <w:bCs/>
            <w:color w:val="16497B"/>
            <w:sz w:val="20"/>
            <w:szCs w:val="20"/>
            <w:u w:val="single"/>
            <w:lang w:eastAsia="en-GB"/>
          </w:rPr>
          <w:t>17.pants</w:t>
        </w:r>
      </w:hyperlink>
    </w:p>
    <w:p w14:paraId="6F495EF1"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Mākslinieki un sportisti</w:t>
      </w:r>
    </w:p>
    <w:p w14:paraId="6CCC436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Neatkarīgi no </w:t>
      </w:r>
      <w:hyperlink r:id="rId39" w:anchor="p14" w:history="1">
        <w:r w:rsidRPr="00D11AD1">
          <w:rPr>
            <w:rFonts w:ascii="Arial" w:eastAsia="Times New Roman" w:hAnsi="Arial" w:cs="Arial"/>
            <w:color w:val="16497B"/>
            <w:sz w:val="20"/>
            <w:szCs w:val="20"/>
            <w:u w:val="single"/>
            <w:lang w:eastAsia="en-GB"/>
          </w:rPr>
          <w:t>14.panta</w:t>
        </w:r>
      </w:hyperlink>
      <w:r w:rsidRPr="00D11AD1">
        <w:rPr>
          <w:rFonts w:ascii="Arial" w:eastAsia="Times New Roman" w:hAnsi="Arial" w:cs="Arial"/>
          <w:color w:val="414142"/>
          <w:sz w:val="20"/>
          <w:szCs w:val="20"/>
          <w:lang w:eastAsia="en-GB"/>
        </w:rPr>
        <w:t> (Neatkarīgie individuālie pakalpojumi) un </w:t>
      </w:r>
      <w:hyperlink r:id="rId40" w:anchor="p15" w:history="1">
        <w:r w:rsidRPr="00D11AD1">
          <w:rPr>
            <w:rFonts w:ascii="Arial" w:eastAsia="Times New Roman" w:hAnsi="Arial" w:cs="Arial"/>
            <w:color w:val="16497B"/>
            <w:sz w:val="20"/>
            <w:szCs w:val="20"/>
            <w:u w:val="single"/>
            <w:lang w:eastAsia="en-GB"/>
          </w:rPr>
          <w:t>15.panta</w:t>
        </w:r>
      </w:hyperlink>
      <w:r w:rsidRPr="00D11AD1">
        <w:rPr>
          <w:rFonts w:ascii="Arial" w:eastAsia="Times New Roman" w:hAnsi="Arial" w:cs="Arial"/>
          <w:color w:val="414142"/>
          <w:sz w:val="20"/>
          <w:szCs w:val="20"/>
          <w:lang w:eastAsia="en-GB"/>
        </w:rPr>
        <w:t> (Atkarīgie individuālie pakalpojumi) noteikumiem ienākumus, ko gūst Līgumslēdzējas Valsts rezidents kā izpildītājmākslinieks, piemēram, kā teātra, kino, radio vai televīzijas aktieris, kā mūziķis vai arī kā sportists par savu individuālo darbību otrā Līgumslēdzējā Valstī, var aplikt ar nodokļiem šajā otrā valstī.</w:t>
      </w:r>
    </w:p>
    <w:p w14:paraId="7341B59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Ja mākslinieka vai sportista ienākumi par viņa individuālo darbību attiecīgajā jomā tiek maksāti nevis pašam māksliniekam vai sportistam, bet citai personai, šos ienākumus neatkarīgi no </w:t>
      </w:r>
      <w:hyperlink r:id="rId41" w:anchor="p7" w:history="1">
        <w:r w:rsidRPr="00D11AD1">
          <w:rPr>
            <w:rFonts w:ascii="Arial" w:eastAsia="Times New Roman" w:hAnsi="Arial" w:cs="Arial"/>
            <w:color w:val="16497B"/>
            <w:sz w:val="20"/>
            <w:szCs w:val="20"/>
            <w:u w:val="single"/>
            <w:lang w:eastAsia="en-GB"/>
          </w:rPr>
          <w:t>7.panta</w:t>
        </w:r>
      </w:hyperlink>
      <w:r w:rsidRPr="00D11AD1">
        <w:rPr>
          <w:rFonts w:ascii="Arial" w:eastAsia="Times New Roman" w:hAnsi="Arial" w:cs="Arial"/>
          <w:color w:val="414142"/>
          <w:sz w:val="20"/>
          <w:szCs w:val="20"/>
          <w:lang w:eastAsia="en-GB"/>
        </w:rPr>
        <w:t> (Uzņēmējdarbības peļņa), </w:t>
      </w:r>
      <w:hyperlink r:id="rId42" w:anchor="p14" w:history="1">
        <w:r w:rsidRPr="00D11AD1">
          <w:rPr>
            <w:rFonts w:ascii="Arial" w:eastAsia="Times New Roman" w:hAnsi="Arial" w:cs="Arial"/>
            <w:color w:val="16497B"/>
            <w:sz w:val="20"/>
            <w:szCs w:val="20"/>
            <w:u w:val="single"/>
            <w:lang w:eastAsia="en-GB"/>
          </w:rPr>
          <w:t>14.panta</w:t>
        </w:r>
      </w:hyperlink>
      <w:r w:rsidRPr="00D11AD1">
        <w:rPr>
          <w:rFonts w:ascii="Arial" w:eastAsia="Times New Roman" w:hAnsi="Arial" w:cs="Arial"/>
          <w:color w:val="414142"/>
          <w:sz w:val="20"/>
          <w:szCs w:val="20"/>
          <w:lang w:eastAsia="en-GB"/>
        </w:rPr>
        <w:t> (Neatkarīgie individuālie pakalpojumi) un </w:t>
      </w:r>
      <w:hyperlink r:id="rId43" w:anchor="p15" w:history="1">
        <w:r w:rsidRPr="00D11AD1">
          <w:rPr>
            <w:rFonts w:ascii="Arial" w:eastAsia="Times New Roman" w:hAnsi="Arial" w:cs="Arial"/>
            <w:color w:val="16497B"/>
            <w:sz w:val="20"/>
            <w:szCs w:val="20"/>
            <w:u w:val="single"/>
            <w:lang w:eastAsia="en-GB"/>
          </w:rPr>
          <w:t>15.panta</w:t>
        </w:r>
      </w:hyperlink>
      <w:r w:rsidRPr="00D11AD1">
        <w:rPr>
          <w:rFonts w:ascii="Arial" w:eastAsia="Times New Roman" w:hAnsi="Arial" w:cs="Arial"/>
          <w:color w:val="414142"/>
          <w:sz w:val="20"/>
          <w:szCs w:val="20"/>
          <w:lang w:eastAsia="en-GB"/>
        </w:rPr>
        <w:t> (Atkarīgie individuālie pakalpojumi) noteikumiem var aplikt ar nodokļiem tajā Līgumslēdzējā Valstī, kurā tiek veikta izpildītājmākslinieka vai sportista darbība.</w:t>
      </w:r>
    </w:p>
    <w:p w14:paraId="3ADFEAC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xml:space="preserve">3. Šī panta 1. un 2.punkta noteikumi netiks piemēroti attiecībā uz ienākumiem, kas gūti par darbību, ko Līgumslēdzējā Valstī veic mākslinieks vai sportists, ja viņa vizīti šajā valstī pilnīgi vai galvenokārt </w:t>
      </w:r>
      <w:r w:rsidRPr="00D11AD1">
        <w:rPr>
          <w:rFonts w:ascii="Arial" w:eastAsia="Times New Roman" w:hAnsi="Arial" w:cs="Arial"/>
          <w:color w:val="414142"/>
          <w:sz w:val="20"/>
          <w:szCs w:val="20"/>
          <w:lang w:eastAsia="en-GB"/>
        </w:rPr>
        <w:lastRenderedPageBreak/>
        <w:t>atbalsta vienas vai abu Līgumslēdzēju Valstu vai to pašvaldību sabiedriskie fondi. Šajā gadījumā par šīm darbībām gūtais ienākums tiks aplikts ar nodokļiem tikai tajā Līgumslēdzējā Valstī, kuras rezidents ir šis mākslinieks vai sportists.</w:t>
      </w:r>
    </w:p>
    <w:p w14:paraId="3B3E7915"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44" w:anchor="p18" w:history="1">
        <w:r w:rsidRPr="00D11AD1">
          <w:rPr>
            <w:rFonts w:ascii="Arial" w:eastAsia="Times New Roman" w:hAnsi="Arial" w:cs="Arial"/>
            <w:b/>
            <w:bCs/>
            <w:color w:val="16497B"/>
            <w:sz w:val="20"/>
            <w:szCs w:val="20"/>
            <w:u w:val="single"/>
            <w:lang w:eastAsia="en-GB"/>
          </w:rPr>
          <w:t>18.pants</w:t>
        </w:r>
      </w:hyperlink>
    </w:p>
    <w:p w14:paraId="66B7FB96"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Pensijas</w:t>
      </w:r>
    </w:p>
    <w:p w14:paraId="3B3B84F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Saskaņā ar </w:t>
      </w:r>
      <w:hyperlink r:id="rId45" w:anchor="p19" w:history="1">
        <w:r w:rsidRPr="00D11AD1">
          <w:rPr>
            <w:rFonts w:ascii="Arial" w:eastAsia="Times New Roman" w:hAnsi="Arial" w:cs="Arial"/>
            <w:color w:val="16497B"/>
            <w:sz w:val="20"/>
            <w:szCs w:val="20"/>
            <w:u w:val="single"/>
            <w:lang w:eastAsia="en-GB"/>
          </w:rPr>
          <w:t>19.panta</w:t>
        </w:r>
      </w:hyperlink>
      <w:r w:rsidRPr="00D11AD1">
        <w:rPr>
          <w:rFonts w:ascii="Arial" w:eastAsia="Times New Roman" w:hAnsi="Arial" w:cs="Arial"/>
          <w:color w:val="414142"/>
          <w:sz w:val="20"/>
          <w:szCs w:val="20"/>
          <w:lang w:eastAsia="en-GB"/>
        </w:rPr>
        <w:t> (Valsts dienests) 2.punktu pensijas un cita veida līdzīga atlīdzība (ieskaitot pensijas un cita veida līdzīgu atlīdzību, kas tiek izmaksāta saskaņā ar sociālās nodrošināšanas likumdošanas aktiem) par iepriekš veikto algoto darbu, ko saņem Līgumslēdzējas Valsts rezidents, tiks apliktas ar nodokļiem tikai šajā valstī.</w:t>
      </w:r>
    </w:p>
    <w:p w14:paraId="756962B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46" w:anchor="p19" w:history="1">
        <w:r w:rsidRPr="00D11AD1">
          <w:rPr>
            <w:rFonts w:ascii="Arial" w:eastAsia="Times New Roman" w:hAnsi="Arial" w:cs="Arial"/>
            <w:b/>
            <w:bCs/>
            <w:color w:val="16497B"/>
            <w:sz w:val="20"/>
            <w:szCs w:val="20"/>
            <w:u w:val="single"/>
            <w:lang w:eastAsia="en-GB"/>
          </w:rPr>
          <w:t>19.pants</w:t>
        </w:r>
      </w:hyperlink>
    </w:p>
    <w:p w14:paraId="66FC853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Valsts dienests</w:t>
      </w:r>
    </w:p>
    <w:p w14:paraId="008F18C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1.a) Alga, izpeļņa un cita līdzīga atlīdzība, kura nav pensija un kuru fiziskajai personai izmaksā Līgumslēdzēja Valsts vai tās pašvaldība par šai valstij vai pašvaldībai sniegtajiem pakalpojumiem, tiks aplikta ar nodokļiem tikai šajā valstī.</w:t>
      </w:r>
    </w:p>
    <w:p w14:paraId="0CB71C1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Tomēr šī alga, izpeļņa un cita līdzīga atlīdzība tiks aplikta ar nodokļiem tikai otrā Līgumslēdzējā Valstī, ja pakalpojumi ir sniegti šajā otrā valstī un šī fiziskā persona ir tāds šīs valsts rezidents, kas:</w:t>
      </w:r>
    </w:p>
    <w:p w14:paraId="67BD208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ir šīs valsts pilsonis; vai</w:t>
      </w:r>
    </w:p>
    <w:p w14:paraId="5D95CAA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nav kļuvis par šīs valsts rezidentu tikai un vienīgi ar mērķi sniegt pakalpojumus.</w:t>
      </w:r>
    </w:p>
    <w:p w14:paraId="568C1E2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a) Jebkura pensija, ko fiziskajai personai izmaksā Līgumslēdzēja Valsts vai tās pašvaldība, vai ko tai izmaksā no šīs Līgumslēdzējas Valsts vai pašvaldības izveidotiem fondiem par pakalpojumiem, ko šī persona sniegusi šai valstij vai pašvaldībai, tiks aplikta ar nodokļiem tikai šajā valstī.</w:t>
      </w:r>
    </w:p>
    <w:p w14:paraId="586E259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Tomēr šī pensija tiks aplikta ar nodokļiem tikai otrā Līgumslēdzējā Valstī, ja šī fiziskā persona ir šīs otras valsts rezidents un pilsonis.</w:t>
      </w:r>
    </w:p>
    <w:p w14:paraId="14A621FA"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Algai, izpeļņai, citai līdzīgai atlīdzībai un pensijai, ko saņem par pakalpojumiem, kas sniegti sakarā ar Līgumslēdzējas Valsts vai tās pašvaldības veikto uzņēmējdarbību, ir jāpiemēro </w:t>
      </w:r>
      <w:hyperlink r:id="rId47" w:anchor="p15" w:history="1">
        <w:r w:rsidRPr="00D11AD1">
          <w:rPr>
            <w:rFonts w:ascii="Arial" w:eastAsia="Times New Roman" w:hAnsi="Arial" w:cs="Arial"/>
            <w:color w:val="16497B"/>
            <w:sz w:val="20"/>
            <w:szCs w:val="20"/>
            <w:u w:val="single"/>
            <w:lang w:eastAsia="en-GB"/>
          </w:rPr>
          <w:t>15.panta</w:t>
        </w:r>
      </w:hyperlink>
      <w:r w:rsidRPr="00D11AD1">
        <w:rPr>
          <w:rFonts w:ascii="Arial" w:eastAsia="Times New Roman" w:hAnsi="Arial" w:cs="Arial"/>
          <w:color w:val="414142"/>
          <w:sz w:val="20"/>
          <w:szCs w:val="20"/>
          <w:lang w:eastAsia="en-GB"/>
        </w:rPr>
        <w:t> (Atkarīgie individuālie pakalpojumi), </w:t>
      </w:r>
      <w:hyperlink r:id="rId48" w:anchor="p16" w:history="1">
        <w:r w:rsidRPr="00D11AD1">
          <w:rPr>
            <w:rFonts w:ascii="Arial" w:eastAsia="Times New Roman" w:hAnsi="Arial" w:cs="Arial"/>
            <w:color w:val="16497B"/>
            <w:sz w:val="20"/>
            <w:szCs w:val="20"/>
            <w:u w:val="single"/>
            <w:lang w:eastAsia="en-GB"/>
          </w:rPr>
          <w:t>16.panta</w:t>
        </w:r>
      </w:hyperlink>
      <w:r w:rsidRPr="00D11AD1">
        <w:rPr>
          <w:rFonts w:ascii="Arial" w:eastAsia="Times New Roman" w:hAnsi="Arial" w:cs="Arial"/>
          <w:color w:val="414142"/>
          <w:sz w:val="20"/>
          <w:szCs w:val="20"/>
          <w:lang w:eastAsia="en-GB"/>
        </w:rPr>
        <w:t> (Direktoru atalgojums) un </w:t>
      </w:r>
      <w:hyperlink r:id="rId49" w:anchor="p18" w:history="1">
        <w:r w:rsidRPr="00D11AD1">
          <w:rPr>
            <w:rFonts w:ascii="Arial" w:eastAsia="Times New Roman" w:hAnsi="Arial" w:cs="Arial"/>
            <w:color w:val="16497B"/>
            <w:sz w:val="20"/>
            <w:szCs w:val="20"/>
            <w:u w:val="single"/>
            <w:lang w:eastAsia="en-GB"/>
          </w:rPr>
          <w:t>18.panta</w:t>
        </w:r>
      </w:hyperlink>
      <w:r w:rsidRPr="00D11AD1">
        <w:rPr>
          <w:rFonts w:ascii="Arial" w:eastAsia="Times New Roman" w:hAnsi="Arial" w:cs="Arial"/>
          <w:color w:val="414142"/>
          <w:sz w:val="20"/>
          <w:szCs w:val="20"/>
          <w:lang w:eastAsia="en-GB"/>
        </w:rPr>
        <w:t> (Pensijas) noteikumi.</w:t>
      </w:r>
    </w:p>
    <w:p w14:paraId="447225CC"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20.pants</w:t>
      </w:r>
    </w:p>
    <w:p w14:paraId="6A20E2DE"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Studenti</w:t>
      </w:r>
    </w:p>
    <w:p w14:paraId="0AAC3DB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Maksājumi, kurus uzturēšanās, studiju vai stažēšanās vajadzībām saņem students, māceklis vai stažieris, kas ir, vai tieši pirms ierašanās Līgumslēdzējā Valstī bija, otras Līgumslēdzējas Valsts rezidents un kas atrodas pirmajā minētajā valstī vienīgi ar nolūku studēt vai stažēties, netiks aplikti ar nodokļiem šajā valstī, ja šie maksājumi rodas ārpus šīs valsts.</w:t>
      </w:r>
    </w:p>
    <w:p w14:paraId="0CC91C08"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50" w:anchor="p21" w:history="1">
        <w:r w:rsidRPr="00D11AD1">
          <w:rPr>
            <w:rFonts w:ascii="Arial" w:eastAsia="Times New Roman" w:hAnsi="Arial" w:cs="Arial"/>
            <w:b/>
            <w:bCs/>
            <w:color w:val="16497B"/>
            <w:sz w:val="20"/>
            <w:szCs w:val="20"/>
            <w:u w:val="single"/>
            <w:lang w:eastAsia="en-GB"/>
          </w:rPr>
          <w:t>21.pants</w:t>
        </w:r>
      </w:hyperlink>
    </w:p>
    <w:p w14:paraId="1A45245E"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Citi ienākumi</w:t>
      </w:r>
    </w:p>
    <w:p w14:paraId="6990EC3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Šīs Konvencijas iepriekšējos pantos neaplūkotie Līgumslēdzējas Valsts rezidenta citi ienākumi neatkarīgi no šo ienākumu rašanās vietas tiks aplikti ar nodokļiem tikai šajā valstī.</w:t>
      </w:r>
    </w:p>
    <w:p w14:paraId="77C39B9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Šī panta 1.punkta noteikumi netiks piemēroti ienākumam, kas nav ienākums no 6.panta (Ienākums no nekustamā īpašuma) 2.punktā definētā nekustamā īpašuma, ja šī ienākuma saņēmējs, būdams Līgumslēdzējas Valsts rezidents, veic uzņēmējdarbību otrā Līgumslēdzējā Valstī, izmantojot tur esošo pastāvīgo pārstāvniecību, vai sniedz šajā otrā valstī neatkarīgus individuālos pakalpojumus, izmantojot tur izvietoto pastāvīgo bāzi, un ja tiesības vai īpašums, par ko tiek saņemts šis ienākums, ir faktiski saistīti ar šo pastāvīgo pārstāvniecību vai pastāvīgo bāzi. Šajā gadījumā atkarībā no apstākļiem ir piemērojami </w:t>
      </w:r>
      <w:hyperlink r:id="rId51" w:anchor="p7" w:history="1">
        <w:r w:rsidRPr="00D11AD1">
          <w:rPr>
            <w:rFonts w:ascii="Arial" w:eastAsia="Times New Roman" w:hAnsi="Arial" w:cs="Arial"/>
            <w:color w:val="16497B"/>
            <w:sz w:val="20"/>
            <w:szCs w:val="20"/>
            <w:u w:val="single"/>
            <w:lang w:eastAsia="en-GB"/>
          </w:rPr>
          <w:t>7. panta</w:t>
        </w:r>
      </w:hyperlink>
      <w:r w:rsidRPr="00D11AD1">
        <w:rPr>
          <w:rFonts w:ascii="Arial" w:eastAsia="Times New Roman" w:hAnsi="Arial" w:cs="Arial"/>
          <w:color w:val="414142"/>
          <w:sz w:val="20"/>
          <w:szCs w:val="20"/>
          <w:lang w:eastAsia="en-GB"/>
        </w:rPr>
        <w:t> (Uzņēmējdarbības peļņa) vai </w:t>
      </w:r>
      <w:hyperlink r:id="rId52" w:anchor="p14" w:history="1">
        <w:r w:rsidRPr="00D11AD1">
          <w:rPr>
            <w:rFonts w:ascii="Arial" w:eastAsia="Times New Roman" w:hAnsi="Arial" w:cs="Arial"/>
            <w:color w:val="16497B"/>
            <w:sz w:val="20"/>
            <w:szCs w:val="20"/>
            <w:u w:val="single"/>
            <w:lang w:eastAsia="en-GB"/>
          </w:rPr>
          <w:t>14.panta</w:t>
        </w:r>
      </w:hyperlink>
      <w:r w:rsidRPr="00D11AD1">
        <w:rPr>
          <w:rFonts w:ascii="Arial" w:eastAsia="Times New Roman" w:hAnsi="Arial" w:cs="Arial"/>
          <w:color w:val="414142"/>
          <w:sz w:val="20"/>
          <w:szCs w:val="20"/>
          <w:lang w:eastAsia="en-GB"/>
        </w:rPr>
        <w:t> (Neatkarīgie individuālie pakalpojumi) noteikumi.</w:t>
      </w:r>
    </w:p>
    <w:p w14:paraId="2634582E"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IV daļa</w:t>
      </w:r>
    </w:p>
    <w:p w14:paraId="4127A74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Kapitāla aplikšana ar nodokļiem</w:t>
      </w:r>
    </w:p>
    <w:p w14:paraId="2948AB47"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22.pants</w:t>
      </w:r>
    </w:p>
    <w:p w14:paraId="63DF98E2"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Kapitāls</w:t>
      </w:r>
    </w:p>
    <w:p w14:paraId="13F90AF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Kapitālu, ko pārstāv 6.pantā (Ienākums no nekustamā īpašuma) minētais Līgumslēdzējas Valsts rezidenta nekustamais īpašums, kas atrodas otrā Līgumslēdzējā Valstī, var aplikt ar nodokļiem šajā otrā valstī.</w:t>
      </w:r>
    </w:p>
    <w:p w14:paraId="5427738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Kapitālu, ko pārstāv kustamais īpašums, kas veido daļu no otrā Līgumslēdzējā Valstī esošās Līgumslēdzējas Valsts uzņēmuma pastāvīgās pārstāvniecības uzņēmējdarbībā izmantojamā īpašuma, vai kapitālu, ko pārstāv kustamais īpašums, kas ir piederīgs Līgumslēdzējas Valsts rezidenta pastāvīgajai bāzei otrā Līgumslēdzējā Valstī, kura tiek izmantota neatkarīgu individuālo pakalpojumu sniegšanai, var aplikt ar nodokļiem šajā otrā valstī.</w:t>
      </w:r>
    </w:p>
    <w:p w14:paraId="088830A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Kapitāls, ko pārstāv gaisa transporta līdzekļi, kurus Līgumslēdzējas Valsts uzņēmums izmanto starptautiskajā satiksmē, kā arī kustamais īpašums, kas piederīgs šo gaisa transporta līdzekļu izmantošanai, tiks aplikts ar nodokļiem tikai šajā Līgumslēdzējā Valstī.</w:t>
      </w:r>
    </w:p>
    <w:p w14:paraId="6BBE4C8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Visi pārējie Līgumslēdzējas Valsts rezidenta kapitāla elementi tiks aplikti ar nodokļiem tikai šajā valstī.</w:t>
      </w:r>
    </w:p>
    <w:p w14:paraId="7E89DDA8"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V daļa</w:t>
      </w:r>
    </w:p>
    <w:p w14:paraId="0A096C5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Nodokļu dubultās uzlikšanas novēršanas metodes</w:t>
      </w:r>
    </w:p>
    <w:p w14:paraId="268E3E9E"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53" w:anchor="p23" w:history="1">
        <w:r w:rsidRPr="00D11AD1">
          <w:rPr>
            <w:rFonts w:ascii="Arial" w:eastAsia="Times New Roman" w:hAnsi="Arial" w:cs="Arial"/>
            <w:b/>
            <w:bCs/>
            <w:color w:val="16497B"/>
            <w:sz w:val="20"/>
            <w:szCs w:val="20"/>
            <w:u w:val="single"/>
            <w:lang w:eastAsia="en-GB"/>
          </w:rPr>
          <w:t>23.pants</w:t>
        </w:r>
      </w:hyperlink>
    </w:p>
    <w:p w14:paraId="3A04F44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Nodokļu dubultās uzlikšanas novēršana</w:t>
      </w:r>
    </w:p>
    <w:p w14:paraId="6B1C79E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1. Armēnijā nodokļu dubultā uzlikšana tiks novērsta šādā veidā:</w:t>
      </w:r>
    </w:p>
    <w:p w14:paraId="3E7D3D2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gadījumā, kad Armēnijas rezidents gūst ienākumus vai viņam pieder kapitāls, kuru saskaņā ar šīs Konvencijas noteikumiem var aplikt ar nodokļiem Latvijā, Armēnijai jāatļauj:</w:t>
      </w:r>
    </w:p>
    <w:p w14:paraId="65A0D24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samazināt šī rezidenta ienākuma nodokli par summu, kas ir vienāda ar Latvijā samaksāto ienākuma nodokli;</w:t>
      </w:r>
    </w:p>
    <w:p w14:paraId="65AF829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samazināt šī rezidenta kapitāla nodokli par summu, kas ir vienāda ar Latvijā samaksāto kapitāla nodokli.</w:t>
      </w:r>
    </w:p>
    <w:p w14:paraId="1932FAA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Šie samazinājumi tomēr nedrīkst pārsniegt tādu ienākuma nodokļa vai kapitāla nodokļa daļu, kāda ir aprēķināta pirms šī samazinājuma piemērošanas, kura atkarībā no apstākļiem ir attiecināma uz ienākumu vai kapitālu, kuru var aplikt ar nodokļiem Latvijā;</w:t>
      </w:r>
    </w:p>
    <w:p w14:paraId="53C5EFC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gadījumā, kad saskaņā ar jebkuriem šīs Konvencijas noteikumiem Armēnijas rezidenta gūtais ienākums vai viņam piederošais kapitāls tiek atbrīvots no aplikšanas ar nodokļiem Armēnijā, Armēnija var ņemt vērā atbrīvoto ienākumu vai kapitālu, nosakot nodokļa likmes, kas piemērojamas ienākumam vai kapitālam, kas ir apliekams ar nodokļiem Armēnijā.</w:t>
      </w:r>
    </w:p>
    <w:p w14:paraId="6B8C2704"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Latvijā nodokļu dubultā uzlikšana tiks novērsta šādā veidā:</w:t>
      </w:r>
    </w:p>
    <w:p w14:paraId="7AC1A51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gadījumā, kad Latvijas rezidents gūst ienākumus vai viņam pieder kapitāls, kuru saskaņā ar šīs Konvencijas noteikumiem var aplikt ar nodokļiem Armēnijā, ja vien Latvijas Republikas iekšējās likumdošanas akti nenodrošina labvēlīgākus noteikumus, Latvijai jāatļauj:</w:t>
      </w:r>
    </w:p>
    <w:p w14:paraId="71E8094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 samazināt šī rezidenta ienākuma nodokli par nodokļa daļu, kas ir vienāda ar Armēnijā samaksāto ienākuma nodokli;</w:t>
      </w:r>
    </w:p>
    <w:p w14:paraId="6DB998A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(ii) samazināt šī rezidenta kapitāla nodokli par nodokļa daļu, kas ir vienāda ar Armēnijā samaksāto kapitāla nodokli.</w:t>
      </w:r>
    </w:p>
    <w:p w14:paraId="0421213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Šie samazinājumi tomēr nekādā gadījumā nedrīkst pārsniegt tādu ienākuma nodokļa vai kapitāla nodokļa daļu, kas ir aprēķināta Latvijā pirms šī samazinājuma piemērošanas, kura atkarībā no apstākļiem ir attiecināma uz ienākumu vai kapitālu, kuru var aplikt ar nodokļiem Armēnijā;</w:t>
      </w:r>
    </w:p>
    <w:p w14:paraId="06052FC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lai piemērotu šī punkta a) apakšpunktu, ja sabiedrība — Latvijas rezidents saņem dividendes no sabiedrības — Armēnijas rezidenta un šajā sabiedrībā Latvijas rezidentam pieder vismaz 10 procenti akciju ar pilnām balsstiesībām, Armēnijā samaksātajā nodoklī tiks ietverts ne tikai nodoklis, ar kuru apliek dividendes, bet arī nodokļa, ar kuru apliek sabiedrības peļņu, no kuras tiek izmaksātas dividendes, daļa, kas atbilst šīm dividendēm.</w:t>
      </w:r>
    </w:p>
    <w:p w14:paraId="1005A5A1"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VI daļa</w:t>
      </w:r>
    </w:p>
    <w:p w14:paraId="43AFD2E7"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Īpaši noteikumi</w:t>
      </w:r>
    </w:p>
    <w:p w14:paraId="4B3AB15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24.pants</w:t>
      </w:r>
    </w:p>
    <w:p w14:paraId="25B27D7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lastRenderedPageBreak/>
        <w:t>Diskriminācijas nepieļaušana</w:t>
      </w:r>
    </w:p>
    <w:p w14:paraId="4B84522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Līgumslēdzējas Valsts pilsoņi otrā Līgumslēdzējā Valstī netiks pakļauti aplikšanai ar nodokļiem vai jebkurām ar tiem saistītajām prasībām, kas atšķiras no aplikšanas ar nodokļiem vai ar tiem saistītajām prasībām, kurām tiek vai var tikt pakļauti otras valsts pilsoņi tādos pašos apstākļos, vai kas ir apgrūtinošākas, it īpaši attiecībā uz rezidenci. Šis noteikums neatkarīgi no 1.panta (Konvencijas darbības sfēra) noteikumiem attiecas arī uz personām, kas nav vienas Līgumslēdzējas Valsts vai abu Līgumslēdzēju Valstu rezidenti.</w:t>
      </w:r>
    </w:p>
    <w:p w14:paraId="2E4FF7F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Bezvalstnieki, kas ir Līgumslēdzējas Valsts rezidenti, nevienā no Līgumslēdzējām Valstīm netiks pakļauti aplikšanai ar nodokļiem vai jebkurām ar tiem saistītajām prasībām, kas atšķiras no aplikšanas ar nodokļiem vai ar tiem saistītajām prasībām, kurām tiek vai var tikt pakļauti attiecīgās valsts pilsoņi tādos pašos apstākļos, vai kas ir apgrūtinošākas, it īpaši attiecībā uz rezidenci.</w:t>
      </w:r>
    </w:p>
    <w:p w14:paraId="4CE94E4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Līgumslēdzējas Valsts uzņēmuma pastāvīgo pārstāvniecību, kuru tas izmanto otrā Līgumslēdzējā Valstī, nevar aplikt ar nodokļiem šajā otrā valstī mazāk labvēlīgi, nekā tiktu aplikti ar nodokļiem otras valsts uzņēmumi, kas veic tāda paša veida darbību. Šo noteikumu nedrīkst iztulkot tādējādi, ka tas uzliktu Līgumslēdzējai Valstij pienākumu piešķirt otras Līgumslēdzējas Valsts rezidentiem jebkādas personiskas atlaides, atvieglojumus vai samazinājumus attiecībā uz aplikšanu ar nodokļiem, kādus šī valsts piešķir tās rezidentiem, ņemot vērā viņu civilstāvokli vai ģimenes saistības.</w:t>
      </w:r>
    </w:p>
    <w:p w14:paraId="2D6C911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Izņemot gadījumus, kad piemērojami </w:t>
      </w:r>
      <w:hyperlink r:id="rId54" w:anchor="p9" w:history="1">
        <w:r w:rsidRPr="00D11AD1">
          <w:rPr>
            <w:rFonts w:ascii="Arial" w:eastAsia="Times New Roman" w:hAnsi="Arial" w:cs="Arial"/>
            <w:color w:val="16497B"/>
            <w:sz w:val="20"/>
            <w:szCs w:val="20"/>
            <w:u w:val="single"/>
            <w:lang w:eastAsia="en-GB"/>
          </w:rPr>
          <w:t>9.panta</w:t>
        </w:r>
      </w:hyperlink>
      <w:r w:rsidRPr="00D11AD1">
        <w:rPr>
          <w:rFonts w:ascii="Arial" w:eastAsia="Times New Roman" w:hAnsi="Arial" w:cs="Arial"/>
          <w:color w:val="414142"/>
          <w:sz w:val="20"/>
          <w:szCs w:val="20"/>
          <w:lang w:eastAsia="en-GB"/>
        </w:rPr>
        <w:t> (Saistītie uzņēmumi) 1.punkta, </w:t>
      </w:r>
      <w:hyperlink r:id="rId55" w:anchor="p11" w:history="1">
        <w:r w:rsidRPr="00D11AD1">
          <w:rPr>
            <w:rFonts w:ascii="Arial" w:eastAsia="Times New Roman" w:hAnsi="Arial" w:cs="Arial"/>
            <w:color w:val="16497B"/>
            <w:sz w:val="20"/>
            <w:szCs w:val="20"/>
            <w:u w:val="single"/>
            <w:lang w:eastAsia="en-GB"/>
          </w:rPr>
          <w:t>11.panta</w:t>
        </w:r>
      </w:hyperlink>
      <w:r w:rsidRPr="00D11AD1">
        <w:rPr>
          <w:rFonts w:ascii="Arial" w:eastAsia="Times New Roman" w:hAnsi="Arial" w:cs="Arial"/>
          <w:color w:val="414142"/>
          <w:sz w:val="20"/>
          <w:szCs w:val="20"/>
          <w:lang w:eastAsia="en-GB"/>
        </w:rPr>
        <w:t> (Procenti) 7.punkta vai </w:t>
      </w:r>
      <w:hyperlink r:id="rId56" w:anchor="p12" w:history="1">
        <w:r w:rsidRPr="00D11AD1">
          <w:rPr>
            <w:rFonts w:ascii="Arial" w:eastAsia="Times New Roman" w:hAnsi="Arial" w:cs="Arial"/>
            <w:color w:val="16497B"/>
            <w:sz w:val="20"/>
            <w:szCs w:val="20"/>
            <w:u w:val="single"/>
            <w:lang w:eastAsia="en-GB"/>
          </w:rPr>
          <w:t>12.panta</w:t>
        </w:r>
      </w:hyperlink>
      <w:r w:rsidRPr="00D11AD1">
        <w:rPr>
          <w:rFonts w:ascii="Arial" w:eastAsia="Times New Roman" w:hAnsi="Arial" w:cs="Arial"/>
          <w:color w:val="414142"/>
          <w:sz w:val="20"/>
          <w:szCs w:val="20"/>
          <w:lang w:eastAsia="en-GB"/>
        </w:rPr>
        <w:t> (Autoratlīdzības) 6.punkta noteikumi, procenti, autoratlīdzības un citi maksājumi, ko Līgumslēdzējas Valsts uzņēmums izmaksā otras Līgumslēdzējas Valsts rezidentam, nosakot šī uzņēmuma apliekamo peļņu, ir jāatskaita no šīs peļņas pēc tādiem pašiem noteikumiem, kā tad, ja tie tiktu izmaksāti pirmās minētās valsts rezidentam. Tāpat arī Līgumslēdzējas Valsts uzņēmuma parādi otras Līgumslēdzējas Valsts rezidentam, nosakot šāda uzņēmuma apliekamo kapitālu, ir jāatskaita pēc tādiem pašiem noteikumiem, kā tad, ja tie attiektos uz pirmās minētās valsts rezidentu.</w:t>
      </w:r>
    </w:p>
    <w:p w14:paraId="3907325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5. Līgumslēdzējas Valsts uzņēmumus, kuru kapitāls pilnīgi vai daļēji pieder vienam vai vairākiem otras Līgumslēdzējas Valsts rezidentiem vai kurus šie rezidenti tieši vai netieši kontrolē, pirmajā minētajā valstī nevar pakļaut aplikšanai ar nodokļiem vai jebkurām ar tiem saistītajām prasībām, kas atšķiras no aplikšanas ar nodokļiem un ar tiem saistītajām prasībām, kurām tiek vai var tikt pakļauti līdzīgi pirmās minētās valsts uzņēmumi, vai kas ir apgrūtinošākas.</w:t>
      </w:r>
    </w:p>
    <w:p w14:paraId="6424022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6. Neatkarīgi no 2.panta (Nodokļi, uz kuriem attiecas Konvencija) noteikumiem šī panta noteikumi attiecas uz visu veidu un nosaukumu nodokļiem.</w:t>
      </w:r>
    </w:p>
    <w:p w14:paraId="5473B9B5"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25.pants</w:t>
      </w:r>
    </w:p>
    <w:p w14:paraId="76A8344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Savstarpējās saskaņošanas procedūra</w:t>
      </w:r>
    </w:p>
    <w:p w14:paraId="2DEAC51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Ja persona uzskata, ka vienas Līgumslēdzējas Valsts vai abu Līgumslēdzēju Valstu rīcība izraisa vai var izraisīt šīs personas aplikšanu ar nodokļiem, kas neatbilst šīs Konvencijas noteikumiem, šī persona var neatkarīgi no šo valstu iekšzemes likumdošanas aktu noteikumiem, kas paredz novērst šādu aplikšanu ar nodokļiem, iesniegt savu jautājumu izskatīšanai tās Līgumslēdzējas Valsts kompetentām iestādēm, kuras rezidents ir šī persona, vai arī, ja jautājums attiecas uz </w:t>
      </w:r>
      <w:hyperlink r:id="rId57" w:anchor="p24" w:history="1">
        <w:r w:rsidRPr="00D11AD1">
          <w:rPr>
            <w:rFonts w:ascii="Arial" w:eastAsia="Times New Roman" w:hAnsi="Arial" w:cs="Arial"/>
            <w:color w:val="16497B"/>
            <w:sz w:val="20"/>
            <w:szCs w:val="20"/>
            <w:u w:val="single"/>
            <w:lang w:eastAsia="en-GB"/>
          </w:rPr>
          <w:t>24.panta</w:t>
        </w:r>
      </w:hyperlink>
      <w:r w:rsidRPr="00D11AD1">
        <w:rPr>
          <w:rFonts w:ascii="Arial" w:eastAsia="Times New Roman" w:hAnsi="Arial" w:cs="Arial"/>
          <w:color w:val="414142"/>
          <w:sz w:val="20"/>
          <w:szCs w:val="20"/>
          <w:lang w:eastAsia="en-GB"/>
        </w:rPr>
        <w:t xml:space="preserve"> (Diskriminācijas nepieļaušana) 1.punktu, tās Līgumslēdzējas Valsts kompetentām </w:t>
      </w:r>
      <w:r w:rsidRPr="00D11AD1">
        <w:rPr>
          <w:rFonts w:ascii="Arial" w:eastAsia="Times New Roman" w:hAnsi="Arial" w:cs="Arial"/>
          <w:color w:val="414142"/>
          <w:sz w:val="20"/>
          <w:szCs w:val="20"/>
          <w:lang w:eastAsia="en-GB"/>
        </w:rPr>
        <w:lastRenderedPageBreak/>
        <w:t>iestādēm, kuras pilsonis ir šī persona. Jautājums jāiesniedz izskatīšanai triju gadu laikā no pirmā paziņojuma par rīcību, kas izraisījusi aplikšanu ar nodokļiem neatbilstoši šīs Konvencijas noteikumiem.</w:t>
      </w:r>
    </w:p>
    <w:p w14:paraId="2296CA0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Kompetentās iestādes pienākums ir censties atrisināt šo jautājumu, ja tā uzskata, ka sūdzība ir pamatota, un, ja šī iestāde pati nespēj panākt apmierinošu risinājumu, tai jāmēģina atrisināt jautājumu, savstarpēji vienojoties ar otras Līgumslēdzējas Valsts kompetentajām iestādēm, lai novērstu šai Konvencijai neatbilstošu aplikšanu ar nodokļiem. Katra šāda panāktā vienošanās ir jāizpilda neatkarīgi no Līgumslēdzējas Valsts iekšējās likumdošanas aktos noteiktajiem laika ierobežojumiem.</w:t>
      </w:r>
    </w:p>
    <w:p w14:paraId="0DD273B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Līgumslēdzēju Valstu kompetentajām iestādēm ir jācenšas savstarpējas saskaņošanas ceļā atrisināt jebkurus sarežģījumus vai novērst šaubas, kas var rasties, skaidrojot vai piemērojot šo Konvenciju. Tās var arī savstarpēji konsultēties, lai novērstu nodokļu dubulto uzlikšanu gadījumos, kādi nav paredzēti šajā Konvencijā.</w:t>
      </w:r>
    </w:p>
    <w:p w14:paraId="5DAE449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4. Līgumslēdzēju Valstu kompetentās iestādes var tieši sazināties viena ar otru, lai panāktu vienošanos par iepriekšējos punktos minētajiem jautājumiem.</w:t>
      </w:r>
    </w:p>
    <w:p w14:paraId="018B3506"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58" w:anchor="p26" w:history="1">
        <w:r w:rsidRPr="00D11AD1">
          <w:rPr>
            <w:rFonts w:ascii="Arial" w:eastAsia="Times New Roman" w:hAnsi="Arial" w:cs="Arial"/>
            <w:b/>
            <w:bCs/>
            <w:color w:val="16497B"/>
            <w:sz w:val="20"/>
            <w:szCs w:val="20"/>
            <w:u w:val="single"/>
            <w:lang w:eastAsia="en-GB"/>
          </w:rPr>
          <w:t>26.pants</w:t>
        </w:r>
      </w:hyperlink>
    </w:p>
    <w:p w14:paraId="547DCF91"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Informācijas apmaiņa</w:t>
      </w:r>
    </w:p>
    <w:p w14:paraId="7990C3D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Līgumslēdzēju Valstu kompetentajām iestādēm ir jāapmainās ar informāciju, kas nepieciešama šīs Konvencijas noteikumu izpildīšanai vai Līgumslēdzēju Valstu iekšzemes likumdošanas aktu par nodokļiem, uz kuriem attiecas šī Konvencija, prasību izpildei, tiktāl ciktāl šie likumi nav pretrunā ar šo Konvenciju. Konvencijas </w:t>
      </w:r>
      <w:hyperlink r:id="rId59" w:anchor="p1" w:history="1">
        <w:r w:rsidRPr="00D11AD1">
          <w:rPr>
            <w:rFonts w:ascii="Arial" w:eastAsia="Times New Roman" w:hAnsi="Arial" w:cs="Arial"/>
            <w:color w:val="16497B"/>
            <w:sz w:val="20"/>
            <w:szCs w:val="20"/>
            <w:u w:val="single"/>
            <w:lang w:eastAsia="en-GB"/>
          </w:rPr>
          <w:t>1.pants</w:t>
        </w:r>
      </w:hyperlink>
      <w:r w:rsidRPr="00D11AD1">
        <w:rPr>
          <w:rFonts w:ascii="Arial" w:eastAsia="Times New Roman" w:hAnsi="Arial" w:cs="Arial"/>
          <w:color w:val="414142"/>
          <w:sz w:val="20"/>
          <w:szCs w:val="20"/>
          <w:lang w:eastAsia="en-GB"/>
        </w:rPr>
        <w:t> (Konvencijas darbības sfēra) neierobežo informācijas apmaiņu. Jebkura informācija, ko saņem Līgumslēdzēja Valsts, ir jāuzskata par slepenu tāpat kā informācija, kas tiek iegūta saskaņā ar šīs valsts likumdošanas aktiem un var tikt izpausta tikai tām personām vai varas iestādēm (arī tiesas un administratīvajām iestādēm), kas ir iesaistītas nodokļu, uz kuriem attiecas šī Konvencija, aprēķināšanā, iekasēšanā, piespiedu līdzekļu lietošanā, lietu iztiesāšanā vai apelāciju izskatīšanā. Šīm personām vai varas iestādēm šī informācija jālieto vienīgi iepriekšminētajos nolūkos. Tās drīkst izpaust šo informāciju atklātās tiesas sēdēs vai tiesas nolēmumos.</w:t>
      </w:r>
    </w:p>
    <w:p w14:paraId="41B6166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Nekādā gadījumā </w:t>
      </w:r>
      <w:hyperlink r:id="rId60" w:anchor="p1" w:history="1">
        <w:r w:rsidRPr="00D11AD1">
          <w:rPr>
            <w:rFonts w:ascii="Arial" w:eastAsia="Times New Roman" w:hAnsi="Arial" w:cs="Arial"/>
            <w:color w:val="16497B"/>
            <w:sz w:val="20"/>
            <w:szCs w:val="20"/>
            <w:u w:val="single"/>
            <w:lang w:eastAsia="en-GB"/>
          </w:rPr>
          <w:t>1.punkta</w:t>
        </w:r>
      </w:hyperlink>
      <w:r w:rsidRPr="00D11AD1">
        <w:rPr>
          <w:rFonts w:ascii="Arial" w:eastAsia="Times New Roman" w:hAnsi="Arial" w:cs="Arial"/>
          <w:color w:val="414142"/>
          <w:sz w:val="20"/>
          <w:szCs w:val="20"/>
          <w:lang w:eastAsia="en-GB"/>
        </w:rPr>
        <w:t> noteikumus nedrīkst iztulkot tādējādi, ka tie uzliktu Līgumslēdzējai Valstij pienākumu:</w:t>
      </w:r>
    </w:p>
    <w:p w14:paraId="01872F3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veikt administratīvus pasākumus, kas nesaskan ar vienas vai otras Līgumslēdzējas Valsts likumdošanas aktiem vai administratīvo praksi;</w:t>
      </w:r>
    </w:p>
    <w:p w14:paraId="3A2BF04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sniegt informāciju, kas nav pieejama saskaņā ar vienas vai otras Līgumslēdzējas Valsts likumdošanas aktiem vai parasti piemērojamo administratīvo praksi;</w:t>
      </w:r>
    </w:p>
    <w:p w14:paraId="42ACD73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c) sniegt informāciju, kas var atklāt jebkuru tirdzniecības, uzņēmējdarbības, ražošanas, komerciālo vai profesionālo noslēpumu vai tirdzniecības procesu, vai arī sniegt informāciju, kuras izpaušana būtu pretrunā ar sabiedrības interesēm </w:t>
      </w:r>
      <w:r w:rsidRPr="00D11AD1">
        <w:rPr>
          <w:rFonts w:ascii="Arial" w:eastAsia="Times New Roman" w:hAnsi="Arial" w:cs="Arial"/>
          <w:i/>
          <w:iCs/>
          <w:color w:val="414142"/>
          <w:sz w:val="20"/>
          <w:szCs w:val="20"/>
          <w:lang w:eastAsia="en-GB"/>
        </w:rPr>
        <w:t>(ordre public)</w:t>
      </w:r>
      <w:r w:rsidRPr="00D11AD1">
        <w:rPr>
          <w:rFonts w:ascii="Arial" w:eastAsia="Times New Roman" w:hAnsi="Arial" w:cs="Arial"/>
          <w:color w:val="414142"/>
          <w:sz w:val="20"/>
          <w:szCs w:val="20"/>
          <w:lang w:eastAsia="en-GB"/>
        </w:rPr>
        <w:t>.</w:t>
      </w:r>
    </w:p>
    <w:p w14:paraId="7BC82F1D"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3. Līgumslēdzēju Valstu kompetentās iestādes var noslēgt papildu vienošanos, lai noteiktu šī panta noteikumu piemērošanas kārtību.</w:t>
      </w:r>
    </w:p>
    <w:p w14:paraId="49C4743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lastRenderedPageBreak/>
        <w:t>27.pants</w:t>
      </w:r>
    </w:p>
    <w:p w14:paraId="10AAD4B9"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Diplomātisko un konsulāro pārstāvniecību personāls</w:t>
      </w:r>
    </w:p>
    <w:p w14:paraId="04AF6AE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Nekas šajā Konvencijā nedrīkst ietekmēt diplomātisko misiju vai konsulāro pārstāvniecību personāla fiskālās privilēģijas, kuras tam piemērojamas saskaņā ar starptautisko tiesību vispārējiem noteikumiem vai īpašiem nolīgumiem.</w:t>
      </w:r>
    </w:p>
    <w:p w14:paraId="58A5653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VII daļa</w:t>
      </w:r>
    </w:p>
    <w:p w14:paraId="5C285FB2"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Noslēguma noteikumi</w:t>
      </w:r>
    </w:p>
    <w:p w14:paraId="13EC0768"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28.pants</w:t>
      </w:r>
    </w:p>
    <w:p w14:paraId="60E4EF28"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Stāšanās spēkā</w:t>
      </w:r>
    </w:p>
    <w:p w14:paraId="49B7AB38"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Līgumslēdzējas Valstis paziņo viena otrai par šo valstu konstitucionālo prasību, kādas ir nepieciešamas, lai šī Konvencija stātos spēkā, izpildi.</w:t>
      </w:r>
    </w:p>
    <w:p w14:paraId="26306D72"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Šī Konvencija stāsies spēkā ar </w:t>
      </w:r>
      <w:hyperlink r:id="rId61" w:anchor="p1" w:history="1">
        <w:r w:rsidRPr="00D11AD1">
          <w:rPr>
            <w:rFonts w:ascii="Arial" w:eastAsia="Times New Roman" w:hAnsi="Arial" w:cs="Arial"/>
            <w:color w:val="16497B"/>
            <w:sz w:val="20"/>
            <w:szCs w:val="20"/>
            <w:u w:val="single"/>
            <w:lang w:eastAsia="en-GB"/>
          </w:rPr>
          <w:t>1.punktā</w:t>
        </w:r>
      </w:hyperlink>
      <w:r w:rsidRPr="00D11AD1">
        <w:rPr>
          <w:rFonts w:ascii="Arial" w:eastAsia="Times New Roman" w:hAnsi="Arial" w:cs="Arial"/>
          <w:color w:val="414142"/>
          <w:sz w:val="20"/>
          <w:szCs w:val="20"/>
          <w:lang w:eastAsia="en-GB"/>
        </w:rPr>
        <w:t> minētā pēdējā paziņojuma iesniegšanas datumu, un tās noteikumi abās Līgumslēdzējās Valstīs tiks piemēroti:</w:t>
      </w:r>
    </w:p>
    <w:p w14:paraId="2AE369AF"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attiecībā uz nodokļiem, ko ietur izmaksas brīdī, sākot ar ienākumu, ko gūst janvāra pirmajā dienā vai pēc janvāra pirmās dienas tajā kalendārajā gadā, kas seko gadam, kurā šī Konvencija stājas spēkā;</w:t>
      </w:r>
    </w:p>
    <w:p w14:paraId="715A2C0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attiecībā uz pārējiem ienākuma un kapitāla nodokļiem, sākot ar nodokļiem, kas maksājami jebkurā taksācijas gadā, kurš sākas janvāra pirmajā dienā vai pēc janvāra pirmās dienas tajā kalendārajā gadā, kas seko gadam, kurā šī Konvencija stājas spēkā.</w:t>
      </w:r>
    </w:p>
    <w:p w14:paraId="2B58C185"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hyperlink r:id="rId62" w:anchor="p29" w:history="1">
        <w:r w:rsidRPr="00D11AD1">
          <w:rPr>
            <w:rFonts w:ascii="Arial" w:eastAsia="Times New Roman" w:hAnsi="Arial" w:cs="Arial"/>
            <w:b/>
            <w:bCs/>
            <w:color w:val="16497B"/>
            <w:sz w:val="20"/>
            <w:szCs w:val="20"/>
            <w:u w:val="single"/>
            <w:lang w:eastAsia="en-GB"/>
          </w:rPr>
          <w:t>29.pants</w:t>
        </w:r>
      </w:hyperlink>
    </w:p>
    <w:p w14:paraId="0704DA38"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b/>
          <w:bCs/>
          <w:color w:val="414142"/>
          <w:sz w:val="20"/>
          <w:szCs w:val="20"/>
          <w:lang w:eastAsia="en-GB"/>
        </w:rPr>
      </w:pPr>
      <w:r w:rsidRPr="00D11AD1">
        <w:rPr>
          <w:rFonts w:ascii="Arial" w:eastAsia="Times New Roman" w:hAnsi="Arial" w:cs="Arial"/>
          <w:b/>
          <w:bCs/>
          <w:color w:val="414142"/>
          <w:sz w:val="20"/>
          <w:szCs w:val="20"/>
          <w:lang w:eastAsia="en-GB"/>
        </w:rPr>
        <w:t>Darbības izbeigšana</w:t>
      </w:r>
    </w:p>
    <w:p w14:paraId="60345415"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Šī Konvencija ir spēkā tik ilgi, kamēr Līgumslēdzēja Valsts tās darbību izbeidz. Katra Līgumslēdzēja Valsts var izbeigt šīs Konvencijas darbību, diplomātiskā ceļā iesniedzot rakstisku notu par izbeigšanu vismaz sešus mēnešus pirms tā kalendārā gada beigām, kas seko triju gadu ilgam Konvencijas darbības periodam pēc tās spēkā stāšanās datuma. Šajā gadījumā Konvencijas darbība abās Līgumslēdzējās Valstīs tiks izbeigta:</w:t>
      </w:r>
    </w:p>
    <w:p w14:paraId="528A9D3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a) attiecībā uz nodokļiem, ko ietur izmaksas brīdī, sākot ar ienākumu, ko gūst janvāra pirmajā dienā vai pēc janvāra pirmās dienas tajā kalendārajā gadā, kas seko gadam, kurā ir iesniegta attiecīgā nota;</w:t>
      </w:r>
    </w:p>
    <w:p w14:paraId="2ABF37C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b) attiecībā uz pārējiem ienākuma un kapitāla nodokļiem, sākot ar nodokļiem, kas maksājami jebkurā taksācijas gadā, kurš sākas janvāra pirmajā dienā vai pēc janvāra pirmās dienas tajā kalendārajā gadā, kas seko gadam, kurā ir iesniegta attiecīgā nota.</w:t>
      </w:r>
    </w:p>
    <w:p w14:paraId="04CBA87C"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Šo apliecinot, apakšā parakstījušies, būdami pienācīgi pilnvaroti, šo Konvenciju ir parakstījuši.</w:t>
      </w:r>
    </w:p>
    <w:p w14:paraId="140B52B3"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t>Konvencija noslēgta Rīgā 2000.gada 15.martā divos eksemplāros, katrs no tiem latviešu, armēņu un angļu valodā. Visi trīs teksti ir vienlīdz autentiski. Atšķirīgas interpretācijas gadījumā noteicošais ir teksts angļu valodā.  </w:t>
      </w:r>
    </w:p>
    <w:tbl>
      <w:tblPr>
        <w:tblW w:w="5000" w:type="pct"/>
        <w:tblBorders>
          <w:top w:val="outset" w:sz="2" w:space="0" w:color="414142"/>
          <w:left w:val="outset" w:sz="2" w:space="0" w:color="414142"/>
          <w:bottom w:val="outset" w:sz="2" w:space="0" w:color="414142"/>
          <w:right w:val="outset" w:sz="2" w:space="0" w:color="414142"/>
        </w:tblBorders>
        <w:tblCellMar>
          <w:top w:w="15" w:type="dxa"/>
          <w:left w:w="15" w:type="dxa"/>
          <w:bottom w:w="15" w:type="dxa"/>
          <w:right w:w="15" w:type="dxa"/>
        </w:tblCellMar>
        <w:tblLook w:val="04A0" w:firstRow="1" w:lastRow="0" w:firstColumn="1" w:lastColumn="0" w:noHBand="0" w:noVBand="1"/>
      </w:tblPr>
      <w:tblGrid>
        <w:gridCol w:w="930"/>
        <w:gridCol w:w="8096"/>
      </w:tblGrid>
      <w:tr w:rsidR="00D11AD1" w:rsidRPr="00D11AD1" w14:paraId="1765941A" w14:textId="77777777" w:rsidTr="00D11AD1">
        <w:tc>
          <w:tcPr>
            <w:tcW w:w="0" w:type="auto"/>
            <w:tcBorders>
              <w:top w:val="nil"/>
              <w:left w:val="nil"/>
              <w:bottom w:val="nil"/>
              <w:right w:val="nil"/>
            </w:tcBorders>
            <w:vAlign w:val="center"/>
            <w:hideMark/>
          </w:tcPr>
          <w:p w14:paraId="1170529B" w14:textId="77777777" w:rsidR="00D11AD1" w:rsidRPr="00D11AD1" w:rsidRDefault="00D11AD1" w:rsidP="00D11AD1">
            <w:pPr>
              <w:spacing w:before="195"/>
              <w:rPr>
                <w:rFonts w:ascii="Times New Roman" w:eastAsia="Times New Roman" w:hAnsi="Times New Roman" w:cs="Times New Roman"/>
                <w:color w:val="414142"/>
                <w:sz w:val="20"/>
                <w:szCs w:val="20"/>
                <w:lang w:eastAsia="en-GB"/>
              </w:rPr>
            </w:pPr>
            <w:r w:rsidRPr="00D11AD1">
              <w:rPr>
                <w:rFonts w:ascii="Times New Roman" w:eastAsia="Times New Roman" w:hAnsi="Times New Roman" w:cs="Times New Roman"/>
                <w:color w:val="414142"/>
                <w:sz w:val="20"/>
                <w:szCs w:val="20"/>
                <w:lang w:eastAsia="en-GB"/>
              </w:rPr>
              <w:t>Latvijas Republikas vārdā</w:t>
            </w:r>
          </w:p>
        </w:tc>
        <w:tc>
          <w:tcPr>
            <w:tcW w:w="9465" w:type="dxa"/>
            <w:tcBorders>
              <w:top w:val="nil"/>
              <w:left w:val="nil"/>
              <w:bottom w:val="nil"/>
              <w:right w:val="nil"/>
            </w:tcBorders>
            <w:vAlign w:val="center"/>
            <w:hideMark/>
          </w:tcPr>
          <w:p w14:paraId="1D1DB2EB" w14:textId="77777777" w:rsidR="00D11AD1" w:rsidRPr="00D11AD1" w:rsidRDefault="00D11AD1" w:rsidP="00D11AD1">
            <w:pPr>
              <w:spacing w:before="195"/>
              <w:rPr>
                <w:rFonts w:ascii="Times New Roman" w:eastAsia="Times New Roman" w:hAnsi="Times New Roman" w:cs="Times New Roman"/>
                <w:color w:val="414142"/>
                <w:sz w:val="20"/>
                <w:szCs w:val="20"/>
                <w:lang w:eastAsia="en-GB"/>
              </w:rPr>
            </w:pPr>
            <w:r w:rsidRPr="00D11AD1">
              <w:rPr>
                <w:rFonts w:ascii="Times New Roman" w:eastAsia="Times New Roman" w:hAnsi="Times New Roman" w:cs="Times New Roman"/>
                <w:color w:val="414142"/>
                <w:sz w:val="20"/>
                <w:szCs w:val="20"/>
                <w:lang w:eastAsia="en-GB"/>
              </w:rPr>
              <w:t>Armēnijas Republikas vārdā</w:t>
            </w:r>
          </w:p>
        </w:tc>
      </w:tr>
      <w:tr w:rsidR="00D11AD1" w:rsidRPr="00D11AD1" w14:paraId="615289CF" w14:textId="77777777" w:rsidTr="00D11AD1">
        <w:tc>
          <w:tcPr>
            <w:tcW w:w="0" w:type="auto"/>
            <w:tcBorders>
              <w:top w:val="nil"/>
              <w:left w:val="nil"/>
              <w:bottom w:val="nil"/>
              <w:right w:val="nil"/>
            </w:tcBorders>
            <w:vAlign w:val="center"/>
            <w:hideMark/>
          </w:tcPr>
          <w:p w14:paraId="2EEF5BCC" w14:textId="77777777" w:rsidR="00D11AD1" w:rsidRPr="00D11AD1" w:rsidRDefault="00D11AD1" w:rsidP="00D11AD1">
            <w:pPr>
              <w:spacing w:before="195"/>
              <w:rPr>
                <w:rFonts w:ascii="Times New Roman" w:eastAsia="Times New Roman" w:hAnsi="Times New Roman" w:cs="Times New Roman"/>
                <w:i/>
                <w:iCs/>
                <w:color w:val="414142"/>
                <w:sz w:val="20"/>
                <w:szCs w:val="20"/>
                <w:lang w:eastAsia="en-GB"/>
              </w:rPr>
            </w:pPr>
            <w:r w:rsidRPr="00D11AD1">
              <w:rPr>
                <w:rFonts w:ascii="Times New Roman" w:eastAsia="Times New Roman" w:hAnsi="Times New Roman" w:cs="Times New Roman"/>
                <w:i/>
                <w:iCs/>
                <w:color w:val="414142"/>
                <w:sz w:val="20"/>
                <w:szCs w:val="20"/>
                <w:lang w:eastAsia="en-GB"/>
              </w:rPr>
              <w:t>Indulis Bērziņš</w:t>
            </w:r>
          </w:p>
        </w:tc>
        <w:tc>
          <w:tcPr>
            <w:tcW w:w="9465" w:type="dxa"/>
            <w:tcBorders>
              <w:top w:val="nil"/>
              <w:left w:val="nil"/>
              <w:bottom w:val="nil"/>
              <w:right w:val="nil"/>
            </w:tcBorders>
            <w:vAlign w:val="center"/>
            <w:hideMark/>
          </w:tcPr>
          <w:p w14:paraId="2FA17D59" w14:textId="77777777" w:rsidR="00D11AD1" w:rsidRPr="00D11AD1" w:rsidRDefault="00D11AD1" w:rsidP="00D11AD1">
            <w:pPr>
              <w:spacing w:before="195"/>
              <w:rPr>
                <w:rFonts w:ascii="Times New Roman" w:eastAsia="Times New Roman" w:hAnsi="Times New Roman" w:cs="Times New Roman"/>
                <w:i/>
                <w:iCs/>
                <w:color w:val="414142"/>
                <w:sz w:val="20"/>
                <w:szCs w:val="20"/>
                <w:lang w:eastAsia="en-GB"/>
              </w:rPr>
            </w:pPr>
            <w:r w:rsidRPr="00D11AD1">
              <w:rPr>
                <w:rFonts w:ascii="Times New Roman" w:eastAsia="Times New Roman" w:hAnsi="Times New Roman" w:cs="Times New Roman"/>
                <w:i/>
                <w:iCs/>
                <w:color w:val="414142"/>
                <w:sz w:val="20"/>
                <w:szCs w:val="20"/>
                <w:lang w:eastAsia="en-GB"/>
              </w:rPr>
              <w:t>Vartans Oskanjans</w:t>
            </w:r>
          </w:p>
        </w:tc>
      </w:tr>
    </w:tbl>
    <w:p w14:paraId="367DB92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 </w:t>
      </w:r>
    </w:p>
    <w:p w14:paraId="103580D7"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i/>
          <w:iCs/>
          <w:color w:val="414142"/>
          <w:sz w:val="20"/>
          <w:szCs w:val="20"/>
          <w:lang w:eastAsia="en-GB"/>
        </w:rPr>
      </w:pPr>
      <w:r w:rsidRPr="00D11AD1">
        <w:rPr>
          <w:rFonts w:ascii="Arial" w:eastAsia="Times New Roman" w:hAnsi="Arial" w:cs="Arial"/>
          <w:i/>
          <w:iCs/>
          <w:color w:val="414142"/>
          <w:sz w:val="20"/>
          <w:szCs w:val="20"/>
          <w:lang w:eastAsia="en-GB"/>
        </w:rPr>
        <w:t> </w:t>
      </w:r>
    </w:p>
    <w:p w14:paraId="6F9C5FE4" w14:textId="77777777" w:rsidR="00D11AD1" w:rsidRPr="00D11AD1" w:rsidRDefault="00D11AD1" w:rsidP="00D11AD1">
      <w:pPr>
        <w:shd w:val="clear" w:color="auto" w:fill="FFFFFF"/>
        <w:spacing w:before="100" w:beforeAutospacing="1" w:after="100" w:afterAutospacing="1" w:line="293" w:lineRule="atLeast"/>
        <w:ind w:firstLine="300"/>
        <w:jc w:val="center"/>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PROTOKOLS</w:t>
      </w:r>
    </w:p>
    <w:p w14:paraId="5D1798F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Parakstot Latvijas Republikas un Armēnijas Republikas Konvenciju par nodokļu dubultās uzlikšanas un nodokļu nemaksāšanas novēršanu attiecībā uz ienākuma un kapitāla nodokļiem, puses ir vienojušās par šādiem noteikumiem, kas ir Konvencijas neatņemama sastāvdaļa.</w:t>
      </w:r>
    </w:p>
    <w:p w14:paraId="6D547F11"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1. Attiecībā uz 4.panta (Rezidents) 3.punktu:</w:t>
      </w:r>
    </w:p>
    <w:p w14:paraId="5D9B9D9E"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Tiek saprasts, ka gadījumā, ja netiek panākta vienošanās starp Līgumslēdzēju Valstu kompetentajām iestādēm, šāda persona nevienā no Līgumslēdzējām Valstīm netiks uzskatīta par otras Līgumslēdzējas Valsts rezidentu.</w:t>
      </w:r>
    </w:p>
    <w:p w14:paraId="35FAACB6"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2. Attiecībā uz 7.panta (Uzņēmējdarbības peļņa) 3.punktu:</w:t>
      </w:r>
    </w:p>
    <w:p w14:paraId="6CC094B0"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Tiek saprasts, ka izdevumi, kurus Līgumslēdzēja Valsts atļauj atskaitīt, ietver tikai tos izdevumus, kuri ir atskaitāmi saskaņā ar šīs valsts iekšzemes likumdošanas aktiem.</w:t>
      </w:r>
    </w:p>
    <w:p w14:paraId="33150439"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Šo apliecinot, apakšā parakstījušies, būdami pienācīgi pilnvaroti, šo Protokolu ir parakstījuši.</w:t>
      </w:r>
    </w:p>
    <w:p w14:paraId="484FC1EB" w14:textId="77777777" w:rsidR="00D11AD1" w:rsidRPr="00D11AD1" w:rsidRDefault="00D11AD1" w:rsidP="00D11AD1">
      <w:pPr>
        <w:shd w:val="clear" w:color="auto" w:fill="FFFFFF"/>
        <w:spacing w:before="100" w:beforeAutospacing="1" w:after="100" w:afterAutospacing="1" w:line="293" w:lineRule="atLeast"/>
        <w:ind w:firstLine="300"/>
        <w:jc w:val="both"/>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t>Protokols sastādīts Rīgā 2000.gada 15.martā divos eksemplāros, katrs no tiem latviešu, armēņu un angļu valodā. Visi trīs teksti ir vienlīdz autentiski. Atšķirīgas interpretācijas gadījumā noteicošais ir teksts angļu valodā.  </w:t>
      </w:r>
    </w:p>
    <w:tbl>
      <w:tblPr>
        <w:tblW w:w="5000" w:type="pct"/>
        <w:tblBorders>
          <w:top w:val="outset" w:sz="2" w:space="0" w:color="414142"/>
          <w:left w:val="outset" w:sz="2" w:space="0" w:color="414142"/>
          <w:bottom w:val="outset" w:sz="2" w:space="0" w:color="414142"/>
          <w:right w:val="outset" w:sz="2" w:space="0" w:color="414142"/>
        </w:tblBorders>
        <w:tblCellMar>
          <w:top w:w="15" w:type="dxa"/>
          <w:left w:w="15" w:type="dxa"/>
          <w:bottom w:w="15" w:type="dxa"/>
          <w:right w:w="15" w:type="dxa"/>
        </w:tblCellMar>
        <w:tblLook w:val="04A0" w:firstRow="1" w:lastRow="0" w:firstColumn="1" w:lastColumn="0" w:noHBand="0" w:noVBand="1"/>
      </w:tblPr>
      <w:tblGrid>
        <w:gridCol w:w="930"/>
        <w:gridCol w:w="8096"/>
      </w:tblGrid>
      <w:tr w:rsidR="00D11AD1" w:rsidRPr="00D11AD1" w14:paraId="48473919" w14:textId="77777777" w:rsidTr="00D11AD1">
        <w:tc>
          <w:tcPr>
            <w:tcW w:w="0" w:type="auto"/>
            <w:tcBorders>
              <w:top w:val="nil"/>
              <w:left w:val="nil"/>
              <w:bottom w:val="nil"/>
              <w:right w:val="nil"/>
            </w:tcBorders>
            <w:vAlign w:val="center"/>
            <w:hideMark/>
          </w:tcPr>
          <w:p w14:paraId="36CF2B97" w14:textId="77777777" w:rsidR="00D11AD1" w:rsidRPr="00D11AD1" w:rsidRDefault="00D11AD1" w:rsidP="00D11AD1">
            <w:pPr>
              <w:spacing w:before="195"/>
              <w:rPr>
                <w:rFonts w:ascii="Times New Roman" w:eastAsia="Times New Roman" w:hAnsi="Times New Roman" w:cs="Times New Roman"/>
                <w:color w:val="414142"/>
                <w:sz w:val="20"/>
                <w:szCs w:val="20"/>
                <w:lang w:eastAsia="en-GB"/>
              </w:rPr>
            </w:pPr>
            <w:r w:rsidRPr="00D11AD1">
              <w:rPr>
                <w:rFonts w:ascii="Times New Roman" w:eastAsia="Times New Roman" w:hAnsi="Times New Roman" w:cs="Times New Roman"/>
                <w:color w:val="414142"/>
                <w:sz w:val="20"/>
                <w:szCs w:val="20"/>
                <w:lang w:eastAsia="en-GB"/>
              </w:rPr>
              <w:t>Latvijas Republikas vārdā</w:t>
            </w:r>
          </w:p>
        </w:tc>
        <w:tc>
          <w:tcPr>
            <w:tcW w:w="9495" w:type="dxa"/>
            <w:tcBorders>
              <w:top w:val="nil"/>
              <w:left w:val="nil"/>
              <w:bottom w:val="nil"/>
              <w:right w:val="nil"/>
            </w:tcBorders>
            <w:vAlign w:val="center"/>
            <w:hideMark/>
          </w:tcPr>
          <w:p w14:paraId="44C803D1" w14:textId="77777777" w:rsidR="00D11AD1" w:rsidRPr="00D11AD1" w:rsidRDefault="00D11AD1" w:rsidP="00D11AD1">
            <w:pPr>
              <w:spacing w:before="195"/>
              <w:rPr>
                <w:rFonts w:ascii="Times New Roman" w:eastAsia="Times New Roman" w:hAnsi="Times New Roman" w:cs="Times New Roman"/>
                <w:color w:val="414142"/>
                <w:sz w:val="20"/>
                <w:szCs w:val="20"/>
                <w:lang w:eastAsia="en-GB"/>
              </w:rPr>
            </w:pPr>
            <w:r w:rsidRPr="00D11AD1">
              <w:rPr>
                <w:rFonts w:ascii="Times New Roman" w:eastAsia="Times New Roman" w:hAnsi="Times New Roman" w:cs="Times New Roman"/>
                <w:color w:val="414142"/>
                <w:sz w:val="20"/>
                <w:szCs w:val="20"/>
                <w:lang w:eastAsia="en-GB"/>
              </w:rPr>
              <w:t>Armēnijas Republikas vārdā</w:t>
            </w:r>
          </w:p>
        </w:tc>
      </w:tr>
      <w:tr w:rsidR="00D11AD1" w:rsidRPr="00D11AD1" w14:paraId="79D23F45" w14:textId="77777777" w:rsidTr="00D11AD1">
        <w:tc>
          <w:tcPr>
            <w:tcW w:w="0" w:type="auto"/>
            <w:tcBorders>
              <w:top w:val="nil"/>
              <w:left w:val="nil"/>
              <w:bottom w:val="nil"/>
              <w:right w:val="nil"/>
            </w:tcBorders>
            <w:vAlign w:val="center"/>
            <w:hideMark/>
          </w:tcPr>
          <w:p w14:paraId="6F665B8E" w14:textId="77777777" w:rsidR="00D11AD1" w:rsidRPr="00D11AD1" w:rsidRDefault="00D11AD1" w:rsidP="00D11AD1">
            <w:pPr>
              <w:spacing w:before="195"/>
              <w:rPr>
                <w:rFonts w:ascii="Times New Roman" w:eastAsia="Times New Roman" w:hAnsi="Times New Roman" w:cs="Times New Roman"/>
                <w:i/>
                <w:iCs/>
                <w:color w:val="414142"/>
                <w:sz w:val="20"/>
                <w:szCs w:val="20"/>
                <w:lang w:eastAsia="en-GB"/>
              </w:rPr>
            </w:pPr>
            <w:r w:rsidRPr="00D11AD1">
              <w:rPr>
                <w:rFonts w:ascii="Times New Roman" w:eastAsia="Times New Roman" w:hAnsi="Times New Roman" w:cs="Times New Roman"/>
                <w:i/>
                <w:iCs/>
                <w:color w:val="414142"/>
                <w:sz w:val="20"/>
                <w:szCs w:val="20"/>
                <w:lang w:eastAsia="en-GB"/>
              </w:rPr>
              <w:t>Indulis Bērziņš</w:t>
            </w:r>
          </w:p>
        </w:tc>
        <w:tc>
          <w:tcPr>
            <w:tcW w:w="9495" w:type="dxa"/>
            <w:tcBorders>
              <w:top w:val="nil"/>
              <w:left w:val="nil"/>
              <w:bottom w:val="nil"/>
              <w:right w:val="nil"/>
            </w:tcBorders>
            <w:vAlign w:val="center"/>
            <w:hideMark/>
          </w:tcPr>
          <w:p w14:paraId="44D350DE" w14:textId="77777777" w:rsidR="00D11AD1" w:rsidRPr="00D11AD1" w:rsidRDefault="00D11AD1" w:rsidP="00D11AD1">
            <w:pPr>
              <w:spacing w:before="195"/>
              <w:rPr>
                <w:rFonts w:ascii="Times New Roman" w:eastAsia="Times New Roman" w:hAnsi="Times New Roman" w:cs="Times New Roman"/>
                <w:i/>
                <w:iCs/>
                <w:color w:val="414142"/>
                <w:sz w:val="20"/>
                <w:szCs w:val="20"/>
                <w:lang w:eastAsia="en-GB"/>
              </w:rPr>
            </w:pPr>
            <w:r w:rsidRPr="00D11AD1">
              <w:rPr>
                <w:rFonts w:ascii="Times New Roman" w:eastAsia="Times New Roman" w:hAnsi="Times New Roman" w:cs="Times New Roman"/>
                <w:i/>
                <w:iCs/>
                <w:color w:val="414142"/>
                <w:sz w:val="20"/>
                <w:szCs w:val="20"/>
                <w:lang w:eastAsia="en-GB"/>
              </w:rPr>
              <w:t>Vartans Oskanjans</w:t>
            </w:r>
          </w:p>
        </w:tc>
      </w:tr>
    </w:tbl>
    <w:bookmarkStart w:id="9" w:name="piel-366202"/>
    <w:bookmarkEnd w:id="9"/>
    <w:p w14:paraId="11D2261E" w14:textId="4249BF27"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"https://likumi.lv/wwwraksti/2000/TRUKSTOSHIE/070600_J/P1_1.PNG"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4B7C04C5" wp14:editId="109BC10D">
            <wp:extent cx="5731510" cy="385191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85191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460CFDAD" w14:textId="4EA8654F"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"https://likumi.lv/wwwraksti/2000/TRUKSTOSHIE/070600_J/P2.JPG"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6FCFE7EF" wp14:editId="43D7F395">
            <wp:extent cx="3396615" cy="8863330"/>
            <wp:effectExtent l="0" t="0" r="0" b="1270"/>
            <wp:docPr id="8" name="Picture 8"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ewspaper, screensho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6615"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7B6CB933" w14:textId="17F7E974"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"https://likumi.lv/wwwraksti/2000/TRUKSTOSHIE/070600_J/P3.JPG"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1601AB05" wp14:editId="38866C5C">
            <wp:extent cx="3607435" cy="8863330"/>
            <wp:effectExtent l="0" t="0" r="0" b="1270"/>
            <wp:docPr id="7" name="Picture 7"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7435"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1509D430" w14:textId="3316B76F"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"https://likumi.lv/wwwraksti/2000/TRUKSTOSHIE/070600_J/P4.JPG"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590AA792" wp14:editId="7CA07789">
            <wp:extent cx="3362960" cy="8863330"/>
            <wp:effectExtent l="0" t="0" r="2540" b="1270"/>
            <wp:docPr id="6" name="Picture 6"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document&#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2960"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351DF640" w14:textId="07CD70A6"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"https://likumi.lv/wwwraksti/2000/TRUKSTOSHIE/070600_J/P5.JPG"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08CB7431" wp14:editId="7BBC747A">
            <wp:extent cx="3536950" cy="8863330"/>
            <wp:effectExtent l="0" t="0" r="6350" b="1270"/>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newspap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6950"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597CD3A9" w14:textId="64B51156"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"https://likumi.lv/wwwraksti/2000/TRUKSTOSHIE/070600_J/P6.JPG"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003541B7" wp14:editId="4AC78E90">
            <wp:extent cx="3694430" cy="8863330"/>
            <wp:effectExtent l="0" t="0" r="1270" b="1270"/>
            <wp:docPr id="4" name="Picture 4"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low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24D0CF24" w14:textId="79847EA6"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"https://likumi.lv/wwwraksti/2000/TRUKSTOSHIE/070600_J/P7.JPG"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1626A8A7" wp14:editId="4FAB4BB7">
            <wp:extent cx="3294380" cy="8863330"/>
            <wp:effectExtent l="0" t="0" r="0" b="1270"/>
            <wp:docPr id="3" name="Picture 3"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newspaper, screensho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4380"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79A75C42" w14:textId="40F150FD"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"https://likumi.lv/wwwraksti/2000/TRUKSTOSHIE/070600_J/P8.JPG"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6420D7B9" wp14:editId="38A22EFC">
            <wp:extent cx="3231515" cy="8863330"/>
            <wp:effectExtent l="0" t="0" r="0" b="1270"/>
            <wp:docPr id="2" name="Picture 2"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ocument&#10;&#10;Description automatically generated with low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1515"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248B5B6C" w14:textId="21070314" w:rsidR="00D11AD1" w:rsidRPr="00D11AD1" w:rsidRDefault="00D11AD1" w:rsidP="00D11AD1">
      <w:pPr>
        <w:shd w:val="clear" w:color="auto" w:fill="FFFFFF"/>
        <w:spacing w:before="100" w:beforeAutospacing="1" w:after="100" w:afterAutospacing="1" w:line="293" w:lineRule="atLeast"/>
        <w:ind w:firstLine="300"/>
        <w:rPr>
          <w:rFonts w:ascii="Arial" w:eastAsia="Times New Roman" w:hAnsi="Arial" w:cs="Arial"/>
          <w:color w:val="414142"/>
          <w:sz w:val="20"/>
          <w:szCs w:val="20"/>
          <w:lang w:eastAsia="en-GB"/>
        </w:rPr>
      </w:pPr>
      <w:r w:rsidRPr="00D11AD1">
        <w:rPr>
          <w:rFonts w:ascii="Arial" w:eastAsia="Times New Roman" w:hAnsi="Arial" w:cs="Arial"/>
          <w:color w:val="414142"/>
          <w:sz w:val="20"/>
          <w:szCs w:val="20"/>
          <w:lang w:eastAsia="en-GB"/>
        </w:rPr>
        <w:lastRenderedPageBreak/>
        <w:fldChar w:fldCharType="begin"/>
      </w:r>
      <w:r w:rsidRPr="00D11AD1">
        <w:rPr>
          <w:rFonts w:ascii="Arial" w:eastAsia="Times New Roman" w:hAnsi="Arial" w:cs="Arial"/>
          <w:color w:val="414142"/>
          <w:sz w:val="20"/>
          <w:szCs w:val="20"/>
          <w:lang w:eastAsia="en-GB"/>
        </w:rPr>
        <w:instrText xml:space="preserve"> INCLUDEPICTURE "https://likumi.lv/wwwraksti/2000/TRUKSTOSHIE/070600_J/P9.JPG" \* MERGEFORMATINET </w:instrText>
      </w:r>
      <w:r w:rsidRPr="00D11AD1">
        <w:rPr>
          <w:rFonts w:ascii="Arial" w:eastAsia="Times New Roman" w:hAnsi="Arial" w:cs="Arial"/>
          <w:color w:val="414142"/>
          <w:sz w:val="20"/>
          <w:szCs w:val="20"/>
          <w:lang w:eastAsia="en-GB"/>
        </w:rPr>
        <w:fldChar w:fldCharType="separate"/>
      </w:r>
      <w:r w:rsidRPr="00D11AD1">
        <w:rPr>
          <w:rFonts w:ascii="Arial" w:eastAsia="Times New Roman" w:hAnsi="Arial" w:cs="Arial"/>
          <w:noProof/>
          <w:color w:val="414142"/>
          <w:sz w:val="20"/>
          <w:szCs w:val="20"/>
          <w:lang w:eastAsia="en-GB"/>
        </w:rPr>
        <w:drawing>
          <wp:inline distT="0" distB="0" distL="0" distR="0" wp14:anchorId="5B00C03C" wp14:editId="559DC7CE">
            <wp:extent cx="4336415" cy="8863330"/>
            <wp:effectExtent l="0" t="0" r="0" b="127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6415" cy="8863330"/>
                    </a:xfrm>
                    <a:prstGeom prst="rect">
                      <a:avLst/>
                    </a:prstGeom>
                    <a:noFill/>
                    <a:ln>
                      <a:noFill/>
                    </a:ln>
                  </pic:spPr>
                </pic:pic>
              </a:graphicData>
            </a:graphic>
          </wp:inline>
        </w:drawing>
      </w:r>
      <w:r w:rsidRPr="00D11AD1">
        <w:rPr>
          <w:rFonts w:ascii="Arial" w:eastAsia="Times New Roman" w:hAnsi="Arial" w:cs="Arial"/>
          <w:color w:val="414142"/>
          <w:sz w:val="20"/>
          <w:szCs w:val="20"/>
          <w:lang w:eastAsia="en-GB"/>
        </w:rPr>
        <w:fldChar w:fldCharType="end"/>
      </w:r>
    </w:p>
    <w:p w14:paraId="0421A5CE" w14:textId="77777777" w:rsidR="00AF0BD7" w:rsidRDefault="00AF0BD7"/>
    <w:sectPr w:rsidR="00AF0B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AD1"/>
    <w:rsid w:val="004F6A06"/>
    <w:rsid w:val="00533851"/>
    <w:rsid w:val="00AF0BD7"/>
    <w:rsid w:val="00CC6D45"/>
    <w:rsid w:val="00D11AD1"/>
  </w:rsids>
  <m:mathPr>
    <m:mathFont m:val="Cambria Math"/>
    <m:brkBin m:val="before"/>
    <m:brkBinSub m:val="--"/>
    <m:smallFrac m:val="0"/>
    <m:dispDef/>
    <m:lMargin m:val="0"/>
    <m:rMargin m:val="0"/>
    <m:defJc m:val="centerGroup"/>
    <m:wrapIndent m:val="1440"/>
    <m:intLim m:val="subSup"/>
    <m:naryLim m:val="undOvr"/>
  </m:mathPr>
  <w:themeFontLang w:val="en-LV"/>
  <w:clrSchemeMapping w:bg1="light1" w:t1="dark1" w:bg2="light2" w:t2="dark2" w:accent1="accent1" w:accent2="accent2" w:accent3="accent3" w:accent4="accent4" w:accent5="accent5" w:accent6="accent6" w:hyperlink="hyperlink" w:followedHyperlink="followedHyperlink"/>
  <w:decimalSymbol w:val=","/>
  <w:listSeparator w:val=","/>
  <w14:docId w14:val="2363F3C3"/>
  <w15:chartTrackingRefBased/>
  <w15:docId w15:val="{13614083-334F-D145-8440-961BADF7F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V"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v213">
    <w:name w:val="tv213"/>
    <w:basedOn w:val="Normal"/>
    <w:rsid w:val="00D11AD1"/>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D11AD1"/>
    <w:rPr>
      <w:color w:val="0000FF"/>
      <w:u w:val="single"/>
    </w:rPr>
  </w:style>
  <w:style w:type="paragraph" w:styleId="NormalWeb">
    <w:name w:val="Normal (Web)"/>
    <w:basedOn w:val="Normal"/>
    <w:uiPriority w:val="99"/>
    <w:semiHidden/>
    <w:unhideWhenUsed/>
    <w:rsid w:val="00D11AD1"/>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50981">
      <w:bodyDiv w:val="1"/>
      <w:marLeft w:val="0"/>
      <w:marRight w:val="0"/>
      <w:marTop w:val="0"/>
      <w:marBottom w:val="0"/>
      <w:divBdr>
        <w:top w:val="none" w:sz="0" w:space="0" w:color="auto"/>
        <w:left w:val="none" w:sz="0" w:space="0" w:color="auto"/>
        <w:bottom w:val="none" w:sz="0" w:space="0" w:color="auto"/>
        <w:right w:val="none" w:sz="0" w:space="0" w:color="auto"/>
      </w:divBdr>
    </w:div>
    <w:div w:id="877280492">
      <w:bodyDiv w:val="1"/>
      <w:marLeft w:val="0"/>
      <w:marRight w:val="0"/>
      <w:marTop w:val="0"/>
      <w:marBottom w:val="0"/>
      <w:divBdr>
        <w:top w:val="none" w:sz="0" w:space="0" w:color="auto"/>
        <w:left w:val="none" w:sz="0" w:space="0" w:color="auto"/>
        <w:bottom w:val="none" w:sz="0" w:space="0" w:color="auto"/>
        <w:right w:val="none" w:sz="0" w:space="0" w:color="auto"/>
      </w:divBdr>
      <w:divsChild>
        <w:div w:id="701398973">
          <w:marLeft w:val="0"/>
          <w:marRight w:val="0"/>
          <w:marTop w:val="480"/>
          <w:marBottom w:val="240"/>
          <w:divBdr>
            <w:top w:val="none" w:sz="0" w:space="0" w:color="auto"/>
            <w:left w:val="none" w:sz="0" w:space="0" w:color="auto"/>
            <w:bottom w:val="none" w:sz="0" w:space="0" w:color="auto"/>
            <w:right w:val="none" w:sz="0" w:space="0" w:color="auto"/>
          </w:divBdr>
        </w:div>
        <w:div w:id="386533181">
          <w:marLeft w:val="0"/>
          <w:marRight w:val="0"/>
          <w:marTop w:val="0"/>
          <w:marBottom w:val="567"/>
          <w:divBdr>
            <w:top w:val="none" w:sz="0" w:space="0" w:color="auto"/>
            <w:left w:val="none" w:sz="0" w:space="0" w:color="auto"/>
            <w:bottom w:val="none" w:sz="0" w:space="0" w:color="auto"/>
            <w:right w:val="none" w:sz="0" w:space="0" w:color="auto"/>
          </w:divBdr>
        </w:div>
        <w:div w:id="656616891">
          <w:marLeft w:val="0"/>
          <w:marRight w:val="0"/>
          <w:marTop w:val="0"/>
          <w:marBottom w:val="0"/>
          <w:divBdr>
            <w:top w:val="none" w:sz="0" w:space="0" w:color="auto"/>
            <w:left w:val="none" w:sz="0" w:space="0" w:color="auto"/>
            <w:bottom w:val="none" w:sz="0" w:space="0" w:color="auto"/>
            <w:right w:val="none" w:sz="0" w:space="0" w:color="auto"/>
          </w:divBdr>
        </w:div>
        <w:div w:id="1793473553">
          <w:marLeft w:val="0"/>
          <w:marRight w:val="0"/>
          <w:marTop w:val="0"/>
          <w:marBottom w:val="0"/>
          <w:divBdr>
            <w:top w:val="none" w:sz="0" w:space="0" w:color="auto"/>
            <w:left w:val="none" w:sz="0" w:space="0" w:color="auto"/>
            <w:bottom w:val="none" w:sz="0" w:space="0" w:color="auto"/>
            <w:right w:val="none" w:sz="0" w:space="0" w:color="auto"/>
          </w:divBdr>
        </w:div>
        <w:div w:id="1615481332">
          <w:marLeft w:val="0"/>
          <w:marRight w:val="0"/>
          <w:marTop w:val="0"/>
          <w:marBottom w:val="0"/>
          <w:divBdr>
            <w:top w:val="none" w:sz="0" w:space="0" w:color="auto"/>
            <w:left w:val="none" w:sz="0" w:space="0" w:color="auto"/>
            <w:bottom w:val="none" w:sz="0" w:space="0" w:color="auto"/>
            <w:right w:val="none" w:sz="0" w:space="0" w:color="auto"/>
          </w:divBdr>
        </w:div>
        <w:div w:id="957028138">
          <w:marLeft w:val="0"/>
          <w:marRight w:val="0"/>
          <w:marTop w:val="567"/>
          <w:marBottom w:val="0"/>
          <w:divBdr>
            <w:top w:val="none" w:sz="0" w:space="0" w:color="auto"/>
            <w:left w:val="none" w:sz="0" w:space="0" w:color="auto"/>
            <w:bottom w:val="none" w:sz="0" w:space="0" w:color="auto"/>
            <w:right w:val="none" w:sz="0" w:space="0" w:color="auto"/>
          </w:divBdr>
        </w:div>
        <w:div w:id="577596607">
          <w:marLeft w:val="0"/>
          <w:marRight w:val="0"/>
          <w:marTop w:val="240"/>
          <w:marBottom w:val="0"/>
          <w:divBdr>
            <w:top w:val="none" w:sz="0" w:space="0" w:color="auto"/>
            <w:left w:val="none" w:sz="0" w:space="0" w:color="auto"/>
            <w:bottom w:val="none" w:sz="0" w:space="0" w:color="auto"/>
            <w:right w:val="none" w:sz="0" w:space="0" w:color="auto"/>
          </w:divBdr>
        </w:div>
        <w:div w:id="352923183">
          <w:marLeft w:val="0"/>
          <w:marRight w:val="0"/>
          <w:marTop w:val="240"/>
          <w:marBottom w:val="0"/>
          <w:divBdr>
            <w:top w:val="none" w:sz="0" w:space="0" w:color="auto"/>
            <w:left w:val="none" w:sz="0" w:space="0" w:color="auto"/>
            <w:bottom w:val="none" w:sz="0" w:space="0" w:color="auto"/>
            <w:right w:val="none" w:sz="0" w:space="0" w:color="auto"/>
          </w:divBdr>
        </w:div>
        <w:div w:id="1961257442">
          <w:marLeft w:val="0"/>
          <w:marRight w:val="0"/>
          <w:marTop w:val="240"/>
          <w:marBottom w:val="0"/>
          <w:divBdr>
            <w:top w:val="none" w:sz="0" w:space="0" w:color="auto"/>
            <w:left w:val="none" w:sz="0" w:space="0" w:color="auto"/>
            <w:bottom w:val="none" w:sz="0" w:space="0" w:color="auto"/>
            <w:right w:val="none" w:sz="0" w:space="0" w:color="auto"/>
          </w:divBdr>
        </w:div>
        <w:div w:id="825895907">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kumi.lv/ta/id/7738" TargetMode="External"/><Relationship Id="rId21" Type="http://schemas.openxmlformats.org/officeDocument/2006/relationships/hyperlink" Target="https://likumi.lv/ta/id/7738" TargetMode="External"/><Relationship Id="rId42" Type="http://schemas.openxmlformats.org/officeDocument/2006/relationships/hyperlink" Target="https://likumi.lv/ta/id/7738" TargetMode="External"/><Relationship Id="rId47" Type="http://schemas.openxmlformats.org/officeDocument/2006/relationships/hyperlink" Target="https://likumi.lv/ta/id/7738" TargetMode="External"/><Relationship Id="rId63" Type="http://schemas.openxmlformats.org/officeDocument/2006/relationships/image" Target="media/image1.png"/><Relationship Id="rId68"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s://likumi.lv/ta/id/7738" TargetMode="External"/><Relationship Id="rId29" Type="http://schemas.openxmlformats.org/officeDocument/2006/relationships/hyperlink" Target="https://likumi.lv/ta/id/7738" TargetMode="External"/><Relationship Id="rId11" Type="http://schemas.openxmlformats.org/officeDocument/2006/relationships/hyperlink" Target="https://likumi.lv/ta/id/7738" TargetMode="External"/><Relationship Id="rId24" Type="http://schemas.openxmlformats.org/officeDocument/2006/relationships/hyperlink" Target="https://likumi.lv/ta/id/7738" TargetMode="External"/><Relationship Id="rId32" Type="http://schemas.openxmlformats.org/officeDocument/2006/relationships/hyperlink" Target="https://likumi.lv/ta/id/7738" TargetMode="External"/><Relationship Id="rId37" Type="http://schemas.openxmlformats.org/officeDocument/2006/relationships/hyperlink" Target="https://likumi.lv/ta/id/7738" TargetMode="External"/><Relationship Id="rId40" Type="http://schemas.openxmlformats.org/officeDocument/2006/relationships/hyperlink" Target="https://likumi.lv/ta/id/7738" TargetMode="External"/><Relationship Id="rId45" Type="http://schemas.openxmlformats.org/officeDocument/2006/relationships/hyperlink" Target="https://likumi.lv/ta/id/7738" TargetMode="External"/><Relationship Id="rId53" Type="http://schemas.openxmlformats.org/officeDocument/2006/relationships/hyperlink" Target="https://likumi.lv/ta/id/7738" TargetMode="External"/><Relationship Id="rId58" Type="http://schemas.openxmlformats.org/officeDocument/2006/relationships/hyperlink" Target="https://likumi.lv/ta/id/7738" TargetMode="External"/><Relationship Id="rId66" Type="http://schemas.openxmlformats.org/officeDocument/2006/relationships/image" Target="media/image4.jpeg"/><Relationship Id="rId5" Type="http://schemas.openxmlformats.org/officeDocument/2006/relationships/hyperlink" Target="https://likumi.lv/ta/id/7738" TargetMode="External"/><Relationship Id="rId61" Type="http://schemas.openxmlformats.org/officeDocument/2006/relationships/hyperlink" Target="https://likumi.lv/ta/id/7738" TargetMode="External"/><Relationship Id="rId19" Type="http://schemas.openxmlformats.org/officeDocument/2006/relationships/hyperlink" Target="https://likumi.lv/ta/id/7738" TargetMode="External"/><Relationship Id="rId14" Type="http://schemas.openxmlformats.org/officeDocument/2006/relationships/hyperlink" Target="https://likumi.lv/ta/id/7738" TargetMode="External"/><Relationship Id="rId22" Type="http://schemas.openxmlformats.org/officeDocument/2006/relationships/hyperlink" Target="https://likumi.lv/ta/id/7738" TargetMode="External"/><Relationship Id="rId27" Type="http://schemas.openxmlformats.org/officeDocument/2006/relationships/hyperlink" Target="https://likumi.lv/ta/id/7738" TargetMode="External"/><Relationship Id="rId30" Type="http://schemas.openxmlformats.org/officeDocument/2006/relationships/hyperlink" Target="https://likumi.lv/ta/id/7738" TargetMode="External"/><Relationship Id="rId35" Type="http://schemas.openxmlformats.org/officeDocument/2006/relationships/hyperlink" Target="https://likumi.lv/ta/id/7738" TargetMode="External"/><Relationship Id="rId43" Type="http://schemas.openxmlformats.org/officeDocument/2006/relationships/hyperlink" Target="https://likumi.lv/ta/id/7738" TargetMode="External"/><Relationship Id="rId48" Type="http://schemas.openxmlformats.org/officeDocument/2006/relationships/hyperlink" Target="https://likumi.lv/ta/id/7738" TargetMode="External"/><Relationship Id="rId56" Type="http://schemas.openxmlformats.org/officeDocument/2006/relationships/hyperlink" Target="https://likumi.lv/ta/id/7738" TargetMode="External"/><Relationship Id="rId64" Type="http://schemas.openxmlformats.org/officeDocument/2006/relationships/image" Target="media/image2.jpeg"/><Relationship Id="rId69" Type="http://schemas.openxmlformats.org/officeDocument/2006/relationships/image" Target="media/image7.jpeg"/><Relationship Id="rId8" Type="http://schemas.openxmlformats.org/officeDocument/2006/relationships/hyperlink" Target="https://likumi.lv/ta/id/7738" TargetMode="External"/><Relationship Id="rId51" Type="http://schemas.openxmlformats.org/officeDocument/2006/relationships/hyperlink" Target="https://likumi.lv/ta/id/7738" TargetMode="External"/><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likumi.lv/ta/id/7738" TargetMode="External"/><Relationship Id="rId17" Type="http://schemas.openxmlformats.org/officeDocument/2006/relationships/hyperlink" Target="https://likumi.lv/ta/id/7738" TargetMode="External"/><Relationship Id="rId25" Type="http://schemas.openxmlformats.org/officeDocument/2006/relationships/hyperlink" Target="https://likumi.lv/ta/id/7738" TargetMode="External"/><Relationship Id="rId33" Type="http://schemas.openxmlformats.org/officeDocument/2006/relationships/hyperlink" Target="https://likumi.lv/ta/id/7738" TargetMode="External"/><Relationship Id="rId38" Type="http://schemas.openxmlformats.org/officeDocument/2006/relationships/hyperlink" Target="https://likumi.lv/ta/id/7738" TargetMode="External"/><Relationship Id="rId46" Type="http://schemas.openxmlformats.org/officeDocument/2006/relationships/hyperlink" Target="https://likumi.lv/ta/id/7738" TargetMode="External"/><Relationship Id="rId59" Type="http://schemas.openxmlformats.org/officeDocument/2006/relationships/hyperlink" Target="https://likumi.lv/ta/id/7738" TargetMode="External"/><Relationship Id="rId67" Type="http://schemas.openxmlformats.org/officeDocument/2006/relationships/image" Target="media/image5.jpeg"/><Relationship Id="rId20" Type="http://schemas.openxmlformats.org/officeDocument/2006/relationships/hyperlink" Target="https://likumi.lv/ta/id/7738" TargetMode="External"/><Relationship Id="rId41" Type="http://schemas.openxmlformats.org/officeDocument/2006/relationships/hyperlink" Target="https://likumi.lv/ta/id/7738" TargetMode="External"/><Relationship Id="rId54" Type="http://schemas.openxmlformats.org/officeDocument/2006/relationships/hyperlink" Target="https://likumi.lv/ta/id/7738" TargetMode="External"/><Relationship Id="rId62" Type="http://schemas.openxmlformats.org/officeDocument/2006/relationships/hyperlink" Target="https://likumi.lv/ta/id/7738" TargetMode="External"/><Relationship Id="rId70" Type="http://schemas.openxmlformats.org/officeDocument/2006/relationships/image" Target="media/image8.jpeg"/><Relationship Id="rId1" Type="http://schemas.openxmlformats.org/officeDocument/2006/relationships/styles" Target="styles.xml"/><Relationship Id="rId6" Type="http://schemas.openxmlformats.org/officeDocument/2006/relationships/hyperlink" Target="https://likumi.lv/ta/id/7738" TargetMode="External"/><Relationship Id="rId15" Type="http://schemas.openxmlformats.org/officeDocument/2006/relationships/hyperlink" Target="https://likumi.lv/ta/id/7738" TargetMode="External"/><Relationship Id="rId23" Type="http://schemas.openxmlformats.org/officeDocument/2006/relationships/hyperlink" Target="https://likumi.lv/ta/id/7738" TargetMode="External"/><Relationship Id="rId28" Type="http://schemas.openxmlformats.org/officeDocument/2006/relationships/hyperlink" Target="https://likumi.lv/ta/id/7738" TargetMode="External"/><Relationship Id="rId36" Type="http://schemas.openxmlformats.org/officeDocument/2006/relationships/hyperlink" Target="https://likumi.lv/ta/id/7738" TargetMode="External"/><Relationship Id="rId49" Type="http://schemas.openxmlformats.org/officeDocument/2006/relationships/hyperlink" Target="https://likumi.lv/ta/id/7738" TargetMode="External"/><Relationship Id="rId57" Type="http://schemas.openxmlformats.org/officeDocument/2006/relationships/hyperlink" Target="https://likumi.lv/ta/id/7738" TargetMode="External"/><Relationship Id="rId10" Type="http://schemas.openxmlformats.org/officeDocument/2006/relationships/hyperlink" Target="https://likumi.lv/ta/id/7738" TargetMode="External"/><Relationship Id="rId31" Type="http://schemas.openxmlformats.org/officeDocument/2006/relationships/hyperlink" Target="https://likumi.lv/ta/id/7738" TargetMode="External"/><Relationship Id="rId44" Type="http://schemas.openxmlformats.org/officeDocument/2006/relationships/hyperlink" Target="https://likumi.lv/ta/id/7738" TargetMode="External"/><Relationship Id="rId52" Type="http://schemas.openxmlformats.org/officeDocument/2006/relationships/hyperlink" Target="https://likumi.lv/ta/id/7738" TargetMode="External"/><Relationship Id="rId60" Type="http://schemas.openxmlformats.org/officeDocument/2006/relationships/hyperlink" Target="https://likumi.lv/ta/id/7738" TargetMode="External"/><Relationship Id="rId65" Type="http://schemas.openxmlformats.org/officeDocument/2006/relationships/image" Target="media/image3.jpeg"/><Relationship Id="rId73" Type="http://schemas.openxmlformats.org/officeDocument/2006/relationships/theme" Target="theme/theme1.xml"/><Relationship Id="rId4" Type="http://schemas.openxmlformats.org/officeDocument/2006/relationships/hyperlink" Target="https://likumi.lv/ta/id/7767-latvijas-republikas-un-armenijas-republikas-konvencija-par-nodoklu-dubultas-uzliksanas-un-nodoklu-nemaksasanas-noversanu-attiec..." TargetMode="External"/><Relationship Id="rId9" Type="http://schemas.openxmlformats.org/officeDocument/2006/relationships/hyperlink" Target="https://likumi.lv/ta/id/7738" TargetMode="External"/><Relationship Id="rId13" Type="http://schemas.openxmlformats.org/officeDocument/2006/relationships/hyperlink" Target="https://likumi.lv/ta/id/7738" TargetMode="External"/><Relationship Id="rId18" Type="http://schemas.openxmlformats.org/officeDocument/2006/relationships/hyperlink" Target="https://likumi.lv/ta/id/7738" TargetMode="External"/><Relationship Id="rId39" Type="http://schemas.openxmlformats.org/officeDocument/2006/relationships/hyperlink" Target="https://likumi.lv/ta/id/7738" TargetMode="External"/><Relationship Id="rId34" Type="http://schemas.openxmlformats.org/officeDocument/2006/relationships/hyperlink" Target="https://likumi.lv/ta/id/7738" TargetMode="External"/><Relationship Id="rId50" Type="http://schemas.openxmlformats.org/officeDocument/2006/relationships/hyperlink" Target="https://likumi.lv/ta/id/7738" TargetMode="External"/><Relationship Id="rId55" Type="http://schemas.openxmlformats.org/officeDocument/2006/relationships/hyperlink" Target="https://likumi.lv/ta/id/7738" TargetMode="External"/><Relationship Id="rId7" Type="http://schemas.openxmlformats.org/officeDocument/2006/relationships/hyperlink" Target="https://likumi.lv/ta/id/7738" TargetMode="External"/><Relationship Id="rId7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7777</Words>
  <Characters>44329</Characters>
  <Application>Microsoft Office Word</Application>
  <DocSecurity>0</DocSecurity>
  <Lines>369</Lines>
  <Paragraphs>104</Paragraphs>
  <ScaleCrop>false</ScaleCrop>
  <Company/>
  <LinksUpToDate>false</LinksUpToDate>
  <CharactersWithSpaces>52002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Auzins</dc:creator>
  <cp:keywords/>
  <dc:description/>
  <cp:lastModifiedBy>Roberts Auzins</cp:lastModifiedBy>
  <cp:revision>1</cp:revision>
  <dcterms:created xsi:type="dcterms:W3CDTF">2022-03-21T17:32:00Z</dcterms:created>
  <dcterms:modified xsi:type="dcterms:W3CDTF">2022-03-21T17:34:00Z</dcterms:modified>
</cp:coreProperties>
</file>