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SOP-11: Reproductive Toxicants and Bioactive Small Molecules (PHS)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4-Methoxyphenol (mequinol)</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150-76-5</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Serotonin creatinine sulfate monohydrate</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61-47-2</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Acetylcholine chloride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60-31-1</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Resazurin sodium salt (two containers, 15 g and 50 g)</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62758-13-8</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Poly(I:C) (HMW), TLR3 agonist</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not classified / proprietary</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Health hazard (reproductive toxicity Cat 2); Exclamation mark (irritant, sensitizer, acute toxicity Cat 4); Environment (aquatic toxicity)</w:t>
      </w:r>
    </w:p>
    <w:p>
      <w:pPr>
        <w:pStyle w:val="ListParagraph"/>
        <w:numPr>
          <w:ilvl w:val="0"/>
          <w:numId w:val="2"/>
        </w:numPr>
        <w:spacing w:after="100" w:line="260"/>
      </w:pPr>
      <w:r>
        <w:rPr>
          <w:rFonts w:ascii="Calibri" w:cs="Calibri" w:eastAsia="Calibri" w:hAnsi="Calibri"/>
          <w:sz w:val="20"/>
          <w:szCs w:val="20"/>
        </w:rPr>
        <w:t xml:space="preserve">PARTICULARLY HAZARDOUS SUBSTANCE. 4-Methoxyphenol and serotonin creatinine sulfate are both classified GHS Reproductive toxicity Category 2 (suspected of damaging fertility or the unborn child). Reproductive toxins are one of the three categories that define a particularly hazardous substance. Sections 9-11 of this SOP are mandatory and apply to all compounds covered here.</w:t>
      </w:r>
    </w:p>
    <w:p>
      <w:pPr>
        <w:pStyle w:val="ListParagraph"/>
        <w:numPr>
          <w:ilvl w:val="0"/>
          <w:numId w:val="2"/>
        </w:numPr>
        <w:spacing w:after="100" w:line="260"/>
      </w:pPr>
      <w:r>
        <w:rPr>
          <w:rFonts w:ascii="Calibri" w:cs="Calibri" w:eastAsia="Calibri" w:hAnsi="Calibri"/>
          <w:sz w:val="20"/>
          <w:szCs w:val="20"/>
        </w:rPr>
        <w:t xml:space="preserve">Stock chemicals: 4-methoxyphenol (100 g solid), serotonin creatinine sulfate monohydrate (1 g solid), acetylcholine chloride (25 g solid), resazurin sodium salt (15 g and 50 g solids), poly(I:C) HMW (50 mg). Intermediates and working solutions: aqueous or DMSO stock solutions and dilute working solutions in filtered seawater or buffer, used to induce spawning in bivalves (serotonin), to test cholinergic responses (acetylcholine), as a metabolic viability indicator (resazurin/alamarBlue), as an immune stimulant (poly(I:C)), and as a polymerization inhibitor or test compound (4-methoxyphenol). Wastes: unused solids, stock and working solutions, treated seawater and assay plates, and contaminated debris.</w:t>
      </w:r>
    </w:p>
    <w:p>
      <w:pPr>
        <w:pStyle w:val="ListParagraph"/>
        <w:numPr>
          <w:ilvl w:val="0"/>
          <w:numId w:val="2"/>
        </w:numPr>
        <w:spacing w:after="100" w:line="260"/>
      </w:pPr>
      <w:r>
        <w:rPr>
          <w:rFonts w:ascii="Calibri" w:cs="Calibri" w:eastAsia="Calibri" w:hAnsi="Calibri"/>
          <w:sz w:val="20"/>
          <w:szCs w:val="20"/>
        </w:rPr>
        <w:t xml:space="preserve">The common hazard across this group is powder handling. All five are supplied as solids or lyophilized powders, and weighing them generates respirable dust of compounds that are reproductive toxicants, sensitizers or biologically active at low doses.</w:t>
      </w:r>
    </w:p>
    <w:p>
      <w:pPr>
        <w:pStyle w:val="ListParagraph"/>
        <w:numPr>
          <w:ilvl w:val="0"/>
          <w:numId w:val="2"/>
        </w:numPr>
        <w:spacing w:after="100" w:line="260"/>
      </w:pPr>
      <w:r>
        <w:rPr>
          <w:rFonts w:ascii="Calibri" w:cs="Calibri" w:eastAsia="Calibri" w:hAnsi="Calibri"/>
          <w:sz w:val="20"/>
          <w:szCs w:val="20"/>
        </w:rPr>
        <w:t xml:space="preserve">Routes of exposure: inhalation of dust (primary), skin contact and absorption, eye contact, ingestion.</w:t>
      </w:r>
    </w:p>
    <w:p>
      <w:pPr>
        <w:pStyle w:val="ListParagraph"/>
        <w:numPr>
          <w:ilvl w:val="0"/>
          <w:numId w:val="2"/>
        </w:numPr>
        <w:spacing w:after="100" w:line="260"/>
      </w:pPr>
      <w:r>
        <w:rPr>
          <w:rFonts w:ascii="Calibri" w:cs="Calibri" w:eastAsia="Calibri" w:hAnsi="Calibri"/>
          <w:sz w:val="20"/>
          <w:szCs w:val="20"/>
        </w:rPr>
        <w:t xml:space="preserve">How exposure might occur: weighing powder, transferring solid, dissolving and vortexing, pipetting stock solutions, dosing assay plates or spawning containers, and contact with contaminated balance or bench surfaces.</w:t>
      </w:r>
    </w:p>
    <w:p>
      <w:pPr>
        <w:pStyle w:val="ListParagraph"/>
        <w:numPr>
          <w:ilvl w:val="0"/>
          <w:numId w:val="2"/>
        </w:numPr>
        <w:spacing w:after="100" w:line="260"/>
      </w:pPr>
      <w:r>
        <w:rPr>
          <w:rFonts w:ascii="Calibri" w:cs="Calibri" w:eastAsia="Calibri" w:hAnsi="Calibri"/>
          <w:sz w:val="20"/>
          <w:szCs w:val="20"/>
        </w:rPr>
        <w:t xml:space="preserve">Target organs: 4-methoxyphenol - reproductive system, skin (sensitization), eyes, and the aquatic environment (acute aquatic toxicity Category 2, chronic Category 3). Serotonin creatinine sulfate - reproductive system; it is a neurotransmitter and is biologically active at low doses. Acetylcholine chloride - eyes, skin, respiratory tract; as a cholinergic agonist it can in principle produce systemic cholinergic effects at high dose. Resazurin sodium salt - eyes, skin, respiratory tract (irritant). Poly(I:C) - a synthetic double-stranded RNA immune stimulant; it is a potent interferon inducer and can cause a febrile inflammatory response if injected or absorbed, and is treated as biologically active rather than chemically toxic.</w:t>
      </w:r>
    </w:p>
    <w:p>
      <w:pPr>
        <w:pStyle w:val="ListParagraph"/>
        <w:numPr>
          <w:ilvl w:val="0"/>
          <w:numId w:val="2"/>
        </w:numPr>
        <w:spacing w:after="100" w:line="260"/>
      </w:pPr>
      <w:r>
        <w:rPr>
          <w:rFonts w:ascii="Calibri" w:cs="Calibri" w:eastAsia="Calibri" w:hAnsi="Calibri"/>
          <w:sz w:val="20"/>
          <w:szCs w:val="20"/>
        </w:rPr>
        <w:t xml:space="preserve">Signs and symptoms of exposure: eye redness and irritation; skin redness, itching or allergic dermatitis (4-methoxyphenol is a skin sensitizer Category 1); coughing and airway irritation from dust (resazurin and acetylcholine chloride are STOT-single Category 3, respiratory irritation). Reproductive effects produce no acute signs.</w:t>
      </w:r>
    </w:p>
    <w:p>
      <w:pPr>
        <w:pStyle w:val="ListParagraph"/>
        <w:numPr>
          <w:ilvl w:val="0"/>
          <w:numId w:val="2"/>
        </w:numPr>
        <w:spacing w:after="100" w:line="260"/>
      </w:pPr>
      <w:r>
        <w:rPr>
          <w:rFonts w:ascii="Calibri" w:cs="Calibri" w:eastAsia="Calibri" w:hAnsi="Calibri"/>
          <w:sz w:val="20"/>
          <w:szCs w:val="20"/>
        </w:rPr>
        <w:t xml:space="preserve">GHS classification (from MyChem / SDS): 4-Methoxyphenol - Acute toxicity Category 4 (oral); Reproductive toxicity Category 2; Skin sensitization Category 1; Serious eye damage/eye irritation Category 2A; Acute aquatic toxicity Category 2; Chronic aquatic toxicity Category 3. Serotonin creatinine sulfate - Reproductive toxicity Category 2. Acetylcholine chloride - Serious eye damage/eye irritation Category 2A; Skin corrosion/irritation Category 2; STOT-single Category 3 (respiratory irritation). Resazurin sodium salt - Serious eye damage/eye irritation Category 2A; Skin corrosion/irritation Category 2; STOT-single Category 3 (respiratory irritation). Poly(I:C) - not classified.</w:t>
      </w:r>
    </w:p>
    <w:p>
      <w:pPr>
        <w:pStyle w:val="ListParagraph"/>
        <w:numPr>
          <w:ilvl w:val="0"/>
          <w:numId w:val="2"/>
        </w:numPr>
        <w:spacing w:after="100" w:line="260"/>
      </w:pPr>
      <w:r>
        <w:rPr>
          <w:rFonts w:ascii="Calibri" w:cs="Calibri" w:eastAsia="Calibri" w:hAnsi="Calibri"/>
          <w:sz w:val="20"/>
          <w:szCs w:val="20"/>
        </w:rPr>
        <w:t xml:space="preserve">No OSHA PEL, WISHA PEL or ACGIH TLV has been established for any of these compounds. Control is by dust containment, designated area and work practice.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weighing and transfer of these solids, and all preparation of stock solutions, is performed inside the certified chemical fume hood in FTR 209 with the analytical balance placed inside the hood, on a disposable absorbent liner, with the sash at or below the marked working height. Any chemical fume hood used must be tested and passed by EH&amp;S. Weighing these powders on an open bench balance is prohibited.</w:t>
      </w:r>
    </w:p>
    <w:p>
      <w:pPr>
        <w:pStyle w:val="ListParagraph"/>
        <w:numPr>
          <w:ilvl w:val="0"/>
          <w:numId w:val="2"/>
        </w:numPr>
        <w:spacing w:after="100" w:line="260"/>
      </w:pPr>
      <w:r>
        <w:rPr>
          <w:rFonts w:ascii="Calibri" w:cs="Calibri" w:eastAsia="Calibri" w:hAnsi="Calibri"/>
          <w:sz w:val="20"/>
          <w:szCs w:val="20"/>
        </w:rPr>
        <w:t xml:space="preserve">Where the supplier offers the compound pre-weighed or as a solution, that form is preferred and avoids the powder-handling step entirely.</w:t>
      </w:r>
    </w:p>
    <w:p>
      <w:pPr>
        <w:pStyle w:val="ListParagraph"/>
        <w:numPr>
          <w:ilvl w:val="0"/>
          <w:numId w:val="2"/>
        </w:numPr>
        <w:spacing w:after="100" w:line="260"/>
      </w:pPr>
      <w:r>
        <w:rPr>
          <w:rFonts w:ascii="Calibri" w:cs="Calibri" w:eastAsia="Calibri" w:hAnsi="Calibri"/>
          <w:sz w:val="20"/>
          <w:szCs w:val="20"/>
        </w:rPr>
        <w:t xml:space="preserve">Dissolution and vortexing are done with the tube capped, inside the hood.</w:t>
      </w:r>
    </w:p>
    <w:p>
      <w:pPr>
        <w:pStyle w:val="ListParagraph"/>
        <w:numPr>
          <w:ilvl w:val="0"/>
          <w:numId w:val="2"/>
        </w:numPr>
        <w:spacing w:after="100" w:line="260"/>
      </w:pPr>
      <w:r>
        <w:rPr>
          <w:rFonts w:ascii="Calibri" w:cs="Calibri" w:eastAsia="Calibri" w:hAnsi="Calibri"/>
          <w:sz w:val="20"/>
          <w:szCs w:val="20"/>
        </w:rPr>
        <w:t xml:space="preserve">Once in solution, dilute working solutions may be handled at the bench or in the biological safety cabinet for cell and larval work.</w:t>
      </w:r>
    </w:p>
    <w:p>
      <w:pPr>
        <w:pStyle w:val="ListParagraph"/>
        <w:numPr>
          <w:ilvl w:val="0"/>
          <w:numId w:val="2"/>
        </w:numPr>
        <w:spacing w:after="100" w:line="260"/>
      </w:pPr>
      <w:r>
        <w:rPr>
          <w:rFonts w:ascii="Calibri" w:cs="Calibri" w:eastAsia="Calibri" w:hAnsi="Calibri"/>
          <w:sz w:val="20"/>
          <w:szCs w:val="20"/>
        </w:rPr>
        <w:t xml:space="preserve">Poly(I:C) is handled with aseptic technique in the biological safety cabinet after reconstitution, both to protect the reagent and to control aerosol.</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Because 4-methoxyphenol is a skin sensitizer and a suspected reproductive toxicant, disposable chemically resistant sleeves are worn for all powder weighing, and a chemically resistant apron plus face shield is worn for spill cleanup.</w:t>
      </w:r>
    </w:p>
    <w:p>
      <w:pPr>
        <w:pStyle w:val="ListParagraph"/>
        <w:numPr>
          <w:ilvl w:val="0"/>
          <w:numId w:val="2"/>
        </w:numPr>
        <w:spacing w:after="100" w:line="260"/>
      </w:pPr>
      <w:r>
        <w:rPr>
          <w:rFonts w:ascii="Calibri" w:cs="Calibri" w:eastAsia="Calibri" w:hAnsi="Calibri"/>
          <w:sz w:val="20"/>
          <w:szCs w:val="20"/>
        </w:rPr>
        <w:t xml:space="preserve">Any lab coat visibly contaminated with these powders is removed, bagged and laundered through the SAFS service or discarded; contaminated coats are never taken home.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DOUBLE 4-6 mil nitrile gloves for weighing and handling 4-methoxyphenol and serotonin creatinine sulfate powders, because both are reproductive toxicants and 4-methoxyphenol is a sensitizer. Single 6-8 mil nitrile gloves are acceptable for acetylcholine chloride, resazurin and poly(I:C) powders and for all dilute working solutions.</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Change gloves immediately on any visible contact with powder or solution, and before leaving the designated area.</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powder weighing and stock preparation. Safety glasses with side shields are acceptable for handling dilute working solutions at the bench. A face shield over goggles is required for spill cleanup.</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all powder handling is confined to the certified chemical fume hood as written.</w:t>
      </w:r>
    </w:p>
    <w:p>
      <w:pPr>
        <w:pStyle w:val="ListParagraph"/>
        <w:numPr>
          <w:ilvl w:val="0"/>
          <w:numId w:val="2"/>
        </w:numPr>
        <w:spacing w:after="100" w:line="260"/>
      </w:pPr>
      <w:r>
        <w:rPr>
          <w:rFonts w:ascii="Calibri" w:cs="Calibri" w:eastAsia="Calibri" w:hAnsi="Calibri"/>
          <w:sz w:val="20"/>
          <w:szCs w:val="20"/>
        </w:rPr>
        <w:t xml:space="preserve">These compounds in POWDER form are never permitted to be handled outside of the chemical fume hood. Dilute working solutions may be used at the bench or in the biological safety cabinet.</w:t>
      </w:r>
    </w:p>
    <w:p>
      <w:pPr>
        <w:pStyle w:val="ListParagraph"/>
        <w:numPr>
          <w:ilvl w:val="0"/>
          <w:numId w:val="2"/>
        </w:numPr>
        <w:spacing w:after="100" w:line="260"/>
      </w:pPr>
      <w:r>
        <w:rPr>
          <w:rFonts w:ascii="Calibri" w:cs="Calibri" w:eastAsia="Calibri" w:hAnsi="Calibri"/>
          <w:sz w:val="20"/>
          <w:szCs w:val="20"/>
        </w:rPr>
        <w:t xml:space="preserve">Respiratory protection may be needed if a dust or aerosol hazard is present and work is conducted outside of the fume hood; because such work is prohibited here, no respirator is needed. If any procedure may pose such a hazard, it should be eliminated or strictly isolated.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Where air-purifying respirators are appropriate, use a full-face respirator with a P100 particulate filter as a backup to engineering controls.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no more than 5 g of any of these solids is weighed in a single operation, and stock solutions are prepared at the smallest practical volume.</w:t>
      </w:r>
    </w:p>
    <w:p>
      <w:pPr>
        <w:pStyle w:val="ListParagraph"/>
        <w:numPr>
          <w:ilvl w:val="0"/>
          <w:numId w:val="2"/>
        </w:numPr>
        <w:spacing w:after="100" w:line="260"/>
      </w:pPr>
      <w:r>
        <w:rPr>
          <w:rFonts w:ascii="Calibri" w:cs="Calibri" w:eastAsia="Calibri" w:hAnsi="Calibri"/>
          <w:sz w:val="20"/>
          <w:szCs w:val="20"/>
        </w:rPr>
        <w:t xml:space="preserve">Prepare single-use aliquots of stock solutions so that the powder container is opened as few times as possible over the life of the reagent.</w:t>
      </w:r>
    </w:p>
    <w:p>
      <w:pPr>
        <w:pStyle w:val="ListParagraph"/>
        <w:numPr>
          <w:ilvl w:val="0"/>
          <w:numId w:val="2"/>
        </w:numPr>
        <w:spacing w:after="100" w:line="260"/>
      </w:pPr>
      <w:r>
        <w:rPr>
          <w:rFonts w:ascii="Calibri" w:cs="Calibri" w:eastAsia="Calibri" w:hAnsi="Calibri"/>
          <w:sz w:val="20"/>
          <w:szCs w:val="20"/>
        </w:rPr>
        <w:t xml:space="preserve">4-Methoxyphenol is a skin sensitizer: any lab member who has previously reacted to it must not handle it, and the PI must be informed so the task can be reassigned.</w:t>
      </w:r>
    </w:p>
    <w:p>
      <w:pPr>
        <w:pStyle w:val="ListParagraph"/>
        <w:numPr>
          <w:ilvl w:val="0"/>
          <w:numId w:val="2"/>
        </w:numPr>
        <w:spacing w:after="100" w:line="260"/>
      </w:pPr>
      <w:r>
        <w:rPr>
          <w:rFonts w:ascii="Calibri" w:cs="Calibri" w:eastAsia="Calibri" w:hAnsi="Calibri"/>
          <w:sz w:val="20"/>
          <w:szCs w:val="20"/>
        </w:rPr>
        <w:t xml:space="preserve">4-Methoxyphenol is acutely toxic to aquatic life (Category 2). Never discharge it, or seawater containing it, to a sink, a drain, a seawater return line, or any system connected to natural waters. This is the single most important environmental control in this SOP.</w:t>
      </w:r>
    </w:p>
    <w:p>
      <w:pPr>
        <w:pStyle w:val="ListParagraph"/>
        <w:numPr>
          <w:ilvl w:val="0"/>
          <w:numId w:val="2"/>
        </w:numPr>
        <w:spacing w:after="100" w:line="260"/>
      </w:pPr>
      <w:r>
        <w:rPr>
          <w:rFonts w:ascii="Calibri" w:cs="Calibri" w:eastAsia="Calibri" w:hAnsi="Calibri"/>
          <w:sz w:val="20"/>
          <w:szCs w:val="20"/>
        </w:rPr>
        <w:t xml:space="preserve">Serotonin creatinine sulfate used for spawning induction is prepared and injected or applied with care; used spawning seawater is collected as chemical waste and is not returned to a flow-through system.</w:t>
      </w:r>
    </w:p>
    <w:p>
      <w:pPr>
        <w:pStyle w:val="ListParagraph"/>
        <w:numPr>
          <w:ilvl w:val="0"/>
          <w:numId w:val="2"/>
        </w:numPr>
        <w:spacing w:after="100" w:line="260"/>
      </w:pPr>
      <w:r>
        <w:rPr>
          <w:rFonts w:ascii="Calibri" w:cs="Calibri" w:eastAsia="Calibri" w:hAnsi="Calibri"/>
          <w:sz w:val="20"/>
          <w:szCs w:val="20"/>
        </w:rPr>
        <w:t xml:space="preserve">All containers - powder bottles, stock tubes, working solution bottles and waste containers - must be labeled with the full chemical name, concentration, solvent, the applicable hazard words ('REPRODUCTIVE TOXIN', 'SENSITIZER', 'TOXIC TO AQUATIC LIFE'), the date and the preparer's initials.</w:t>
      </w:r>
    </w:p>
    <w:p>
      <w:pPr>
        <w:pStyle w:val="ListParagraph"/>
        <w:numPr>
          <w:ilvl w:val="0"/>
          <w:numId w:val="2"/>
        </w:numPr>
        <w:spacing w:after="100" w:line="260"/>
      </w:pPr>
      <w:r>
        <w:rPr>
          <w:rFonts w:ascii="Calibri" w:cs="Calibri" w:eastAsia="Calibri" w:hAnsi="Calibri"/>
          <w:sz w:val="20"/>
          <w:szCs w:val="20"/>
        </w:rPr>
        <w:t xml:space="preserve">Powder weighing is performed only when at least one other person is present in or immediately adjacent to FTR 209. Unattended operations with open powder are prohibited; assay plates and treated cultures incubating in closed, labeled vessels are permitted.</w:t>
      </w:r>
    </w:p>
    <w:p>
      <w:pPr>
        <w:pStyle w:val="ListParagraph"/>
        <w:numPr>
          <w:ilvl w:val="0"/>
          <w:numId w:val="2"/>
        </w:numPr>
        <w:spacing w:after="100" w:line="260"/>
      </w:pPr>
      <w:r>
        <w:rPr>
          <w:rFonts w:ascii="Calibri" w:cs="Calibri" w:eastAsia="Calibri" w:hAnsi="Calibri"/>
          <w:sz w:val="20"/>
          <w:szCs w:val="20"/>
        </w:rPr>
        <w:t xml:space="preserve">A 'REPRODUCTIVE TOXICANT IN USE - PARTICULARLY HAZARDOUS SUBSTANCE' sign is posted on the fume hood sash while 4-methoxyphenol or serotonin is being weighed.</w:t>
      </w:r>
    </w:p>
    <w:p>
      <w:pPr>
        <w:pStyle w:val="ListParagraph"/>
        <w:numPr>
          <w:ilvl w:val="0"/>
          <w:numId w:val="2"/>
        </w:numPr>
        <w:spacing w:after="100" w:line="260"/>
      </w:pPr>
      <w:r>
        <w:rPr>
          <w:rFonts w:ascii="Calibri" w:cs="Calibri" w:eastAsia="Calibri" w:hAnsi="Calibri"/>
          <w:sz w:val="20"/>
          <w:szCs w:val="20"/>
        </w:rPr>
        <w:t xml:space="preserve">Storage: solids are stored in labeled, closed secondary containers - 4-methoxyphenol in the toxics cabinet in FTR 209 at room temperature, protected from light; serotonin creatinine sulfate, acetylcholine chloride and poly(I:C) refrigerated or frozen per the manufacturer; resazurin at room temperature protected from light. Secondary containers holding reproductive toxicants are posted with the PHS designation. Segregate from oxidizers and strong acids.</w:t>
      </w:r>
    </w:p>
    <w:p>
      <w:pPr>
        <w:pStyle w:val="ListParagraph"/>
        <w:numPr>
          <w:ilvl w:val="0"/>
          <w:numId w:val="2"/>
        </w:numPr>
        <w:spacing w:after="100" w:line="260"/>
      </w:pPr>
      <w:r>
        <w:rPr>
          <w:rFonts w:ascii="Calibri" w:cs="Calibri" w:eastAsia="Calibri" w:hAnsi="Calibri"/>
          <w:sz w:val="20"/>
          <w:szCs w:val="20"/>
        </w:rPr>
        <w:t xml:space="preserve">Transport: containers travel in closed, leak-proof secondary containment.</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remove and bag the absorbent liner, then wipe the work surface and balance with a damp wipe followed by detergent solution, clean water and 70% ethanol;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clean water and dry. Do not brush or blow powder residue.</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 in a closed container.</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these compounds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POWDER spill: do NOT brush, sweep or wipe dry, which aerosolizes the material. If the spill is contained inside the operating fume hood and is less than approximately 5 g, trained staff may clean it up: dampen with water using a wash bottle, wipe up with damp absorbent working from the outside inward, and place all material in a screw-top waste container. Wash the surface with detergent solution followed by clean water.</w:t>
      </w:r>
    </w:p>
    <w:p>
      <w:pPr>
        <w:pStyle w:val="ListParagraph"/>
        <w:numPr>
          <w:ilvl w:val="0"/>
          <w:numId w:val="2"/>
        </w:numPr>
        <w:spacing w:after="100" w:line="260"/>
      </w:pPr>
      <w:r>
        <w:rPr>
          <w:rFonts w:ascii="Calibri" w:cs="Calibri" w:eastAsia="Calibri" w:hAnsi="Calibri"/>
          <w:sz w:val="20"/>
          <w:szCs w:val="20"/>
        </w:rPr>
        <w:t xml:space="preserve">A powder spill outside the fume hood, or larger than approximately 5 g: restrict access, post a sign, and contact EH&amp;S at 206-543-0467 during business hours or via 9-1-1 after hours.</w:t>
      </w:r>
    </w:p>
    <w:p>
      <w:pPr>
        <w:pStyle w:val="ListParagraph"/>
        <w:numPr>
          <w:ilvl w:val="0"/>
          <w:numId w:val="2"/>
        </w:numPr>
        <w:spacing w:after="100" w:line="260"/>
      </w:pPr>
      <w:r>
        <w:rPr>
          <w:rFonts w:ascii="Calibri" w:cs="Calibri" w:eastAsia="Calibri" w:hAnsi="Calibri"/>
          <w:sz w:val="20"/>
          <w:szCs w:val="20"/>
        </w:rPr>
        <w:t xml:space="preserve">LIQUID spill - less than 100 mL of a dilute working solution: may be handled by trained staff wearing goggles, nitrile gloves and a lab coat. Absorb with absorbent pads from the outside inward, place in a screw-top waste container, and wash the area with detergent solution and clean water.</w:t>
      </w:r>
    </w:p>
    <w:p>
      <w:pPr>
        <w:pStyle w:val="ListParagraph"/>
        <w:numPr>
          <w:ilvl w:val="0"/>
          <w:numId w:val="2"/>
        </w:numPr>
        <w:spacing w:after="100" w:line="260"/>
      </w:pPr>
      <w:r>
        <w:rPr>
          <w:rFonts w:ascii="Calibri" w:cs="Calibri" w:eastAsia="Calibri" w:hAnsi="Calibri"/>
          <w:sz w:val="20"/>
          <w:szCs w:val="20"/>
        </w:rPr>
        <w:t xml:space="preserve">Any spill of a concentrated stock solution, any liquid spill greater than 100 mL, and any spill in which a person may have been exposed: restrict access, post a sign, and contact EH&amp;S.</w:t>
      </w:r>
    </w:p>
    <w:p>
      <w:pPr>
        <w:pStyle w:val="ListParagraph"/>
        <w:numPr>
          <w:ilvl w:val="0"/>
          <w:numId w:val="2"/>
        </w:numPr>
        <w:spacing w:after="100" w:line="260"/>
      </w:pPr>
      <w:r>
        <w:rPr>
          <w:rFonts w:ascii="Calibri" w:cs="Calibri" w:eastAsia="Calibri" w:hAnsi="Calibri"/>
          <w:sz w:val="20"/>
          <w:szCs w:val="20"/>
        </w:rPr>
        <w:t xml:space="preserve">Any spill of 4-methoxyphenol or a solution containing it that reaches or could reach a sink, floor drain, or seawater line must be reported to EH&amp;S immediately because of its acute aquatic toxicity, even if the quantity is small.</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face shield for powder or concentrated stock, double nitrile gloves, buttoned lab coat with disposable chemically resistant sleeves and apron,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CHEMICAL SPILL' on the door for any powder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area thoroughly with detergent solution followed by clean water, then 70% ethanol,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place in a screw-top container, label with a UW Hazardous Waste Label naming the compound and 'spill debris',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remove contaminated gloves and clothing and wash the affected skin with soap and copious running water for at least 15 minutes, using the safety shower for anything more than a small contact; use a clean lab coat or spare clothing for cover-up. Seek medical evaluation for any rash or persistent irritation, particularly after 4-methoxyphenol contact.</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seek medical evaluation.</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get medical help if coughing or irritation persists.</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w:t>
      </w:r>
    </w:p>
    <w:p>
      <w:pPr>
        <w:pStyle w:val="ListParagraph"/>
        <w:numPr>
          <w:ilvl w:val="0"/>
          <w:numId w:val="2"/>
        </w:numPr>
        <w:spacing w:after="100" w:line="260"/>
      </w:pPr>
      <w:r>
        <w:rPr>
          <w:rFonts w:ascii="Calibri" w:cs="Calibri" w:eastAsia="Calibri" w:hAnsi="Calibri"/>
          <w:sz w:val="20"/>
          <w:szCs w:val="20"/>
        </w:rPr>
        <w:t xml:space="preserve">Sharps injury or accidental injection: this is significant for serotonin, acetylcholine and poly(I:C), all of which are biologically active. Scrub the exposed area thoroughly for 15 minutes using warm water and sudsing soap and seek immediate medical evaluation; call 9-1-1 if any systemic symptoms develop.</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solids; (b) concentrated stock solutions; (c) dilute working solutions, treated seawater and spent assay plates; (d) contaminated solid debris (weigh boats, spatulas, tips, plates, gloves, liners).</w:t>
      </w:r>
    </w:p>
    <w:p>
      <w:pPr>
        <w:pStyle w:val="ListParagraph"/>
        <w:numPr>
          <w:ilvl w:val="0"/>
          <w:numId w:val="2"/>
        </w:numPr>
        <w:spacing w:after="100" w:line="260"/>
      </w:pPr>
      <w:r>
        <w:rPr>
          <w:rFonts w:ascii="Calibri" w:cs="Calibri" w:eastAsia="Calibri" w:hAnsi="Calibri"/>
          <w:sz w:val="20"/>
          <w:szCs w:val="20"/>
        </w:rPr>
        <w:t xml:space="preserve">4-Methoxyphenol and any solution containing it must NEVER be poured down the drain or discharged to a seawater system - it is acutely toxic to aquatic life at Category 2. Collect all of it as hazardous waste.</w:t>
      </w:r>
    </w:p>
    <w:p>
      <w:pPr>
        <w:pStyle w:val="ListParagraph"/>
        <w:numPr>
          <w:ilvl w:val="0"/>
          <w:numId w:val="2"/>
        </w:numPr>
        <w:spacing w:after="100" w:line="260"/>
      </w:pPr>
      <w:r>
        <w:rPr>
          <w:rFonts w:ascii="Calibri" w:cs="Calibri" w:eastAsia="Calibri" w:hAnsi="Calibri"/>
          <w:sz w:val="20"/>
          <w:szCs w:val="20"/>
        </w:rPr>
        <w:t xml:space="preserve">Seawater used for serotonin-induced spawning, and any seawater containing these compounds, is collected as chemical waste rather than returned to a flow-through or recirculating system, unless EH&amp;S has confirmed in writing that a specific dilute solution may be sewered.</w:t>
      </w:r>
    </w:p>
    <w:p>
      <w:pPr>
        <w:pStyle w:val="ListParagraph"/>
        <w:numPr>
          <w:ilvl w:val="0"/>
          <w:numId w:val="2"/>
        </w:numPr>
        <w:spacing w:after="100" w:line="260"/>
      </w:pPr>
      <w:r>
        <w:rPr>
          <w:rFonts w:ascii="Calibri" w:cs="Calibri" w:eastAsia="Calibri" w:hAnsi="Calibri"/>
          <w:sz w:val="20"/>
          <w:szCs w:val="20"/>
        </w:rPr>
        <w:t xml:space="preserve">Spent resazurin/alamarBlue assay plates and dilute acetylcholine solutions may contain no other hazardous constituent; nonetheless, collect them as chemical waste unless EH&amp;S guidance for that specific solution permits sewer disposal.</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HDPE container with a securely closable screw-top lid, kept closed except when actively adding waste, in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Solid debris is collected in a lined, closed, labeled solid hazardous waste container within the designated area.</w:t>
      </w:r>
    </w:p>
    <w:p>
      <w:pPr>
        <w:pStyle w:val="ListParagraph"/>
        <w:numPr>
          <w:ilvl w:val="0"/>
          <w:numId w:val="2"/>
        </w:numPr>
        <w:spacing w:after="100" w:line="260"/>
      </w:pPr>
      <w:r>
        <w:rPr>
          <w:rFonts w:ascii="Calibri" w:cs="Calibri" w:eastAsia="Calibri" w:hAnsi="Calibri"/>
          <w:sz w:val="20"/>
          <w:szCs w:val="20"/>
        </w:rPr>
        <w:t xml:space="preserve">Poly(I:C) is a biological reagent as well as a chemical; treated cultures containing live cells or organisms follow the laboratory's biological waste procedures for the biological component, but any culture that also contains a chemical hazard from this SOP is routed as chemical waste. Contact EH&amp;S about mixed waste before generating it.</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The laboratory holds two containers of resazurin sodium salt (15 g and 50 g) and 100 g of 4-methoxyphenol - quantities well beyond likely near-term use. The PI should review these annually and surplus the excess through EH&amp;S rather than storing it indefinitely.</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Weighing solids and preparing stock solutions. Inside the certified fume hood, with the balance in the hood and an absorbent liner in place, wearing goggles, gloves as specified in Section 3, lab coat and sleeves: weigh the solid into a disposable weigh boat with a disposable spatula, transfer to a labeled tube, add the specified solvent (nuclease-free water, buffer, filtered seawater, or DMSO per SOP-02), cap, and vortex to dissolve. Aliquot into single-use tubes. Label each with compound, concentration, solvent, date and initials. Discard the weigh boat, spatula, tips and liner into the closed solid waste container. Wipe the balance and hood.</w:t>
      </w:r>
    </w:p>
    <w:p>
      <w:pPr>
        <w:pStyle w:val="ListParagraph"/>
        <w:numPr>
          <w:ilvl w:val="0"/>
          <w:numId w:val="2"/>
        </w:numPr>
        <w:spacing w:after="100" w:line="260"/>
      </w:pPr>
      <w:r>
        <w:rPr>
          <w:rFonts w:ascii="Calibri" w:cs="Calibri" w:eastAsia="Calibri" w:hAnsi="Calibri"/>
          <w:sz w:val="20"/>
          <w:szCs w:val="20"/>
        </w:rPr>
        <w:t xml:space="preserve">Procedure B - Serotonin-induced spawning of bivalves. Prepare serotonin creatinine sulfate stock per Procedure A. Apply or inject the specified dose per the experimental protocol, wearing nitrile gloves, safety glasses and a lab coat. Contain all spawning seawater; collect it as chemical waste. Do not discharge to a drain or seawater return.</w:t>
      </w:r>
    </w:p>
    <w:p>
      <w:pPr>
        <w:pStyle w:val="ListParagraph"/>
        <w:numPr>
          <w:ilvl w:val="0"/>
          <w:numId w:val="2"/>
        </w:numPr>
        <w:spacing w:after="100" w:line="260"/>
      </w:pPr>
      <w:r>
        <w:rPr>
          <w:rFonts w:ascii="Calibri" w:cs="Calibri" w:eastAsia="Calibri" w:hAnsi="Calibri"/>
          <w:sz w:val="20"/>
          <w:szCs w:val="20"/>
        </w:rPr>
        <w:t xml:space="preserve">Procedure C - Resazurin (alamarBlue) viability assay. Prepare stock per Procedure A, protected from light. Add working solution to assay plates in the biological safety cabinet or at the bench, incubate, and read fluorescence. Collect spent plates and solutions as chemical waste.</w:t>
      </w:r>
    </w:p>
    <w:p>
      <w:pPr>
        <w:pStyle w:val="ListParagraph"/>
        <w:numPr>
          <w:ilvl w:val="0"/>
          <w:numId w:val="2"/>
        </w:numPr>
        <w:spacing w:after="100" w:line="260"/>
      </w:pPr>
      <w:r>
        <w:rPr>
          <w:rFonts w:ascii="Calibri" w:cs="Calibri" w:eastAsia="Calibri" w:hAnsi="Calibri"/>
          <w:sz w:val="20"/>
          <w:szCs w:val="20"/>
        </w:rPr>
        <w:t xml:space="preserve">Procedure D - Poly(I:C) reconstitution and use. Reconstitute in sterile endotoxin-free saline or medium in the biological safety cabinet using aseptic technique, wearing nitrile gloves, safety glasses and a lab coat. Aliquot and freeze. Handle as a biologically active immune stimulant; avoid needlestick.</w:t>
      </w:r>
    </w:p>
    <w:p>
      <w:pPr>
        <w:pStyle w:val="ListParagraph"/>
        <w:numPr>
          <w:ilvl w:val="0"/>
          <w:numId w:val="2"/>
        </w:numPr>
        <w:spacing w:after="100" w:line="260"/>
      </w:pPr>
      <w:r>
        <w:rPr>
          <w:rFonts w:ascii="Calibri" w:cs="Calibri" w:eastAsia="Calibri" w:hAnsi="Calibri"/>
          <w:sz w:val="20"/>
          <w:szCs w:val="20"/>
        </w:rPr>
        <w:t xml:space="preserve">Procedure E - 4-Methoxyphenol use. Weigh and dissolve per Procedure A inside the fume hood. Contain all solutions rigorously; assume that any release reaching water is an environmental release requiring EH&amp;S notification.</w:t>
      </w:r>
    </w:p>
    <w:p>
      <w:pPr>
        <w:pStyle w:val="ListParagraph"/>
        <w:numPr>
          <w:ilvl w:val="0"/>
          <w:numId w:val="2"/>
        </w:numPr>
        <w:spacing w:after="100" w:line="260"/>
      </w:pPr>
      <w:r>
        <w:rPr>
          <w:rFonts w:ascii="Calibri" w:cs="Calibri" w:eastAsia="Calibri" w:hAnsi="Calibri"/>
          <w:sz w:val="20"/>
          <w:szCs w:val="20"/>
        </w:rPr>
        <w:t xml:space="preserve">Prohibited: weighing any of these solids outside the fume hood; drain or seawater discharge of 4-methoxyphenol; handling of 4-methoxyphenol by a previously sensitized individual; use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Yes. Serotonin creatinine sulfate is used to induce spawning in bivalves, acetylcholine chloride may be used in physiological assays, and poly(I:C) may be used as an immune stimulant in live animals. All such use in live animals will be documented and approved by IACUC before the work begins, and the approved protocol number recorded here. Personnel handling dosed animals, their holding water and their waste must wear nitrile gloves, safety glasses and a lab coat; avoid aerosolizing holding water; keep dosing containers covered and posted; and collect all holding water, and any bedding, carcasses or cleaning materials from dosed animals, as chemical waste rather than discharging to a drain or seawater return. Tanks, nets and tubing used with dosed animals are labeled, dedicated where practical, and decontaminated per Section 10 before other use. 4-Methoxyphenol is not administered to animals.</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compounds covered by this SOP must be trained on this SOP prior to starting work. They must also review the SDS for each compound,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4-Methoxyphenol and serotonin creatinine sulfate are particularly hazardous substances (reproductive toxicity Category 2). Written authorization from the Principal Investigator is required before any individual may work with them,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SDSs; (4) documented instruction on powder weighing technique inside a fume hood and on the aquatic-release prohibition for 4-methoxyphenol.</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run of Procedure A, observed and signed off by the PI or a designated experienced lab member, before weighing these solids independently.</w:t>
      </w:r>
    </w:p>
    <w:p>
      <w:pPr>
        <w:pStyle w:val="ListParagraph"/>
        <w:numPr>
          <w:ilvl w:val="0"/>
          <w:numId w:val="2"/>
        </w:numPr>
        <w:spacing w:after="100" w:line="260"/>
      </w:pPr>
      <w:r>
        <w:rPr>
          <w:rFonts w:ascii="Calibri" w:cs="Calibri" w:eastAsia="Calibri" w:hAnsi="Calibri"/>
          <w:sz w:val="20"/>
          <w:szCs w:val="20"/>
        </w:rPr>
        <w:t xml:space="preserve">Live-animal use of serotonin, acetylcholine or poly(I:C) requires a current IACUC-approved protocol and PI authorization before any dosing occurs.</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or breastfeeding should consult the EH&amp;S Reproductive Health in the Workplace resources and their healthcare provider and are encouraged to discuss alternative task assignment with the PI, because 4-methoxyphenol and serotonin creatinine sulfate are suspected reproductive toxicants. Such consultation is voluntary and confidential.</w:t>
      </w:r>
    </w:p>
    <w:p>
      <w:pPr>
        <w:pStyle w:val="ListParagraph"/>
        <w:numPr>
          <w:ilvl w:val="0"/>
          <w:numId w:val="2"/>
        </w:numPr>
        <w:spacing w:after="100" w:line="260"/>
      </w:pPr>
      <w:r>
        <w:rPr>
          <w:rFonts w:ascii="Calibri" w:cs="Calibri" w:eastAsia="Calibri" w:hAnsi="Calibri"/>
          <w:sz w:val="20"/>
          <w:szCs w:val="20"/>
        </w:rPr>
        <w:t xml:space="preserve">Any individual who has experienced a skin reaction to 4-methoxyphenol must be reassigned away from that task.</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and balance: remove and bag the absorbent liner as hazardous solid waste; wipe the work surface, sash interior, balance pan and balance housing with a damp wipe (to capture dust rather than raise it), then detergent solution, then clean water, then 70% ethanol; dry.</w:t>
      </w:r>
    </w:p>
    <w:p>
      <w:pPr>
        <w:pStyle w:val="ListParagraph"/>
        <w:numPr>
          <w:ilvl w:val="0"/>
          <w:numId w:val="2"/>
        </w:numPr>
        <w:spacing w:after="100" w:line="260"/>
      </w:pPr>
      <w:r>
        <w:rPr>
          <w:rFonts w:ascii="Calibri" w:cs="Calibri" w:eastAsia="Calibri" w:hAnsi="Calibri"/>
          <w:sz w:val="20"/>
          <w:szCs w:val="20"/>
        </w:rPr>
        <w:t xml:space="preserve">Equipment: wipe pipettors, racks and plate readers with detergent solution then 70% ethanol. Weigh boats and spatulas are disposable and are discarded rather than reused.</w:t>
      </w:r>
    </w:p>
    <w:p>
      <w:pPr>
        <w:pStyle w:val="ListParagraph"/>
        <w:numPr>
          <w:ilvl w:val="0"/>
          <w:numId w:val="2"/>
        </w:numPr>
        <w:spacing w:after="100" w:line="260"/>
      </w:pPr>
      <w:r>
        <w:rPr>
          <w:rFonts w:ascii="Calibri" w:cs="Calibri" w:eastAsia="Calibri" w:hAnsi="Calibri"/>
          <w:sz w:val="20"/>
          <w:szCs w:val="20"/>
        </w:rPr>
        <w:t xml:space="preserve">Glassware: rinse three times inside the fume hood, collecting the first rinse in the appropriate waste container,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Animal exposure equipment (tanks, nets, tubing), if used: drain into the chemical waste container, wash with detergent and water, and rinse three times with clean water before returning the equipment to general use.</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designated areas in Section 11 are the controlled areas and are decontaminated at the end of each session and monthly regardless of use.</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clean water, 70% ethanol, lint-free wipes, disposable absorbent liners.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1 - weighing solids and preparing stock solutions: the certified chemical fume hood in FTR 209, with the analytical balance inside the hood and a disposable absorbent liner in place.</w:t>
      </w:r>
    </w:p>
    <w:p>
      <w:pPr>
        <w:pStyle w:val="ListParagraph"/>
        <w:numPr>
          <w:ilvl w:val="0"/>
          <w:numId w:val="2"/>
        </w:numPr>
        <w:spacing w:after="100" w:line="260"/>
      </w:pPr>
      <w:r>
        <w:rPr>
          <w:rFonts w:ascii="Calibri" w:cs="Calibri" w:eastAsia="Calibri" w:hAnsi="Calibri"/>
          <w:sz w:val="20"/>
          <w:szCs w:val="20"/>
        </w:rPr>
        <w:t xml:space="preserve">DESIGNATED AREA 2 - dosing, assay setup and treated-sample handling: the biological safety cabinet and the immediately adjacent bench in FTR 209, over an absorbent liner.</w:t>
      </w:r>
    </w:p>
    <w:p>
      <w:pPr>
        <w:pStyle w:val="ListParagraph"/>
        <w:numPr>
          <w:ilvl w:val="0"/>
          <w:numId w:val="2"/>
        </w:numPr>
        <w:spacing w:after="100" w:line="260"/>
      </w:pPr>
      <w:r>
        <w:rPr>
          <w:rFonts w:ascii="Calibri" w:cs="Calibri" w:eastAsia="Calibri" w:hAnsi="Calibri"/>
          <w:sz w:val="20"/>
          <w:szCs w:val="20"/>
        </w:rPr>
        <w:t xml:space="preserve">DESIGNATED AREA 3 - if live-animal exposures are conducted: the posted exposure tank area with secondary containment, restricted access, and labeled dedicated tanks, nets and tubing.</w:t>
      </w:r>
    </w:p>
    <w:p>
      <w:pPr>
        <w:pStyle w:val="ListParagraph"/>
        <w:numPr>
          <w:ilvl w:val="0"/>
          <w:numId w:val="2"/>
        </w:numPr>
        <w:spacing w:after="100" w:line="260"/>
      </w:pPr>
      <w:r>
        <w:rPr>
          <w:rFonts w:ascii="Calibri" w:cs="Calibri" w:eastAsia="Calibri" w:hAnsi="Calibri"/>
          <w:sz w:val="20"/>
          <w:szCs w:val="20"/>
        </w:rPr>
        <w:t xml:space="preserve">Designated areas used for 4-methoxyphenol and serotonin creatinine sulfate are posted with a 'DESIGNATED AREA - PARTICULARLY HAZARDOUS SUBSTANCE - REPRODUCTIVE TOXICANT' sign listing the PI, contact number, required PPE and the authorization requirement. The 4-methoxyphenol sign adds 'TOXIC TO AQUATIC LIFE - NO DRAIN DISPOSAL'.</w:t>
      </w:r>
    </w:p>
    <w:p>
      <w:pPr>
        <w:pStyle w:val="ListParagraph"/>
        <w:numPr>
          <w:ilvl w:val="0"/>
          <w:numId w:val="2"/>
        </w:numPr>
        <w:spacing w:after="100" w:line="260"/>
      </w:pPr>
      <w:r>
        <w:rPr>
          <w:rFonts w:ascii="Calibri" w:cs="Calibri" w:eastAsia="Calibri" w:hAnsi="Calibri"/>
          <w:sz w:val="20"/>
          <w:szCs w:val="20"/>
        </w:rPr>
        <w:t xml:space="preserve">Waste containers for these compounds are kept within the designated areas in secondary containment.</w:t>
      </w:r>
    </w:p>
    <w:p>
      <w:pPr>
        <w:pStyle w:val="ListParagraph"/>
        <w:numPr>
          <w:ilvl w:val="0"/>
          <w:numId w:val="2"/>
        </w:numPr>
        <w:spacing w:after="100" w:line="260"/>
      </w:pPr>
      <w:r>
        <w:rPr>
          <w:rFonts w:ascii="Calibri" w:cs="Calibri" w:eastAsia="Calibri" w:hAnsi="Calibri"/>
          <w:sz w:val="20"/>
          <w:szCs w:val="20"/>
        </w:rPr>
        <w:t xml:space="preserve">Storage: labeled closed secondary containers in the toxics cabinet and the refrigerator/freezer in FTR 209, posted with the PHS designation where reproductive toxicants are stored.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SOP-11 Reproductive Toxicants and Bioactive Small Molecules (PHS)</dc:title>
  <dc:creator>Roberts Lab, UW SAFS</dc:creator>
  <dc:description>UW chemical standard operating procedure</dc:description>
  <cp:lastModifiedBy>Un-named</cp:lastModifiedBy>
  <cp:revision>1</cp:revision>
  <dcterms:created xsi:type="dcterms:W3CDTF">2026-09-01T19:22:30.292Z</dcterms:created>
  <dcterms:modified xsi:type="dcterms:W3CDTF">2026-09-01T19:22:30.292Z</dcterms:modified>
</cp:coreProperties>
</file>

<file path=docProps/custom.xml><?xml version="1.0" encoding="utf-8"?>
<Properties xmlns="http://schemas.openxmlformats.org/officeDocument/2006/custom-properties" xmlns:vt="http://schemas.openxmlformats.org/officeDocument/2006/docPropsVTypes"/>
</file>