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gif" ContentType="image/gif"/>
  <Override PartName="/word/media/image4.gif" ContentType="image/gif"/>
  <Override PartName="/word/media/image5.jpeg" ContentType="image/jpe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color w:val="FF0000"/>
        </w:rPr>
      </w:pPr>
      <w:r>
        <w:rPr>
          <w:rFonts w:cs="Calibri" w:cstheme="minorHAnsi"/>
          <w:b/>
          <w:color w:val="FF0000"/>
        </w:rPr>
      </w:r>
    </w:p>
    <w:p>
      <w:pPr>
        <w:pStyle w:val="Normal"/>
        <w:spacing w:before="120" w:after="120"/>
        <w:jc w:val="center"/>
        <w:rPr>
          <w:rFonts w:cs="Calibri" w:cstheme="minorHAnsi"/>
          <w:sz w:val="36"/>
          <w:szCs w:val="36"/>
        </w:rPr>
      </w:pPr>
      <w:r>
        <w:rPr>
          <w:rFonts w:cs="Calibri" w:cstheme="minorHAnsi"/>
          <w:sz w:val="36"/>
          <w:szCs w:val="36"/>
        </w:rPr>
        <w:t>Standard Operating Procedure</w:t>
      </w:r>
    </w:p>
    <w:p>
      <w:pPr>
        <w:pStyle w:val="Normal"/>
        <w:spacing w:before="120" w:after="120"/>
        <w:jc w:val="center"/>
        <w:rPr>
          <w:rFonts w:cs="Calibri" w:cstheme="minorHAnsi"/>
          <w:sz w:val="36"/>
          <w:szCs w:val="36"/>
        </w:rPr>
      </w:pPr>
      <w:r>
        <w:rPr>
          <w:rFonts w:cs="Calibri" w:cstheme="minorHAnsi"/>
          <w:sz w:val="36"/>
          <w:szCs w:val="36"/>
        </w:rPr>
        <w:t xml:space="preserve"> </w:t>
      </w:r>
      <w:r>
        <w:rPr>
          <w:rFonts w:cs="Calibri" w:cstheme="minorHAnsi"/>
          <w:sz w:val="36"/>
          <w:szCs w:val="36"/>
          <w:u w:val="single"/>
        </w:rPr>
        <w:t>Chloroform</w:t>
      </w:r>
      <w:r>
        <w:rPr>
          <w:rFonts w:cs="Calibri" w:cstheme="minorHAnsi"/>
          <w:b/>
          <w:sz w:val="20"/>
          <w:szCs w:val="20"/>
        </w:rPr>
        <w:t xml:space="preserve"> </w:t>
      </w:r>
    </w:p>
    <w:p>
      <w:pPr>
        <w:pStyle w:val="Heading1"/>
        <w:spacing w:before="0" w:after="120"/>
        <w:rPr>
          <w:rFonts w:ascii="Calibri" w:hAnsi="Calibri" w:cs="Calibri" w:asciiTheme="minorHAnsi" w:cstheme="minorHAnsi" w:hAnsiTheme="minorHAnsi"/>
          <w:b/>
          <w:bCs/>
        </w:rPr>
      </w:pPr>
      <w:r>
        <w:rPr>
          <w:rFonts w:cs="Calibri" w:ascii="Calibri" w:hAnsi="Calibri" w:asciiTheme="minorHAnsi" w:cstheme="minorHAnsi" w:hAnsiTheme="minorHAnsi"/>
          <w:b/>
          <w:bCs/>
        </w:rPr>
        <w:t>Section 1 – Lab-Specific Information</w:t>
      </w:r>
    </w:p>
    <w:p>
      <w:pPr>
        <w:pStyle w:val="Normal"/>
        <w:ind w:left="360"/>
        <w:rPr/>
      </w:pPr>
      <w:r>
        <w:rPr>
          <w:rFonts w:cs="Calibri" w:cstheme="minorHAnsi"/>
          <w:b/>
        </w:rPr>
        <w:t>Building/Room(s) covered by this SOP:</w:t>
        <w:tab/>
        <w:tab/>
        <w:tab/>
      </w:r>
      <w:r>
        <w:fldChar w:fldCharType="begin">
          <w:ffData>
            <w:name w:val="Text3"/>
            <w:enabled/>
            <w:calcOnExit w:val="0"/>
            <w:statusText w:type="text" w:val="Building/room"/>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  FTR 209   </w:t>
      </w:r>
      <w:r/>
      <w:r>
        <w:rPr>
          <w:b/>
          <w:rFonts w:cs="Calibri"/>
        </w:rPr>
        <w:fldChar w:fldCharType="end"/>
      </w:r>
      <w:r>
        <w:rPr>
          <w:rFonts w:cs="Calibri" w:cstheme="minorHAnsi"/>
          <w:b/>
        </w:rPr>
      </w:r>
    </w:p>
    <w:p>
      <w:pPr>
        <w:pStyle w:val="Normal"/>
        <w:ind w:left="360"/>
        <w:rPr>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r>
        <w:rPr>
          <w:b/>
        </w:rPr>
      </w:r>
      <w:r>
        <w:rPr>
          <w:b/>
        </w:rPr>
        <w:fldChar w:fldCharType="separate"/>
      </w:r>
      <w:r>
        <w:rPr>
          <w:b/>
        </w:rPr>
        <w:t>     School of Aquatic &amp; Fishery Sciences</w:t>
      </w:r>
      <w:r/>
      <w:r>
        <w:rPr>
          <w:b/>
        </w:rPr>
        <w:fldChar w:fldCharType="end"/>
      </w:r>
      <w:r>
        <w:rPr>
          <w:b/>
        </w:rPr>
      </w:r>
    </w:p>
    <w:p>
      <w:pPr>
        <w:pStyle w:val="Normal"/>
        <w:ind w:left="360"/>
        <w:rPr>
          <w:rFonts w:cs="Calibri" w:cstheme="minorHAnsi"/>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  Steven Roberts   </w:t>
      </w:r>
      <w:r/>
      <w:r>
        <w:rPr>
          <w:b/>
          <w:rFonts w:cs="Calibri"/>
        </w:rPr>
        <w:fldChar w:fldCharType="end"/>
      </w:r>
      <w:r>
        <w:rPr>
          <w:rFonts w:cs="Calibri" w:cstheme="minorHAnsi"/>
          <w:b/>
        </w:rPr>
      </w:r>
    </w:p>
    <w:p>
      <w:pPr>
        <w:pStyle w:val="Normal"/>
        <w:ind w:left="360"/>
        <w:rPr>
          <w:rFonts w:cs="Calibri" w:cstheme="minorHAnsi"/>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
        <w:rPr>
          <w:b/>
          <w:rFonts w:cs="Calibri"/>
        </w:rPr>
        <w:fldChar w:fldCharType="end"/>
      </w:r>
      <w:r>
        <w:rPr>
          <w:rFonts w:cs="Calibri" w:cstheme="minorHAnsi"/>
          <w:b/>
        </w:rPr>
      </w:r>
    </w:p>
    <w:p>
      <w:pPr>
        <w:pStyle w:val="Heading1"/>
        <w:spacing w:lineRule="auto" w:line="288" w:before="120" w:after="120"/>
        <w:rPr>
          <w:rFonts w:ascii="Calibri" w:hAnsi="Calibri" w:cs="Calibri"/>
          <w:b/>
        </w:rPr>
      </w:pPr>
      <w:r>
        <w:rPr>
          <w:rFonts w:cs="Calibri" w:ascii="Calibri" w:hAnsi="Calibri"/>
          <w:b/>
        </w:rPr>
        <w:t>Section 2 – Hazards</w:t>
      </w:r>
    </w:p>
    <w:p>
      <w:pPr>
        <w:pStyle w:val="Normal"/>
        <w:spacing w:lineRule="auto" w:line="240" w:before="0" w:after="120"/>
        <w:rPr>
          <w:rFonts w:cs="Arial"/>
          <w:b/>
        </w:rPr>
      </w:pPr>
      <w:r>
        <w:fldChar w:fldCharType="begin">
          <w:ffData>
            <w:name w:val="Bookmark"/>
            <w:enabled/>
            <w:calcOnExit w:val="0"/>
            <w:textInput>
              <w:default w:val="REQUIRED -Identify the stock chemicals, intermediates, final compounds and wastes involved, and such factors as use of catalysts or inert compounds."/>
            </w:textInput>
          </w:ffData>
        </w:fldChar>
      </w:r>
      <w:r>
        <w:rPr>
          <w:rFonts w:cs="Arial"/>
        </w:rPr>
        <w:instrText xml:space="preserve"> FORMTEXT </w:instrText>
      </w:r>
      <w:r>
        <w:rPr>
          <w:rFonts w:cs="Arial"/>
        </w:rPr>
      </w:r>
      <w:r>
        <w:rPr>
          <w:rFonts w:cs="Arial"/>
        </w:rPr>
        <w:fldChar w:fldCharType="separate"/>
      </w:r>
      <w:r>
        <w:rPr>
          <w:rFonts w:cs="Arial"/>
        </w:rPr>
        <w:t>REQUIRED -Identify the stock chemicals, intermediates, final compounds and wastes involved in your work.</w:t>
      </w:r>
      <w:r>
        <w:rPr>
          <w:rFonts w:cs="Arial"/>
        </w:rPr>
      </w:r>
      <w:r>
        <w:rPr>
          <w:rFonts w:cs="Arial"/>
        </w:rPr>
        <w:fldChar w:fldCharType="end"/>
      </w:r>
      <w:r>
        <w:rPr>
          <w:rFonts w:cs="Arial"/>
          <w:b/>
          <w:color w:val="FF0000"/>
          <w:sz w:val="20"/>
          <w:szCs w:val="20"/>
        </w:rPr>
        <w:t xml:space="preserve"> </w:t>
      </w:r>
    </w:p>
    <w:p>
      <w:pPr>
        <w:pStyle w:val="Normal"/>
        <w:spacing w:lineRule="auto" w:line="288" w:before="120" w:after="120"/>
        <w:rPr>
          <w:rFonts w:cs="Calibri" w:cstheme="minorHAnsi"/>
          <w:color w:val="222222"/>
          <w:sz w:val="20"/>
          <w:szCs w:val="20"/>
        </w:rPr>
      </w:pPr>
      <w:r>
        <w:rPr>
          <w:rFonts w:cs="Calibri" w:cstheme="minorHAnsi"/>
          <w:color w:val="222222"/>
          <w:sz w:val="20"/>
          <w:szCs w:val="20"/>
        </w:rPr>
        <w:t xml:space="preserve">Chloroform is a carcinogen. It is harmful if swallowed and causes skin irritation, serious eye irritation, and may cause drowsiness or dizziness. Chloroform is suspected of causing cancer and causing genetic defects of unborn children. It may cause damage to organs (liver, kidney) through prolonged or repeated exposure.  </w:t>
      </w:r>
    </w:p>
    <w:p>
      <w:pPr>
        <w:pStyle w:val="Normal"/>
        <w:spacing w:lineRule="auto" w:line="288" w:before="120" w:after="120"/>
        <w:rPr>
          <w:rFonts w:cs="Calibri" w:cstheme="minorHAnsi"/>
          <w:b/>
          <w:color w:val="000000"/>
          <w:sz w:val="20"/>
          <w:szCs w:val="20"/>
          <w:u w:val="single"/>
        </w:rPr>
      </w:pPr>
      <w:r>
        <w:drawing>
          <wp:anchor behindDoc="0" distT="0" distB="0" distL="114300" distR="114300" simplePos="0" locked="0" layoutInCell="0" allowOverlap="1" relativeHeight="10">
            <wp:simplePos x="0" y="0"/>
            <wp:positionH relativeFrom="column">
              <wp:posOffset>4381500</wp:posOffset>
            </wp:positionH>
            <wp:positionV relativeFrom="paragraph">
              <wp:posOffset>24130</wp:posOffset>
            </wp:positionV>
            <wp:extent cx="1170305" cy="2197100"/>
            <wp:effectExtent l="0" t="0" r="0" b="0"/>
            <wp:wrapTight wrapText="bothSides">
              <wp:wrapPolygon edited="0">
                <wp:start x="-347" y="-183"/>
                <wp:lineTo x="-347" y="21534"/>
                <wp:lineTo x="21443" y="21534"/>
                <wp:lineTo x="21443" y="-183"/>
                <wp:lineTo x="-347" y="-183"/>
              </wp:wrapPolygon>
            </wp:wrapTight>
            <wp:docPr id="1" name="Picture 10" descr="Chloroform Bottle (500 mL)&#10;Chloroform Bottle (500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hloroform Bottle (500 mL)&#10;Chloroform Bottle (500 mL)"/>
                    <pic:cNvPicPr>
                      <a:picLocks noChangeAspect="1" noChangeArrowheads="1"/>
                    </pic:cNvPicPr>
                  </pic:nvPicPr>
                  <pic:blipFill>
                    <a:blip r:embed="rId2"/>
                    <a:srcRect l="26282" t="0" r="33767" b="0"/>
                    <a:stretch>
                      <a:fillRect/>
                    </a:stretch>
                  </pic:blipFill>
                  <pic:spPr bwMode="auto">
                    <a:xfrm>
                      <a:off x="0" y="0"/>
                      <a:ext cx="1170305" cy="2197100"/>
                    </a:xfrm>
                    <a:prstGeom prst="rect">
                      <a:avLst/>
                    </a:prstGeom>
                    <a:ln w="9525">
                      <a:solidFill>
                        <a:srgbClr val="000000"/>
                      </a:solidFill>
                    </a:ln>
                  </pic:spPr>
                </pic:pic>
              </a:graphicData>
            </a:graphic>
          </wp:anchor>
        </w:drawing>
      </w:r>
      <w:r>
        <w:rPr>
          <w:rFonts w:cs="Calibri" w:cstheme="minorHAnsi"/>
          <w:b/>
          <w:color w:val="000000"/>
          <w:sz w:val="20"/>
          <w:szCs w:val="20"/>
          <w:u w:val="single"/>
        </w:rPr>
        <w:t xml:space="preserve">Exposure Limits: </w:t>
      </w:r>
    </w:p>
    <w:p>
      <w:pPr>
        <w:pStyle w:val="Normal"/>
        <w:spacing w:lineRule="auto" w:line="288" w:before="0" w:after="0"/>
        <w:rPr>
          <w:rFonts w:cs="Calibri" w:cstheme="minorHAnsi"/>
          <w:color w:val="000000"/>
          <w:sz w:val="20"/>
          <w:szCs w:val="20"/>
        </w:rPr>
      </w:pPr>
      <w:r>
        <w:rPr>
          <w:rFonts w:cs="Calibri" w:cstheme="minorHAnsi"/>
          <w:color w:val="000000"/>
          <w:sz w:val="20"/>
          <w:szCs w:val="20"/>
        </w:rPr>
        <w:t xml:space="preserve">OSHA PEL (8 HR. TWA): </w:t>
        <w:tab/>
        <w:tab/>
        <w:tab/>
        <w:t xml:space="preserve">2 ppm </w:t>
      </w:r>
    </w:p>
    <w:p>
      <w:pPr>
        <w:pStyle w:val="Normal"/>
        <w:spacing w:lineRule="auto" w:line="288" w:before="0" w:after="0"/>
        <w:rPr>
          <w:rFonts w:cs="Calibri" w:cstheme="minorHAnsi"/>
          <w:color w:val="000000"/>
          <w:sz w:val="20"/>
          <w:szCs w:val="20"/>
        </w:rPr>
      </w:pPr>
      <w:r>
        <w:rPr>
          <w:rFonts w:cs="Calibri" w:cstheme="minorHAnsi"/>
          <w:color w:val="000000"/>
          <w:sz w:val="20"/>
          <w:szCs w:val="20"/>
        </w:rPr>
        <w:t>OSHA Short Term Exposure Limit:</w:t>
        <w:tab/>
        <w:tab/>
        <w:t>2 ppm</w:t>
      </w:r>
    </w:p>
    <w:p>
      <w:pPr>
        <w:pStyle w:val="Normal"/>
        <w:spacing w:lineRule="auto" w:line="288" w:before="0" w:after="0"/>
        <w:rPr>
          <w:rFonts w:cs="Calibri" w:cstheme="minorHAnsi"/>
          <w:color w:val="000000"/>
          <w:sz w:val="20"/>
          <w:szCs w:val="20"/>
        </w:rPr>
      </w:pPr>
      <w:r>
        <w:rPr>
          <w:rFonts w:cs="Calibri" w:cstheme="minorHAnsi"/>
          <w:color w:val="000000"/>
          <w:sz w:val="20"/>
          <w:szCs w:val="20"/>
        </w:rPr>
        <w:t xml:space="preserve">ACGIH TLV/TWA: </w:t>
        <w:tab/>
        <w:tab/>
        <w:tab/>
        <w:tab/>
        <w:t>10 ppm</w:t>
      </w:r>
    </w:p>
    <w:p>
      <w:pPr>
        <w:pStyle w:val="Normal"/>
        <w:tabs>
          <w:tab w:val="clear" w:pos="720"/>
          <w:tab w:val="center" w:pos="3707" w:leader="none"/>
        </w:tabs>
        <w:spacing w:lineRule="auto" w:line="288" w:before="120" w:after="120"/>
        <w:rPr>
          <w:rFonts w:cs="Calibri" w:cstheme="minorHAnsi"/>
          <w:b/>
          <w:sz w:val="24"/>
          <w:szCs w:val="24"/>
        </w:rPr>
      </w:pPr>
      <w:r>
        <w:rPr/>
        <w:drawing>
          <wp:inline distT="0" distB="0" distL="0" distR="0">
            <wp:extent cx="638175" cy="63246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7520" t="0" r="7013" b="0"/>
                    <a:stretch>
                      <a:fillRect/>
                    </a:stretch>
                  </pic:blipFill>
                  <pic:spPr bwMode="auto">
                    <a:xfrm flipH="1">
                      <a:off x="0" y="0"/>
                      <a:ext cx="638175" cy="632460"/>
                    </a:xfrm>
                    <a:prstGeom prst="rect">
                      <a:avLst/>
                    </a:prstGeom>
                  </pic:spPr>
                </pic:pic>
              </a:graphicData>
            </a:graphic>
          </wp:inline>
        </w:drawing>
      </w:r>
      <w:r>
        <w:rPr/>
        <w:drawing>
          <wp:inline distT="0" distB="0" distL="0" distR="0">
            <wp:extent cx="633730" cy="633730"/>
            <wp:effectExtent l="0" t="0" r="0" b="0"/>
            <wp:docPr id="3" name="Picture 24" descr="GHS Health Hazard Pictogram&#10;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GHS Health Hazard Pictogram&#10;GHS Health Hazard Pictogram"/>
                    <pic:cNvPicPr>
                      <a:picLocks noChangeAspect="1" noChangeArrowheads="1"/>
                    </pic:cNvPicPr>
                  </pic:nvPicPr>
                  <pic:blipFill>
                    <a:blip r:embed="rId4"/>
                    <a:stretch>
                      <a:fillRect/>
                    </a:stretch>
                  </pic:blipFill>
                  <pic:spPr bwMode="auto">
                    <a:xfrm>
                      <a:off x="0" y="0"/>
                      <a:ext cx="633730" cy="633730"/>
                    </a:xfrm>
                    <a:prstGeom prst="rect">
                      <a:avLst/>
                    </a:prstGeom>
                  </pic:spPr>
                </pic:pic>
              </a:graphicData>
            </a:graphic>
          </wp:inline>
        </w:drawing>
      </w:r>
      <w:r>
        <w:rPr/>
        <w:drawing>
          <wp:inline distT="0" distB="0" distL="0" distR="0">
            <wp:extent cx="633730" cy="633730"/>
            <wp:effectExtent l="0" t="0" r="0" b="0"/>
            <wp:docPr id="4" name="Picture 23" descr="GHS Oxidizer Hazard Pictogram&#10;GHS Oxidizer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GHS Oxidizer Hazard Pictogram&#10;GHS Oxidizer Hazard Pictogram"/>
                    <pic:cNvPicPr>
                      <a:picLocks noChangeAspect="1" noChangeArrowheads="1"/>
                    </pic:cNvPicPr>
                  </pic:nvPicPr>
                  <pic:blipFill>
                    <a:blip r:embed="rId5"/>
                    <a:stretch>
                      <a:fillRect/>
                    </a:stretch>
                  </pic:blipFill>
                  <pic:spPr bwMode="auto">
                    <a:xfrm>
                      <a:off x="0" y="0"/>
                      <a:ext cx="633730" cy="633730"/>
                    </a:xfrm>
                    <a:prstGeom prst="rect">
                      <a:avLst/>
                    </a:prstGeom>
                  </pic:spPr>
                </pic:pic>
              </a:graphicData>
            </a:graphic>
          </wp:inline>
        </w:drawing>
      </w:r>
    </w:p>
    <w:p>
      <w:pPr>
        <w:pStyle w:val="Heading1"/>
        <w:rPr>
          <w:rFonts w:ascii="Calibri" w:hAnsi="Calibri" w:cs="Calibri"/>
          <w:b/>
        </w:rPr>
      </w:pPr>
      <w:r>
        <w:rPr>
          <w:rFonts w:cs="Calibri" w:ascii="Calibri" w:hAnsi="Calibri"/>
          <w:b/>
        </w:rPr>
      </w:r>
    </w:p>
    <w:p>
      <w:pPr>
        <w:pStyle w:val="Heading1"/>
        <w:rPr>
          <w:rFonts w:ascii="Calibri" w:hAnsi="Calibri" w:cs="Calibri"/>
          <w:b/>
        </w:rPr>
      </w:pPr>
      <w:r>
        <w:rPr>
          <w:rFonts w:cs="Calibri" w:ascii="Calibri" w:hAnsi="Calibri"/>
          <w:b/>
        </w:rPr>
      </w:r>
    </w:p>
    <w:p>
      <w:pPr>
        <w:pStyle w:val="Normal"/>
        <w:rPr/>
      </w:pPr>
      <w:r>
        <w:rPr/>
      </w:r>
    </w:p>
    <w:p>
      <w:pPr>
        <w:pStyle w:val="NoSpacing"/>
        <w:spacing w:lineRule="auto" w:line="288" w:before="120" w:after="120"/>
        <w:rPr>
          <w:rFonts w:ascii="Calibri" w:hAnsi="Calibri" w:cs="Calibri"/>
          <w:b/>
          <w:sz w:val="24"/>
          <w:szCs w:val="24"/>
        </w:rPr>
      </w:pPr>
      <w:r>
        <w:rPr>
          <w:rFonts w:cs="Calibri"/>
          <w:b/>
          <w:sz w:val="24"/>
          <w:szCs w:val="24"/>
        </w:rPr>
        <w:t>Section 3 – Environmental/Ventilation Controls</w:t>
      </w:r>
    </w:p>
    <w:p>
      <w:pPr>
        <w:pStyle w:val="Normal"/>
        <w:spacing w:lineRule="auto" w:line="288" w:before="120" w:after="120"/>
        <w:rPr>
          <w:rFonts w:cs="Arial"/>
          <w:iCs/>
          <w:color w:val="FF0000"/>
        </w:rPr>
      </w:pPr>
      <w:r>
        <w:rPr>
          <w:rFonts w:cs="Arial"/>
          <w:iCs/>
          <w:color w:val="FF0000"/>
        </w:rPr>
      </w:r>
    </w:p>
    <w:p>
      <w:pPr>
        <w:pStyle w:val="Normal"/>
        <w:spacing w:lineRule="auto" w:line="288" w:before="120" w:after="120"/>
        <w:rPr>
          <w:rFonts w:cs="Calibri" w:cstheme="minorHAnsi"/>
          <w:sz w:val="20"/>
          <w:szCs w:val="20"/>
        </w:rPr>
      </w:pPr>
      <w:r>
        <w:rPr>
          <w:rFonts w:cs="Calibri" w:cstheme="minorHAnsi"/>
          <w:b/>
          <w:sz w:val="20"/>
          <w:szCs w:val="20"/>
        </w:rPr>
        <w:t>Engineering Controls:</w:t>
      </w:r>
      <w:r>
        <w:rPr>
          <w:rFonts w:cs="Calibri" w:cstheme="minorHAnsi"/>
          <w:sz w:val="20"/>
          <w:szCs w:val="20"/>
        </w:rPr>
        <w:t xml:space="preserve"> Use of chloroform should be conducted in a properly functioning chemical fume. </w:t>
      </w:r>
      <w:r>
        <w:rPr>
          <w:rFonts w:cs="Calibri"/>
          <w:sz w:val="20"/>
          <w:szCs w:val="20"/>
        </w:rPr>
        <w:t>The chemical fume hood must be tested and passed by EH&amp;S.</w:t>
      </w:r>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w:t>
      </w:r>
    </w:p>
    <w:p>
      <w:pPr>
        <w:pStyle w:val="Normal"/>
        <w:spacing w:lineRule="auto" w:line="288" w:before="120" w:after="120"/>
        <w:rPr>
          <w:rFonts w:cs="Calibri" w:cstheme="minorHAnsi"/>
          <w:sz w:val="20"/>
          <w:szCs w:val="20"/>
        </w:rPr>
      </w:pPr>
      <w:r>
        <w:rPr>
          <w:rFonts w:cs="Calibri" w:cstheme="minorHAnsi"/>
          <w:sz w:val="20"/>
          <w:szCs w:val="20"/>
        </w:rPr>
        <w:t xml:space="preserve">Avoid contact with skin, eyes, and clothing. Wash hands after removing PPE before breaks and immediately after handling the chemical. </w:t>
      </w:r>
      <w:r>
        <w:rPr>
          <w:rFonts w:cs="Arial"/>
          <w:sz w:val="20"/>
          <w:szCs w:val="20"/>
        </w:rPr>
        <w:t>If</w:t>
      </w:r>
      <w:r>
        <w:rPr>
          <w:rFonts w:cs="Arial"/>
          <w:color w:themeColor="text1" w:val="000000"/>
          <w:sz w:val="20"/>
          <w:szCs w:val="20"/>
        </w:rPr>
        <w:t xml:space="preserve"> </w:t>
      </w:r>
      <w:r>
        <w:rPr>
          <w:rFonts w:cs="Arial"/>
          <w:b/>
          <w:color w:themeColor="text1" w:val="000000"/>
          <w:sz w:val="20"/>
          <w:szCs w:val="20"/>
        </w:rPr>
        <w:t>chloroform</w:t>
      </w:r>
      <w:r>
        <w:rPr>
          <w:rFonts w:cs="Arial"/>
          <w:color w:themeColor="text1" w:val="000000"/>
          <w:sz w:val="20"/>
          <w:szCs w:val="20"/>
        </w:rPr>
        <w:t xml:space="preserve"> </w:t>
      </w:r>
      <w:r>
        <w:rPr>
          <w:rFonts w:cs="Arial"/>
          <w:sz w:val="20"/>
          <w:szCs w:val="20"/>
        </w:rPr>
        <w:t xml:space="preserve">come(s) into contact with any PPE, the PPE shall be immediately removed and discarded properly.  Any potentially exposed body parts should be washed immediately. </w:t>
      </w:r>
      <w:r>
        <w:rPr>
          <w:rFonts w:cs="Calibri" w:cstheme="minorHAnsi"/>
          <w:sz w:val="20"/>
          <w:szCs w:val="20"/>
        </w:rPr>
        <w:t>Wash hands before breaks and immediately after handling the product.</w:t>
      </w:r>
    </w:p>
    <w:p>
      <w:pPr>
        <w:pStyle w:val="NoSpacing"/>
        <w:spacing w:lineRule="auto" w:line="288" w:before="120" w:after="120"/>
        <w:rPr>
          <w:rFonts w:cs="Calibri" w:cstheme="minorHAnsi"/>
          <w:b/>
        </w:rPr>
      </w:pPr>
      <w:r>
        <w:rPr>
          <w:rFonts w:cs="Calibri" w:cstheme="minorHAnsi"/>
          <w:b/>
        </w:rPr>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pPr>
        <w:pStyle w:val="NoSpacing"/>
        <w:spacing w:lineRule="auto" w:line="288" w:before="120" w:after="120"/>
        <w:rPr>
          <w:rFonts w:cs="Calibri" w:cstheme="minorHAnsi"/>
          <w:iCs/>
          <w:color w:val="FF0000"/>
        </w:rPr>
      </w:pPr>
      <w:r>
        <w:rPr>
          <w:rFonts w:cs="Calibri" w:cstheme="minorHAnsi"/>
          <w:iCs/>
          <w:color w:val="FF0000"/>
        </w:rPr>
      </w:r>
    </w:p>
    <w:p>
      <w:pPr>
        <w:pStyle w:val="NoSpacing"/>
        <w:spacing w:lineRule="auto" w:line="288" w:before="120" w:after="120"/>
        <w:rPr>
          <w:rFonts w:cs="Arial"/>
          <w:color w:val="FF0000"/>
        </w:rPr>
      </w:pPr>
      <w:r>
        <w:rPr>
          <w:rFonts w:cs="Calibri" w:cstheme="minorHAnsi"/>
          <w:b/>
          <w:sz w:val="20"/>
          <w:szCs w:val="20"/>
        </w:rPr>
        <w:t xml:space="preserve">Hand protection. </w:t>
      </w:r>
      <w:r>
        <w:rPr>
          <w:rFonts w:cs="Arial"/>
          <w:sz w:val="20"/>
          <w:szCs w:val="20"/>
        </w:rPr>
        <w:t>Hand protection is required for the activities described in this SOP.</w:t>
      </w:r>
      <w:r>
        <w:rPr>
          <w:rFonts w:cs="Arial"/>
          <w:color w:val="FF0000"/>
        </w:rPr>
        <w:t xml:space="preserve"> </w:t>
      </w:r>
    </w:p>
    <w:p>
      <w:pPr>
        <w:pStyle w:val="NoSpacing"/>
        <w:spacing w:lineRule="auto" w:line="288" w:before="120" w:after="120"/>
        <w:rPr>
          <w:rFonts w:cs="Calibri" w:cstheme="minorHAnsi"/>
          <w:b/>
          <w:color w:val="FF0000"/>
        </w:rPr>
      </w:pPr>
      <w:r>
        <w:rPr>
          <w:rFonts w:cs="Calibri" w:cstheme="minorHAnsi"/>
          <w:b/>
          <w:color w:val="FF0000"/>
        </w:rPr>
      </w:r>
    </w:p>
    <w:p>
      <w:pPr>
        <w:pStyle w:val="NoSpacing"/>
        <w:spacing w:lineRule="auto" w:line="288" w:before="120" w:after="120"/>
        <w:rPr>
          <w:rFonts w:cs="Arial"/>
          <w:sz w:val="20"/>
          <w:szCs w:val="20"/>
        </w:rPr>
      </w:pPr>
      <w:r>
        <w:rPr>
          <w:rFonts w:cs="Arial"/>
          <w:sz w:val="20"/>
          <w:szCs w:val="20"/>
        </w:rPr>
        <w:t xml:space="preserve">Gloves must be inspected prior to use, including a check for pinholes. </w:t>
      </w:r>
    </w:p>
    <w:p>
      <w:pPr>
        <w:pStyle w:val="NoSpacing"/>
        <w:spacing w:lineRule="auto" w:line="288" w:before="120" w:after="120"/>
        <w:rPr>
          <w:rFonts w:cs="Calibri" w:cstheme="minorHAnsi"/>
          <w:sz w:val="20"/>
          <w:szCs w:val="20"/>
        </w:rPr>
      </w:pPr>
      <w:r>
        <w:rPr>
          <w:rFonts w:cs="Calibri"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pPr>
        <w:pStyle w:val="NoSpacing"/>
        <w:spacing w:lineRule="auto" w:line="288" w:before="120" w:after="120"/>
        <w:rPr>
          <w:rFonts w:cs="Arial"/>
          <w:sz w:val="20"/>
          <w:szCs w:val="20"/>
        </w:rPr>
      </w:pPr>
      <w:r>
        <w:rPr>
          <w:rFonts w:cs="Calibri" w:cstheme="minorHAnsi"/>
          <w:b/>
          <w:sz w:val="20"/>
          <w:szCs w:val="20"/>
        </w:rPr>
        <w:t>Eye Protection.</w:t>
      </w:r>
      <w:r>
        <w:rPr>
          <w:rFonts w:cs="Arial"/>
          <w:sz w:val="20"/>
          <w:szCs w:val="20"/>
        </w:rPr>
        <w:t xml:space="preserve"> ANSI Z87.1-compliant eye protection (safety glasses or chemical splash goggles) </w:t>
      </w:r>
      <w:r>
        <w:rPr>
          <w:rFonts w:cs="Arial"/>
          <w:color w:themeColor="text1" w:val="000000"/>
          <w:sz w:val="20"/>
          <w:szCs w:val="20"/>
        </w:rPr>
        <w:t xml:space="preserve">is </w:t>
      </w:r>
      <w:r>
        <w:rPr>
          <w:rFonts w:cs="Arial"/>
          <w:sz w:val="20"/>
          <w:szCs w:val="20"/>
        </w:rPr>
        <w:t xml:space="preserve">required for all work with chloroform. </w:t>
      </w:r>
      <w:r>
        <w:rPr>
          <w:rFonts w:cs="Calibri" w:cstheme="minorHAnsi"/>
          <w:sz w:val="20"/>
          <w:szCs w:val="20"/>
        </w:rPr>
        <w:t xml:space="preserve">A face shield may also be appropriate depending on the specific application. </w:t>
      </w:r>
      <w:r>
        <w:rPr>
          <w:rFonts w:cs="Arial"/>
          <w:sz w:val="20"/>
          <w:szCs w:val="20"/>
        </w:rPr>
        <w:t>Ordinary prescription glasses will NOT provide adequate protection unless they also meet the Z87.1 standard and have compliant side shields.</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rPr>
          <w:rFonts w:cs="Arial"/>
          <w:i/>
          <w:sz w:val="20"/>
          <w:szCs w:val="20"/>
        </w:rPr>
      </w:r>
    </w:p>
    <w:p>
      <w:pPr>
        <w:pStyle w:val="NoSpacing"/>
        <w:spacing w:lineRule="auto" w:line="288" w:before="120" w:after="120"/>
        <w:rPr>
          <w:rFonts w:cs="Calibri" w:cstheme="minorHAnsi"/>
          <w:sz w:val="20"/>
          <w:szCs w:val="20"/>
        </w:rPr>
      </w:pPr>
      <w:r>
        <w:rPr>
          <w:rFonts w:cs="Calibri" w:cstheme="minorHAnsi"/>
          <w:b/>
          <w:sz w:val="20"/>
          <w:szCs w:val="20"/>
        </w:rPr>
        <w:t>Respiratory Protection:</w:t>
      </w:r>
      <w:r>
        <w:rPr>
          <w:rFonts w:cs="Calibri" w:cstheme="minorHAnsi"/>
          <w:sz w:val="20"/>
          <w:szCs w:val="20"/>
        </w:rPr>
        <w:t xml:space="preserve"> </w:t>
      </w:r>
    </w:p>
    <w:p>
      <w:pPr>
        <w:pStyle w:val="NoSpacing"/>
        <w:spacing w:lineRule="auto" w:line="288" w:before="120" w:after="120"/>
        <w:rPr>
          <w:rFonts w:cs="Calibri" w:cstheme="minorHAnsi"/>
          <w:iCs/>
          <w:color w:val="FF0000"/>
          <w:sz w:val="20"/>
          <w:szCs w:val="20"/>
        </w:rPr>
      </w:pPr>
      <w:r>
        <w:rPr>
          <w:rFonts w:cs="Calibri" w:cstheme="minorHAnsi"/>
          <w:iCs/>
          <w:color w:val="FF0000"/>
          <w:sz w:val="20"/>
          <w:szCs w:val="20"/>
        </w:rPr>
      </w:r>
    </w:p>
    <w:p>
      <w:pPr>
        <w:pStyle w:val="NoSpacing"/>
        <w:spacing w:lineRule="auto" w:line="288" w:before="120" w:after="120"/>
        <w:rPr>
          <w:rFonts w:ascii="Calibri" w:hAnsi="Calibri" w:cs="Calibri"/>
          <w:b/>
          <w:sz w:val="24"/>
        </w:rPr>
      </w:pPr>
      <w:r>
        <w:rPr>
          <w:rFonts w:cs="Calibri"/>
          <w:b/>
          <w:sz w:val="24"/>
        </w:rPr>
        <w:t>Section 4 – Special Handling and Storage Requirements</w:t>
      </w:r>
    </w:p>
    <w:p>
      <w:pPr>
        <w:pStyle w:val="ListParagraph"/>
        <w:numPr>
          <w:ilvl w:val="0"/>
          <w:numId w:val="3"/>
        </w:numPr>
        <w:spacing w:lineRule="auto" w:line="288" w:before="120" w:after="120"/>
        <w:contextualSpacing/>
        <w:rPr>
          <w:rFonts w:cs="Calibri" w:cstheme="minorHAnsi"/>
          <w:color w:val="FF0000"/>
          <w:sz w:val="20"/>
          <w:szCs w:val="20"/>
        </w:rPr>
      </w:pPr>
      <w:r>
        <w:rPr>
          <w:rFonts w:cs="Calibri" w:cstheme="minorHAnsi"/>
          <w:color w:themeColor="text1" w:val="000000"/>
          <w:sz w:val="20"/>
          <w:szCs w:val="20"/>
        </w:rPr>
        <w:t>Use in the smallest practical quantities for the experiment being performed.</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Avoid contact with skin and eyes and inhalation. </w:t>
      </w:r>
    </w:p>
    <w:p>
      <w:pPr>
        <w:pStyle w:val="ListParagraph"/>
        <w:numPr>
          <w:ilvl w:val="0"/>
          <w:numId w:val="3"/>
        </w:numPr>
        <w:spacing w:before="120" w:after="120"/>
        <w:contextualSpacing/>
        <w:rPr>
          <w:rFonts w:cs="Calibri" w:cstheme="minorHAnsi"/>
          <w:color w:themeColor="text1" w:val="000000"/>
          <w:sz w:val="20"/>
          <w:szCs w:val="20"/>
        </w:rPr>
      </w:pPr>
      <w:r>
        <w:rPr>
          <w:rFonts w:cs="Calibri" w:cstheme="minorHAnsi"/>
          <w:color w:themeColor="text1" w:val="000000"/>
          <w:sz w:val="20"/>
          <w:szCs w:val="20"/>
        </w:rPr>
        <w:t xml:space="preserve">Containers should be labeled appropriately. Label should indicate the name of the chemical(s) in the container. Avoid using chemical abbreviations and formulae. </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color w:themeColor="text1" w:val="000000"/>
          <w:sz w:val="20"/>
          <w:szCs w:val="20"/>
        </w:rPr>
        <w:t>Containers should be in good condition and compatible with the material.</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Keep containers tightly closed. </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Store in a cool, dry and well-ventilated area away from incompatible substances such as oxidizers, </w:t>
      </w:r>
      <w:r>
        <w:rPr/>
        <w:t>metals and alkalis</w:t>
      </w:r>
      <w:r>
        <w:rPr>
          <w:rFonts w:eastAsia="Times New Roman" w:cs="Calibri" w:cstheme="minorHAnsi"/>
          <w:color w:val="000000"/>
          <w:sz w:val="20"/>
          <w:szCs w:val="20"/>
        </w:rPr>
        <w:t xml:space="preserve">. For a more comprehensive list of incompatible chemical groups, refer to </w:t>
      </w:r>
      <w:hyperlink r:id="rId6">
        <w:r>
          <w:rPr>
            <w:rStyle w:val="Hyperlink"/>
            <w:rFonts w:cs="Calibri" w:cstheme="minorHAnsi"/>
            <w:sz w:val="20"/>
            <w:szCs w:val="20"/>
          </w:rPr>
          <w:t>www.ehs.washington.edu/resource/incompatiblechemicals-focus-sheet-176</w:t>
        </w:r>
      </w:hyperlink>
      <w:r>
        <w:rPr>
          <w:rStyle w:val="Hyperlink"/>
          <w:rFonts w:cs="Calibri" w:cstheme="minorHAnsi"/>
          <w:sz w:val="20"/>
          <w:szCs w:val="20"/>
        </w:rPr>
        <w:t>.</w:t>
      </w:r>
      <w:r>
        <w:rPr>
          <w:rFonts w:cs="Arial" w:ascii="Arial" w:hAnsi="Arial"/>
          <w:color w:val="000000"/>
        </w:rPr>
        <w:t xml:space="preserve"> </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color w:val="000000"/>
          <w:sz w:val="20"/>
          <w:szCs w:val="20"/>
        </w:rPr>
        <w:t>Containers which are opened must be carefully resealed and kept upright to prevent leakage.</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sz w:val="20"/>
          <w:szCs w:val="20"/>
        </w:rPr>
        <w:t>A suitable storage location is a flammable storage cabinet or lab cabinet that does not contain incompatibles.</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 xml:space="preserve">Clean the </w:t>
      </w:r>
      <w:r>
        <w:fldChar w:fldCharType="begin">
          <w:ffData>
            <w:name w:val="Bookmark Copy 4"/>
            <w:enabled/>
            <w:calcOnExit w:val="0"/>
            <w:textInput>
              <w:default w:val="[specify ventilation contro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fume hood</w:t>
      </w:r>
      <w:r>
        <w:rPr>
          <w:rFonts w:cs="Arial"/>
          <w:sz w:val="20"/>
          <w:szCs w:val="20"/>
        </w:rPr>
      </w:r>
      <w:r>
        <w:rPr>
          <w:sz w:val="20"/>
          <w:szCs w:val="20"/>
          <w:rFonts w:cs="Arial"/>
        </w:rPr>
        <w:fldChar w:fldCharType="end"/>
      </w:r>
      <w:r>
        <w:rPr>
          <w:rFonts w:cs="Calibri" w:cstheme="minorHAnsi"/>
          <w:i/>
          <w:color w:val="FF0000"/>
          <w:sz w:val="20"/>
          <w:szCs w:val="20"/>
        </w:rPr>
        <w:t xml:space="preserve"> </w:t>
      </w:r>
      <w:r>
        <w:rPr>
          <w:sz w:val="20"/>
          <w:szCs w:val="20"/>
        </w:rPr>
        <w:t xml:space="preserve">upon completion of tasks with </w:t>
      </w:r>
      <w:r>
        <w:fldChar w:fldCharType="begin">
          <w:ffData>
            <w:name w:val="Bookmark Copy 5"/>
            <w:enabled/>
            <w:calcOnExit w:val="0"/>
            <w:textInput>
              <w:default w:val="[specify cleaning solution]"/>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soap and water</w:t>
      </w:r>
      <w:r/>
      <w:r>
        <w:rPr>
          <w:sz w:val="20"/>
          <w:szCs w:val="20"/>
          <w:rFonts w:cs="Arial"/>
        </w:rPr>
        <w:fldChar w:fldCharType="end"/>
      </w:r>
      <w:r>
        <w:rPr>
          <w:rFonts w:cs="Arial"/>
          <w:sz w:val="20"/>
          <w:szCs w:val="20"/>
        </w:rPr>
      </w:r>
    </w:p>
    <w:p>
      <w:pPr>
        <w:pStyle w:val="ListParagraph"/>
        <w:numPr>
          <w:ilvl w:val="0"/>
          <w:numId w:val="1"/>
        </w:numPr>
        <w:spacing w:before="120" w:after="120"/>
        <w:contextualSpacing/>
        <w:rPr>
          <w:rFonts w:cs="Calibri" w:cstheme="minorHAnsi"/>
          <w:sz w:val="20"/>
          <w:szCs w:val="20"/>
        </w:rPr>
      </w:pPr>
      <w:r>
        <w:rPr>
          <w:sz w:val="20"/>
          <w:szCs w:val="20"/>
        </w:rPr>
        <w:t xml:space="preserve">Clean all contaminated surfaces with </w:t>
      </w:r>
      <w:r>
        <w:fldChar w:fldCharType="begin">
          <w:ffData>
            <w:name w:val="Bookmark Copy 6"/>
            <w:enabled/>
            <w:calcOnExit w:val="0"/>
            <w:textInput>
              <w:default w:val="[specify cleaning solution]"/>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soap and water,</w:t>
      </w:r>
      <w:r>
        <w:rPr>
          <w:rFonts w:cs="Arial"/>
          <w:sz w:val="20"/>
          <w:szCs w:val="20"/>
        </w:rPr>
      </w:r>
      <w:r>
        <w:rPr>
          <w:sz w:val="20"/>
          <w:szCs w:val="20"/>
          <w:rFonts w:cs="Arial"/>
        </w:rPr>
        <w:fldChar w:fldCharType="end"/>
      </w:r>
      <w:r>
        <w:rPr>
          <w:sz w:val="20"/>
          <w:szCs w:val="20"/>
        </w:rPr>
        <w:t xml:space="preserve"> and dry. </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 xml:space="preserve">Place all contaminated disposable items in appropriate laboratory waste for disposal. </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 xml:space="preserve">Non‐disposable/re‐usable utensils, glassware, and other surfaces contaminated with chloroform must be decontaminated at the end of the laboratory work session. Complete this inside </w:t>
      </w:r>
      <w:r>
        <w:fldChar w:fldCharType="begin">
          <w:ffData>
            <w:name w:val="Bookmark Copy 7"/>
            <w:enabled/>
            <w:calcOnExit w:val="0"/>
            <w:textInput>
              <w:default w:val="[specify ventilation contro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fume hood</w:t>
      </w:r>
      <w:r>
        <w:rPr>
          <w:rFonts w:cs="Arial"/>
          <w:sz w:val="20"/>
          <w:szCs w:val="20"/>
        </w:rPr>
      </w:r>
      <w:r>
        <w:rPr>
          <w:sz w:val="20"/>
          <w:szCs w:val="20"/>
          <w:rFonts w:cs="Arial"/>
        </w:rPr>
        <w:fldChar w:fldCharType="end"/>
      </w:r>
      <w:r>
        <w:rPr>
          <w:rFonts w:cs="Calibri" w:cstheme="minorHAnsi"/>
          <w:i/>
          <w:sz w:val="20"/>
          <w:szCs w:val="20"/>
        </w:rPr>
        <w:t xml:space="preserve"> </w:t>
      </w:r>
      <w:r>
        <w:rPr>
          <w:sz w:val="20"/>
          <w:szCs w:val="20"/>
        </w:rPr>
        <w:t xml:space="preserve">before removing any of the items. </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When work is completed, remove gloves and wash hands with soap and water.</w:t>
      </w:r>
      <w:sdt>
        <w:sdtPr>
          <w:placeholder>
            <w:docPart w:val="2A9F47B2F3DC418A92F44DAB10CB21BB"/>
          </w:placeholder>
          <w:id w:val="-945233271"/>
          <w:text/>
        </w:sdtPr>
        <w:sdtContent>
          <w:r>
            <w:rPr>
              <w:sz w:val="20"/>
              <w:szCs w:val="20"/>
            </w:rPr>
          </w:r>
          <w:r>
            <w:rPr>
              <w:sz w:val="20"/>
              <w:szCs w:val="20"/>
            </w:rPr>
          </w:r>
        </w:sdtContent>
      </w:sdt>
      <w:r>
        <w:rPr>
          <w:rFonts w:cs="Arial"/>
          <w:color w:val="FF0000"/>
        </w:rPr>
        <w:t xml:space="preserve"> </w:t>
      </w:r>
    </w:p>
    <w:p>
      <w:pPr>
        <w:pStyle w:val="Header"/>
        <w:tabs>
          <w:tab w:val="left" w:pos="432" w:leader="none"/>
          <w:tab w:val="left" w:pos="720" w:leader="none"/>
          <w:tab w:val="center" w:pos="4680" w:leader="none"/>
          <w:tab w:val="right" w:pos="9360" w:leader="none"/>
        </w:tabs>
        <w:spacing w:before="120" w:after="0"/>
        <w:rPr/>
      </w:pPr>
      <w:r>
        <w:rPr/>
      </w:r>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 xml:space="preserve">Section 5 – Spill and Accident Procedures </w:t>
      </w:r>
    </w:p>
    <w:p>
      <w:pPr>
        <w:pStyle w:val="Header"/>
        <w:tabs>
          <w:tab w:val="left" w:pos="432" w:leader="none"/>
          <w:tab w:val="left" w:pos="720" w:leader="none"/>
          <w:tab w:val="center" w:pos="4680" w:leader="none"/>
          <w:tab w:val="right" w:pos="9360" w:leader="none"/>
        </w:tabs>
        <w:spacing w:before="120" w:after="0"/>
        <w:rPr>
          <w:b/>
          <w:sz w:val="20"/>
          <w:szCs w:val="20"/>
        </w:rPr>
      </w:pPr>
      <w:r>
        <w:rPr>
          <w:sz w:val="20"/>
          <w:szCs w:val="20"/>
        </w:rPr>
        <w:t xml:space="preserve">Personnel in this lab are only allowed to clean up spills inside the fume hood of </w:t>
      </w:r>
      <w:r>
        <w:rPr>
          <w:highlight w:val="lightGray"/>
        </w:rPr>
        <w:t>100mL</w:t>
      </w:r>
      <w:r>
        <w:rPr/>
        <w:t xml:space="preserve"> </w:t>
      </w:r>
      <w:r>
        <w:rPr>
          <w:sz w:val="20"/>
          <w:szCs w:val="20"/>
        </w:rPr>
        <w:t xml:space="preserve">or less using absorbent. Solvent absorption pads are stored </w:t>
      </w:r>
      <w:r>
        <w:rPr>
          <w:highlight w:val="lightGray"/>
        </w:rPr>
        <w:t>in chemical spill kit</w:t>
      </w:r>
      <w:r>
        <w:rPr>
          <w:color w:val="FF0000"/>
          <w:sz w:val="20"/>
          <w:szCs w:val="20"/>
        </w:rPr>
        <w:t xml:space="preserve">. </w:t>
      </w:r>
      <w:r>
        <w:rPr>
          <w:b/>
          <w:sz w:val="20"/>
          <w:szCs w:val="20"/>
        </w:rPr>
        <w:t xml:space="preserve">Do not attempt to clean up any spill if not trained or comfortable. </w:t>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Clean the spill area thoroughly with detergent solution followed by clean water.</w:t>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 xml:space="preserve">If spill is extensive within the containment, clean all interior surfaces after completion of the spill cleanup. </w:t>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Double bag all waste in plastic bags labeled with a hazardous waste label that reads "chloroform spill debris." Complete either an Online Chemical Waste Collection Request or a Chemical Collection Request Form found on the</w:t>
      </w:r>
      <w:r>
        <w:rPr>
          <w:rFonts w:cs="Arial"/>
          <w:sz w:val="18"/>
          <w:szCs w:val="18"/>
        </w:rPr>
        <w:t xml:space="preserve"> </w:t>
      </w:r>
      <w:hyperlink r:id="rId7">
        <w:r>
          <w:rPr>
            <w:rStyle w:val="Hyperlink"/>
            <w:rFonts w:cs="Arial"/>
            <w:sz w:val="20"/>
            <w:szCs w:val="20"/>
          </w:rPr>
          <w:t>EH&amp;S website</w:t>
        </w:r>
      </w:hyperlink>
      <w:r>
        <w:rPr>
          <w:rFonts w:cs="Arial"/>
          <w:sz w:val="20"/>
          <w:szCs w:val="20"/>
        </w:rPr>
        <w:t xml:space="preserve">. Email the form to </w:t>
      </w:r>
      <w:hyperlink r:id="rId8">
        <w:r>
          <w:rPr>
            <w:rStyle w:val="Hyperlink"/>
            <w:rFonts w:cs="Arial"/>
            <w:sz w:val="20"/>
            <w:szCs w:val="20"/>
          </w:rPr>
          <w:t>chmwaste@uw.edu</w:t>
        </w:r>
      </w:hyperlink>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 xml:space="preserve">For spills outside the fume hood or larger spills, vapors generated may be above the chloroform exposure limits. Therefore ,these spills may require the use of respiratory protection. Cover spill if possible to keep vapors down. Evacuate the laboratory, prevent re-entry by un-authorized personnel, and call 911 from a campus phone, or the EH&amp;S spills line at 206-543-0467 for help. If it is after hours, call 911 for further assistance. Tell them a </w:t>
      </w:r>
      <w:r>
        <w:rPr>
          <w:b/>
          <w:sz w:val="20"/>
          <w:szCs w:val="20"/>
        </w:rPr>
        <w:t>chloroform</w:t>
      </w:r>
      <w:r>
        <w:rPr>
          <w:sz w:val="20"/>
          <w:szCs w:val="20"/>
        </w:rPr>
        <w:t xml:space="preserve"> spill has occurred. If the spill is out of control, call 911. If a person is injured, exposed or suspected of being exposed, call 911.</w:t>
      </w:r>
    </w:p>
    <w:p>
      <w:pPr>
        <w:pStyle w:val="Header"/>
        <w:tabs>
          <w:tab w:val="left" w:pos="432" w:leader="none"/>
          <w:tab w:val="left" w:pos="720" w:leader="none"/>
          <w:tab w:val="center" w:pos="4680" w:leader="none"/>
          <w:tab w:val="right" w:pos="9360" w:leader="none"/>
        </w:tabs>
        <w:spacing w:before="120" w:after="0"/>
        <w:rPr>
          <w:rFonts w:cs="Arial"/>
          <w:color w:val="FF0000"/>
        </w:rPr>
      </w:pPr>
      <w:r>
        <w:rPr>
          <w:sz w:val="20"/>
          <w:szCs w:val="20"/>
        </w:rPr>
        <w:t>Any spill incident requires the involved person or supervisor to complete and submit the Online Accident Reporting System (OARS) form within 24 hours (</w:t>
      </w:r>
      <w:hyperlink r:id="rId9">
        <w:bookmarkStart w:id="0" w:name="_Hlk134793519"/>
        <w:r>
          <w:rPr>
            <w:rStyle w:val="Hyperlink"/>
            <w:sz w:val="20"/>
            <w:szCs w:val="20"/>
          </w:rPr>
          <w:t>certain types of incidents</w:t>
        </w:r>
      </w:hyperlink>
      <w:r>
        <w:rPr>
          <w:sz w:val="20"/>
          <w:szCs w:val="20"/>
        </w:rPr>
        <w:t xml:space="preserve"> require immediate notification</w:t>
      </w:r>
      <w:bookmarkEnd w:id="0"/>
      <w:r>
        <w:rPr>
          <w:sz w:val="20"/>
          <w:szCs w:val="20"/>
        </w:rPr>
        <w:t>) of the incident to EH&amp;S. For questions on spill cleanup, contact EH&amp;S spill consultants at 206‐543‐0467.</w:t>
      </w:r>
      <w:r>
        <w:rPr>
          <w:rFonts w:cs="Arial"/>
          <w:color w:val="FF0000"/>
          <w:sz w:val="20"/>
          <w:szCs w:val="20"/>
        </w:rPr>
        <w:t xml:space="preserve"> </w:t>
      </w:r>
      <w:sdt>
        <w:sdtPr>
          <w:id w:val="-1756740957"/>
        </w:sdtPr>
        <w:sdtContent>
          <w:r>
            <w:rPr>
              <w:rFonts w:cs="Arial"/>
              <w:color w:val="FF0000"/>
              <w:sz w:val="20"/>
              <w:szCs w:val="20"/>
            </w:rPr>
          </w:r>
          <w:r>
            <w:rPr>
              <w:rFonts w:cs="Arial"/>
              <w:color w:val="FF0000"/>
              <w:sz w:val="20"/>
              <w:szCs w:val="20"/>
            </w:rPr>
          </w:r>
        </w:sdtContent>
      </w:sdt>
    </w:p>
    <w:p>
      <w:pPr>
        <w:pStyle w:val="Normal"/>
        <w:rPr/>
      </w:pPr>
      <w:r>
        <w:rPr>
          <w:sz w:val="20"/>
          <w:szCs w:val="20"/>
        </w:rPr>
        <w:t>Clean up spills using contents of the laboratory spill kit</w:t>
      </w:r>
      <w:r>
        <w:rPr>
          <w:sz w:val="20"/>
          <w:szCs w:val="20"/>
          <w:highlight w:val="lightGray"/>
        </w:rPr>
        <w:t>: absorbent pads</w:t>
      </w:r>
      <w:bookmarkStart w:id="1" w:name="_Hlk118991597"/>
      <w:sdt>
        <w:sdtPr>
          <w:id w:val="1710454317"/>
        </w:sdtPr>
        <w:sdtContent>
          <w:r>
            <w:rPr>
              <w:sz w:val="20"/>
              <w:szCs w:val="20"/>
              <w:highlight w:val="lightGray"/>
            </w:rPr>
          </w:r>
          <w:r>
            <w:rPr>
              <w:sz w:val="20"/>
              <w:szCs w:val="20"/>
              <w:highlight w:val="lightGray"/>
            </w:rPr>
          </w:r>
        </w:sdtContent>
      </w:sdt>
      <w:bookmarkEnd w:id="1"/>
      <w:sdt>
        <w:sdtPr>
          <w:id w:val="1548572718"/>
        </w:sdtPr>
        <w:sdtContent>
          <w:r>
            <w:rPr>
              <w:sz w:val="20"/>
              <w:szCs w:val="20"/>
              <w:highlight w:val="lightGray"/>
            </w:rPr>
          </w:r>
          <w:r>
            <w:rPr>
              <w:sz w:val="20"/>
              <w:szCs w:val="20"/>
              <w:highlight w:val="lightGray"/>
            </w:rPr>
          </w:r>
        </w:sdtContent>
      </w:sdt>
      <w:sdt>
        <w:sdtPr>
          <w:id w:val="-1544739126"/>
        </w:sdtPr>
        <w:sdtContent>
          <w:r>
            <w:rPr>
              <w:sz w:val="20"/>
              <w:szCs w:val="20"/>
              <w:highlight w:val="lightGray"/>
            </w:rPr>
          </w:r>
          <w:r>
            <w:rPr>
              <w:sz w:val="20"/>
              <w:szCs w:val="20"/>
              <w:highlight w:val="lightGray"/>
            </w:rPr>
          </w:r>
        </w:sdtContent>
      </w:sdt>
    </w:p>
    <w:p>
      <w:pPr>
        <w:pStyle w:val="Header"/>
        <w:tabs>
          <w:tab w:val="left" w:pos="432" w:leader="none"/>
          <w:tab w:val="left" w:pos="720" w:leader="none"/>
          <w:tab w:val="center" w:pos="4680" w:leader="none"/>
          <w:tab w:val="right" w:pos="9360" w:leader="none"/>
        </w:tabs>
        <w:spacing w:lineRule="auto" w:line="288" w:before="120" w:after="120"/>
        <w:rPr>
          <w:rFonts w:cs="Arial"/>
        </w:rPr>
      </w:pPr>
      <w:r>
        <w:rPr>
          <w:rFonts w:cs="Arial"/>
          <w:b/>
        </w:rPr>
        <w:t>Exposures:</w:t>
      </w:r>
      <w:r>
        <w:rPr>
          <w:rFonts w:cs="Arial"/>
        </w:rPr>
        <w:t xml:space="preserve"> </w:t>
      </w:r>
      <w:r>
        <w:rPr>
          <w:rFonts w:cs="Arial"/>
          <w:sz w:val="20"/>
          <w:szCs w:val="20"/>
        </w:rPr>
        <w:t xml:space="preserve">If a person is injured, exposed, or suspected of being exposed to </w:t>
      </w:r>
      <w:r>
        <w:rPr>
          <w:rFonts w:cs="Arial"/>
          <w:color w:themeColor="text1" w:themeTint="f2" w:val="0D0D0D"/>
          <w:sz w:val="20"/>
          <w:szCs w:val="20"/>
        </w:rPr>
        <w:t xml:space="preserve">chloroform, </w:t>
      </w:r>
      <w:r>
        <w:rPr>
          <w:rFonts w:cs="Arial"/>
          <w:sz w:val="20"/>
          <w:szCs w:val="20"/>
        </w:rPr>
        <w:t xml:space="preserve">follow procedures listed here: </w:t>
      </w:r>
    </w:p>
    <w:p>
      <w:pPr>
        <w:pStyle w:val="Normal"/>
        <w:spacing w:before="120" w:after="120"/>
        <w:ind w:firstLine="360"/>
        <w:rPr/>
      </w:pPr>
      <w:r>
        <w:rPr>
          <w:b/>
          <w:bCs/>
        </w:rPr>
        <w:t>Perform first aid immediately.</w:t>
      </w:r>
      <w:r>
        <w:rPr/>
        <w:t xml:space="preserve"> </w:t>
      </w:r>
    </w:p>
    <w:p>
      <w:pPr>
        <w:pStyle w:val="ListParagraph"/>
        <w:numPr>
          <w:ilvl w:val="0"/>
          <w:numId w:val="1"/>
        </w:numPr>
        <w:spacing w:before="120" w:after="120"/>
        <w:ind w:hanging="360" w:left="900"/>
        <w:contextualSpacing/>
        <w:rPr>
          <w:sz w:val="20"/>
          <w:szCs w:val="20"/>
        </w:rPr>
      </w:pPr>
      <w:r>
        <w:rPr>
          <w:b/>
          <w:bCs/>
          <w:sz w:val="20"/>
          <w:szCs w:val="20"/>
        </w:rPr>
        <w:t>Inhalation exposure</w:t>
      </w:r>
      <w:r>
        <w:rPr>
          <w:sz w:val="20"/>
          <w:szCs w:val="20"/>
        </w:rPr>
        <w:t>: Move out of contaminated area; get medical help.</w:t>
      </w:r>
    </w:p>
    <w:p>
      <w:pPr>
        <w:pStyle w:val="ListParagraph"/>
        <w:numPr>
          <w:ilvl w:val="0"/>
          <w:numId w:val="1"/>
        </w:numPr>
        <w:spacing w:before="120" w:after="120"/>
        <w:ind w:hanging="360" w:left="900"/>
        <w:contextualSpacing/>
        <w:rPr>
          <w:sz w:val="20"/>
          <w:szCs w:val="20"/>
        </w:rPr>
      </w:pPr>
      <w:r>
        <w:rPr>
          <w:b/>
          <w:bCs/>
          <w:sz w:val="20"/>
          <w:szCs w:val="20"/>
        </w:rPr>
        <w:t>Sharps injury</w:t>
      </w:r>
      <w:r>
        <w:rPr>
          <w:sz w:val="20"/>
          <w:szCs w:val="20"/>
        </w:rPr>
        <w:t xml:space="preserve"> (needle stick or subcutaneous exposure): Scrub exposed area thoroughly for 15 minutes using warm water and sudsing soap.</w:t>
      </w:r>
    </w:p>
    <w:p>
      <w:pPr>
        <w:pStyle w:val="ListParagraph"/>
        <w:numPr>
          <w:ilvl w:val="0"/>
          <w:numId w:val="1"/>
        </w:numPr>
        <w:spacing w:before="120" w:after="120"/>
        <w:ind w:hanging="360" w:left="900"/>
        <w:contextualSpacing/>
        <w:rPr>
          <w:sz w:val="20"/>
          <w:szCs w:val="20"/>
        </w:rPr>
      </w:pPr>
      <w:r>
        <w:rPr>
          <w:b/>
          <w:bCs/>
          <w:sz w:val="20"/>
          <w:szCs w:val="20"/>
        </w:rPr>
        <w:t>Skin exposure:</w:t>
      </w:r>
      <w:r>
        <w:rPr>
          <w:sz w:val="20"/>
          <w:szCs w:val="20"/>
        </w:rPr>
        <w:t xml:space="preserve"> Use the nearest safety shower for 15 minutes; stay under the shower and remove clothing; use a clean lab coat or spare clothing for cover‐up. </w:t>
      </w:r>
    </w:p>
    <w:p>
      <w:pPr>
        <w:pStyle w:val="ListParagraph"/>
        <w:numPr>
          <w:ilvl w:val="0"/>
          <w:numId w:val="1"/>
        </w:numPr>
        <w:spacing w:before="120" w:after="120"/>
        <w:ind w:hanging="360" w:left="900"/>
        <w:contextualSpacing/>
        <w:rPr>
          <w:sz w:val="20"/>
          <w:szCs w:val="20"/>
        </w:rPr>
      </w:pPr>
      <w:r>
        <w:rPr>
          <w:b/>
          <w:bCs/>
          <w:sz w:val="20"/>
          <w:szCs w:val="20"/>
        </w:rPr>
        <w:t>Eye exposure:</w:t>
      </w:r>
      <w:r>
        <w:rPr>
          <w:sz w:val="20"/>
          <w:szCs w:val="20"/>
        </w:rPr>
        <w:t xml:space="preserve"> Use the eye wash for 15 minutes while holding eyelids open. </w:t>
      </w:r>
    </w:p>
    <w:p>
      <w:pPr>
        <w:pStyle w:val="Normal"/>
        <w:spacing w:before="120" w:after="120"/>
        <w:ind w:firstLine="360"/>
        <w:rPr>
          <w:rFonts w:ascii="Calibri" w:hAnsi="Calibri" w:eastAsia="MS Mincho" w:cs="Times New Roman"/>
          <w:lang w:eastAsia="ja-JP"/>
        </w:rPr>
      </w:pPr>
      <w:r>
        <w:rPr>
          <w:b/>
          <w:bCs/>
        </w:rPr>
        <w:t>Get Help.</w:t>
      </w:r>
      <w:r>
        <w:rPr>
          <w:rFonts w:eastAsia="MS Mincho" w:cs="Times New Roman"/>
          <w:lang w:eastAsia="ja-JP"/>
        </w:rPr>
        <w:t xml:space="preserve"> </w:t>
      </w:r>
    </w:p>
    <w:p>
      <w:pPr>
        <w:pStyle w:val="ListParagraph"/>
        <w:numPr>
          <w:ilvl w:val="0"/>
          <w:numId w:val="1"/>
        </w:numPr>
        <w:spacing w:before="120" w:after="120"/>
        <w:ind w:hanging="360" w:left="90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1"/>
        </w:numPr>
        <w:spacing w:before="120" w:after="120"/>
        <w:ind w:hanging="360" w:left="1800"/>
        <w:contextualSpacing/>
        <w:rPr>
          <w:sz w:val="20"/>
          <w:szCs w:val="20"/>
        </w:rPr>
      </w:pPr>
      <w:r>
        <w:rPr>
          <w:sz w:val="20"/>
          <w:szCs w:val="20"/>
        </w:rPr>
        <w:t xml:space="preserve">Agent </w:t>
      </w:r>
    </w:p>
    <w:p>
      <w:pPr>
        <w:pStyle w:val="ListParagraph"/>
        <w:numPr>
          <w:ilvl w:val="2"/>
          <w:numId w:val="1"/>
        </w:numPr>
        <w:spacing w:before="120" w:after="120"/>
        <w:ind w:hanging="360" w:left="1800"/>
        <w:contextualSpacing/>
        <w:rPr>
          <w:sz w:val="20"/>
          <w:szCs w:val="20"/>
        </w:rPr>
      </w:pPr>
      <w:r>
        <w:rPr>
          <w:sz w:val="20"/>
          <w:szCs w:val="20"/>
        </w:rPr>
        <w:t xml:space="preserve">Dose </w:t>
      </w:r>
    </w:p>
    <w:p>
      <w:pPr>
        <w:pStyle w:val="ListParagraph"/>
        <w:numPr>
          <w:ilvl w:val="2"/>
          <w:numId w:val="1"/>
        </w:numPr>
        <w:spacing w:before="120" w:after="120"/>
        <w:ind w:hanging="360" w:left="1800"/>
        <w:contextualSpacing/>
        <w:rPr>
          <w:sz w:val="20"/>
          <w:szCs w:val="20"/>
        </w:rPr>
      </w:pPr>
      <w:r>
        <w:rPr>
          <w:sz w:val="20"/>
          <w:szCs w:val="20"/>
        </w:rPr>
        <w:t xml:space="preserve">Route of exposure </w:t>
      </w:r>
    </w:p>
    <w:p>
      <w:pPr>
        <w:pStyle w:val="ListParagraph"/>
        <w:numPr>
          <w:ilvl w:val="2"/>
          <w:numId w:val="1"/>
        </w:numPr>
        <w:spacing w:before="120" w:after="120"/>
        <w:ind w:hanging="360" w:left="1800"/>
        <w:contextualSpacing/>
        <w:rPr>
          <w:sz w:val="20"/>
          <w:szCs w:val="20"/>
        </w:rPr>
      </w:pPr>
      <w:r>
        <w:rPr>
          <w:sz w:val="20"/>
          <w:szCs w:val="20"/>
        </w:rPr>
        <w:t xml:space="preserve">Time since exposure </w:t>
      </w:r>
    </w:p>
    <w:p>
      <w:pPr>
        <w:pStyle w:val="ListParagraph"/>
        <w:numPr>
          <w:ilvl w:val="0"/>
          <w:numId w:val="1"/>
        </w:numPr>
        <w:spacing w:before="120" w:after="120"/>
        <w:ind w:hanging="360" w:left="900"/>
        <w:contextualSpacing/>
        <w:rPr>
          <w:sz w:val="20"/>
          <w:szCs w:val="20"/>
        </w:rPr>
      </w:pPr>
      <w:r>
        <w:rPr>
          <w:b/>
          <w:bCs/>
          <w:sz w:val="20"/>
          <w:szCs w:val="20"/>
        </w:rPr>
        <w:t>Bring</w:t>
      </w:r>
      <w:r>
        <w:rPr>
          <w:sz w:val="20"/>
          <w:szCs w:val="20"/>
        </w:rPr>
        <w:t xml:space="preserve"> </w:t>
      </w:r>
      <w:r>
        <w:rPr>
          <w:b/>
          <w:bCs/>
          <w:sz w:val="20"/>
          <w:szCs w:val="20"/>
        </w:rPr>
        <w:t>the SDS and this SOP</w:t>
      </w:r>
      <w:r>
        <w:rPr>
          <w:sz w:val="20"/>
          <w:szCs w:val="20"/>
        </w:rPr>
        <w:t xml:space="preserve"> to the Emergency Department</w:t>
      </w:r>
    </w:p>
    <w:p>
      <w:pPr>
        <w:pStyle w:val="ListParagraph"/>
        <w:numPr>
          <w:ilvl w:val="0"/>
          <w:numId w:val="1"/>
        </w:numPr>
        <w:spacing w:before="120" w:after="120"/>
        <w:ind w:hanging="360" w:left="90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1"/>
        </w:numPr>
        <w:spacing w:before="120" w:after="120"/>
        <w:ind w:hanging="360" w:left="90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rPr/>
      </w:pPr>
      <w:r>
        <w:rPr>
          <w:b/>
          <w:bCs/>
        </w:rPr>
        <w:t>Report the incident to Environmental Health &amp; Safety</w:t>
      </w:r>
      <w:r>
        <w:rPr/>
        <w:t>.</w:t>
      </w:r>
    </w:p>
    <w:p>
      <w:pPr>
        <w:pStyle w:val="ListParagraph"/>
        <w:numPr>
          <w:ilvl w:val="0"/>
          <w:numId w:val="4"/>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4"/>
        </w:numPr>
        <w:spacing w:before="120" w:after="120"/>
        <w:contextualSpacing/>
        <w:rPr>
          <w:sz w:val="20"/>
          <w:szCs w:val="20"/>
        </w:rPr>
      </w:pPr>
      <w:r>
        <w:rPr>
          <w:sz w:val="20"/>
          <w:szCs w:val="20"/>
        </w:rPr>
        <w:t xml:space="preserve">During business hours (M‐F/8‐5), call 206‐543‐7262. </w:t>
      </w:r>
    </w:p>
    <w:p>
      <w:pPr>
        <w:pStyle w:val="ListParagraph"/>
        <w:numPr>
          <w:ilvl w:val="1"/>
          <w:numId w:val="4"/>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4"/>
        </w:numPr>
        <w:spacing w:before="120" w:after="120"/>
        <w:contextualSpacing/>
        <w:rPr>
          <w:rFonts w:cs="Arial"/>
          <w:sz w:val="20"/>
          <w:szCs w:val="20"/>
        </w:rPr>
      </w:pPr>
      <w:r>
        <w:rPr>
          <w:rFonts w:cs="Arial"/>
          <w:sz w:val="20"/>
          <w:szCs w:val="20"/>
        </w:rPr>
        <w:t>The involved person or supervisor submits the UW Online Accident Reporting System (OARS) form on the EH&amp;S website within 24 hours (</w:t>
      </w:r>
      <w:hyperlink r:id="rId10">
        <w:r>
          <w:rPr>
            <w:rStyle w:val="Hyperlink"/>
            <w:sz w:val="20"/>
            <w:szCs w:val="20"/>
          </w:rPr>
          <w:t>certain types of incidents</w:t>
        </w:r>
      </w:hyperlink>
      <w:r>
        <w:rPr>
          <w:sz w:val="20"/>
          <w:szCs w:val="20"/>
        </w:rPr>
        <w:t xml:space="preserve"> require immediate notification</w:t>
      </w:r>
      <w:r>
        <w:rPr>
          <w:rFonts w:cs="Arial"/>
          <w:sz w:val="20"/>
          <w:szCs w:val="20"/>
        </w:rPr>
        <w:t>) at oars.ehs.washington.edu.</w:t>
      </w:r>
    </w:p>
    <w:p>
      <w:pPr>
        <w:pStyle w:val="Header"/>
        <w:tabs>
          <w:tab w:val="left" w:pos="432" w:leader="none"/>
          <w:tab w:val="left" w:pos="720" w:leader="none"/>
          <w:tab w:val="center" w:pos="4680" w:leader="none"/>
          <w:tab w:val="right" w:pos="9360" w:leader="none"/>
        </w:tabs>
        <w:spacing w:lineRule="auto" w:line="288" w:before="120" w:after="120"/>
        <w:rPr>
          <w:rFonts w:ascii="Calibri" w:hAnsi="Calibri" w:cs="Calibri"/>
          <w:b/>
          <w:sz w:val="24"/>
          <w:szCs w:val="24"/>
        </w:rPr>
      </w:pPr>
      <w:r>
        <w:rPr>
          <w:rFonts w:cs="Calibri"/>
          <w:b/>
          <w:sz w:val="24"/>
          <w:szCs w:val="24"/>
        </w:rPr>
        <w:t xml:space="preserve">Section 6 – </w:t>
      </w:r>
      <w:r>
        <w:rPr>
          <w:b/>
          <w:bCs/>
          <w:sz w:val="24"/>
          <w:szCs w:val="24"/>
        </w:rPr>
        <w:t>Waste accumulation and disposal procedures</w:t>
      </w:r>
    </w:p>
    <w:p>
      <w:pPr>
        <w:pStyle w:val="Normal"/>
        <w:spacing w:lineRule="auto" w:line="240" w:before="0" w:after="120"/>
        <w:rPr/>
      </w:pPr>
      <w:r>
        <w:rPr>
          <w:highlight w:val="lightGray"/>
        </w:rPr>
        <w:t>REQUIRED - Describe specific waste disposal procedures for all waste streams generated with chloroform. Include appropriate containment practices, storage locations, and any specific storage or handling practices. If relevant, include instructions for updating chemical inventories.</w:t>
      </w:r>
    </w:p>
    <w:p>
      <w:pPr>
        <w:pStyle w:val="Normal"/>
        <w:spacing w:lineRule="auto" w:line="240" w:before="0" w:after="120"/>
        <w:rPr>
          <w:rFonts w:ascii="Calibri" w:hAnsi="Calibri" w:eastAsia="Times New Roman"/>
          <w:color w:val="FF0000"/>
        </w:rPr>
      </w:pPr>
      <w:r>
        <w:rPr>
          <w:rFonts w:eastAsia="Times New Roman"/>
          <w:color w:val="FF0000"/>
        </w:rPr>
      </w:r>
    </w:p>
    <w:p>
      <w:pPr>
        <w:pStyle w:val="Normal"/>
        <w:spacing w:lineRule="auto" w:line="288" w:before="120" w:after="120"/>
        <w:rPr>
          <w:rFonts w:ascii="Calibri" w:hAnsi="Calibri" w:eastAsia="Times New Roman"/>
          <w:sz w:val="18"/>
          <w:szCs w:val="18"/>
        </w:rPr>
      </w:pPr>
      <w:r>
        <w:rPr>
          <w:rFonts w:eastAsia="Times New Roman"/>
          <w:b/>
          <w:bCs/>
          <w:sz w:val="20"/>
          <w:szCs w:val="20"/>
        </w:rPr>
        <w:t>Accumulate waste at the point of generation</w:t>
      </w:r>
      <w:r>
        <w:rPr>
          <w:rFonts w:eastAsia="Times New Roman"/>
          <w:sz w:val="20"/>
          <w:szCs w:val="20"/>
        </w:rPr>
        <w:t xml:space="preserve"> in a sturdy,</w:t>
      </w:r>
      <w:r>
        <w:rPr>
          <w:rFonts w:cs="Arial"/>
          <w:sz w:val="20"/>
          <w:szCs w:val="20"/>
        </w:rPr>
        <w:t xml:space="preserve"> </w:t>
      </w:r>
      <w:r>
        <w:fldChar w:fldCharType="begin">
          <w:ffData>
            <w:name w:val="Bookmark Copy 15"/>
            <w:enabled/>
            <w:calcOnExit w:val="0"/>
            <w:textInput>
              <w:default w:val="[compatible contain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[compatible container]</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eastAsia="Times New Roman"/>
          <w:sz w:val="20"/>
          <w:szCs w:val="20"/>
        </w:rPr>
        <w:t>with a securely-closable/screw‐top lid.</w:t>
      </w:r>
      <w:r>
        <w:rPr>
          <w:rFonts w:eastAsia="Times New Roman"/>
          <w:sz w:val="18"/>
          <w:szCs w:val="18"/>
        </w:rPr>
        <w:t xml:space="preserve"> </w:t>
      </w:r>
    </w:p>
    <w:p>
      <w:pPr>
        <w:pStyle w:val="Normal"/>
        <w:spacing w:lineRule="auto" w:line="288" w:before="120" w:after="120"/>
        <w:rPr>
          <w:rFonts w:ascii="Calibri" w:hAnsi="Calibri" w:eastAsia="Times New Roman"/>
          <w:sz w:val="20"/>
          <w:szCs w:val="20"/>
        </w:rPr>
      </w:pPr>
      <w:r>
        <w:rPr>
          <w:rFonts w:eastAsia="Times New Roman"/>
          <w:b/>
          <w:bCs/>
          <w:sz w:val="20"/>
          <w:szCs w:val="20"/>
        </w:rPr>
        <w:t>All chemical waste containers must be labeled</w:t>
      </w:r>
      <w:r>
        <w:rPr>
          <w:rFonts w:eastAsia="Times New Roman"/>
          <w:sz w:val="20"/>
          <w:szCs w:val="20"/>
        </w:rPr>
        <w:t xml:space="preserve"> with a </w:t>
      </w:r>
      <w:hyperlink r:id="rId11">
        <w:r>
          <w:rPr>
            <w:rStyle w:val="Hyperlink"/>
            <w:rFonts w:eastAsia="Times New Roman"/>
            <w:sz w:val="20"/>
            <w:szCs w:val="20"/>
          </w:rPr>
          <w:t>UW Hazardous Waste Label</w:t>
        </w:r>
      </w:hyperlink>
      <w:r>
        <w:rPr>
          <w:rFonts w:eastAsia="Times New Roman"/>
          <w:sz w:val="20"/>
          <w:szCs w:val="20"/>
        </w:rPr>
        <w:t>. Refer to </w:t>
      </w:r>
      <w:hyperlink r:id="rId12" w:tgtFrame="_blank">
        <w:r>
          <w:rPr>
            <w:rStyle w:val="Hyperlink"/>
            <w:rFonts w:eastAsia="Times New Roman"/>
            <w:sz w:val="20"/>
            <w:szCs w:val="20"/>
          </w:rPr>
          <w:t>How to Label Chemical Waste Containers</w:t>
        </w:r>
      </w:hyperlink>
      <w:r>
        <w:rPr>
          <w:rFonts w:eastAsia="Times New Roman"/>
          <w:sz w:val="20"/>
          <w:szCs w:val="20"/>
        </w:rPr>
        <w:t>.</w:t>
      </w:r>
    </w:p>
    <w:p>
      <w:pPr>
        <w:pStyle w:val="Normal"/>
        <w:spacing w:lineRule="auto" w:line="288" w:before="120" w:after="120"/>
        <w:rPr>
          <w:rFonts w:ascii="Calibri" w:hAnsi="Calibri" w:eastAsia="Times New Roman"/>
          <w:sz w:val="20"/>
          <w:szCs w:val="20"/>
        </w:rPr>
      </w:pPr>
      <w:r>
        <w:rPr>
          <w:rFonts w:eastAsia="Times New Roman"/>
          <w:sz w:val="20"/>
          <w:szCs w:val="20"/>
        </w:rPr>
        <w:t xml:space="preserve">To request a collection of chemical waste, submit a form on the </w:t>
      </w:r>
      <w:hyperlink r:id="rId13">
        <w:r>
          <w:rPr>
            <w:rStyle w:val="Hyperlink"/>
            <w:rFonts w:eastAsia="Times New Roman"/>
            <w:sz w:val="20"/>
            <w:szCs w:val="20"/>
          </w:rPr>
          <w:t>Chemical Waste Disposal</w:t>
        </w:r>
      </w:hyperlink>
      <w:r>
        <w:rPr>
          <w:rFonts w:eastAsia="Times New Roman"/>
          <w:sz w:val="20"/>
          <w:szCs w:val="20"/>
        </w:rPr>
        <w:t xml:space="preserve"> webpage on the EH&amp;S website or directly in </w:t>
      </w:r>
      <w:hyperlink r:id="rId14">
        <w:r>
          <w:rPr>
            <w:rStyle w:val="Hyperlink"/>
            <w:rFonts w:eastAsia="Times New Roman"/>
            <w:sz w:val="20"/>
            <w:szCs w:val="20"/>
          </w:rPr>
          <w:t>MyChem</w:t>
        </w:r>
      </w:hyperlink>
      <w:r>
        <w:rPr>
          <w:rFonts w:eastAsia="Times New Roman"/>
          <w:sz w:val="20"/>
          <w:szCs w:val="20"/>
        </w:rPr>
        <w:t xml:space="preserve"> inventory. Contact EH&amp;S at 206.616.5835 or </w:t>
      </w:r>
      <w:hyperlink r:id="rId15">
        <w:r>
          <w:rPr>
            <w:rStyle w:val="Hyperlink"/>
            <w:rFonts w:eastAsia="Times New Roman"/>
            <w:sz w:val="20"/>
            <w:szCs w:val="20"/>
          </w:rPr>
          <w:t>chmwaste@uw.edu</w:t>
        </w:r>
      </w:hyperlink>
      <w:r>
        <w:rPr>
          <w:rFonts w:eastAsia="Times New Roman"/>
          <w:sz w:val="20"/>
          <w:szCs w:val="20"/>
        </w:rPr>
        <w:t xml:space="preserve"> with questions.</w:t>
      </w:r>
    </w:p>
    <w:p>
      <w:pPr>
        <w:pStyle w:val="Normal"/>
        <w:spacing w:lineRule="auto" w:line="288" w:before="120" w:after="120"/>
        <w:rPr>
          <w:rFonts w:cs="Arial"/>
          <w:sz w:val="20"/>
          <w:szCs w:val="20"/>
        </w:rPr>
      </w:pPr>
      <w:r>
        <w:rPr>
          <w:rFonts w:cs="Arial"/>
          <w:sz w:val="20"/>
          <w:szCs w:val="20"/>
        </w:rPr>
        <w:t xml:space="preserve">Work area decontamination procedures as appropriate for the chemical in use should be followed.  </w:t>
      </w:r>
      <w:sdt>
        <w:sdtPr>
          <w:id w:val="1604683060"/>
          <w:text/>
        </w:sdtPr>
        <w:sdtContent>
          <w:r>
            <w:rPr>
              <w:rFonts w:cs="Arial"/>
              <w:sz w:val="20"/>
              <w:szCs w:val="20"/>
            </w:rPr>
          </w:r>
          <w:r>
            <w:rPr>
              <w:rFonts w:cs="Arial"/>
              <w:sz w:val="20"/>
              <w:szCs w:val="20"/>
            </w:rPr>
          </w:r>
        </w:sdtContent>
      </w:sdt>
    </w:p>
    <w:p>
      <w:pPr>
        <w:pStyle w:val="Heading1"/>
        <w:rPr>
          <w:rFonts w:ascii="Calibri" w:hAnsi="Calibri" w:cs="Calibri"/>
          <w:b/>
        </w:rPr>
      </w:pPr>
      <w:r>
        <w:rPr>
          <w:rFonts w:cs="Calibri" w:ascii="Calibri" w:hAnsi="Calibri"/>
          <w:b/>
        </w:rPr>
      </w:r>
    </w:p>
    <w:p>
      <w:pPr>
        <w:pStyle w:val="Heading1"/>
        <w:rPr>
          <w:rFonts w:ascii="Calibri" w:hAnsi="Calibri" w:cs="Calibri"/>
          <w:b/>
        </w:rPr>
      </w:pPr>
      <w:r>
        <w:rPr>
          <w:rFonts w:cs="Calibri" w:ascii="Calibri" w:hAnsi="Calibri"/>
          <w:b/>
        </w:rPr>
        <w:t xml:space="preserve">Section 7 – Process/Protocol </w:t>
      </w:r>
      <w:sdt>
        <w:sdtPr>
          <w:placeholder>
            <w:docPart w:val="A0990F28C70E4D94933704F6BB1F701C"/>
          </w:placeholder>
          <w:id w:val="1032305050"/>
          <w:text/>
        </w:sdtPr>
        <w:sdtContent>
          <w:r>
            <w:rPr>
              <w:rFonts w:cs="Calibri" w:ascii="Calibri" w:hAnsi="Calibri"/>
              <w:b/>
            </w:rPr>
          </w:r>
          <w:r>
            <w:rPr>
              <w:rFonts w:cs="Calibri" w:ascii="Calibri" w:hAnsi="Calibri"/>
              <w:b/>
            </w:rPr>
          </w:r>
        </w:sdtContent>
      </w:sdt>
    </w:p>
    <w:p>
      <w:pPr>
        <w:pStyle w:val="Normal"/>
        <w:tabs>
          <w:tab w:val="clear" w:pos="720"/>
          <w:tab w:val="center" w:pos="4680" w:leader="none"/>
        </w:tabs>
        <w:spacing w:lineRule="auto" w:line="288" w:before="120" w:after="120"/>
        <w:rPr>
          <w:rFonts w:cs="Calibri" w:cstheme="minorHAnsi"/>
        </w:rPr>
      </w:pPr>
      <w:r>
        <w:rPr>
          <w:rFonts w:cs="Calibri" w:cstheme="minorHAnsi"/>
          <w:b/>
          <w:sz w:val="20"/>
          <w:szCs w:val="20"/>
        </w:rPr>
        <w:t>NOTE:</w:t>
      </w:r>
      <w:r>
        <w:rPr>
          <w:rFonts w:cs="Calibri" w:cstheme="minorHAnsi"/>
          <w:sz w:val="20"/>
          <w:szCs w:val="20"/>
        </w:rPr>
        <w:t xml:space="preserve"> Any deviation from this SOP requires approval from Principal Investigator.</w:t>
      </w:r>
      <w:r>
        <w:rPr>
          <w:rFonts w:cs="Calibri" w:cstheme="minorHAnsi"/>
        </w:rPr>
        <w:tab/>
      </w:r>
    </w:p>
    <w:p>
      <w:pPr>
        <w:pStyle w:val="Heading1"/>
        <w:rPr>
          <w:rFonts w:ascii="Calibri" w:hAnsi="Calibri" w:cs="Calibri"/>
          <w:b/>
        </w:rPr>
      </w:pPr>
      <w:r>
        <w:rPr>
          <w:rFonts w:cs="Calibri" w:ascii="Calibri" w:hAnsi="Calibri"/>
          <w:b/>
        </w:rPr>
        <w:t xml:space="preserve">Section 8 – Special Precautions for Animal Use (___Yes   </w:t>
      </w:r>
      <w:r>
        <w:rPr>
          <w:rFonts w:cs="Calibri" w:ascii="Calibri" w:hAnsi="Calibri"/>
          <w:b/>
        </w:rPr>
        <w:t>___</w:t>
      </w:r>
      <w:r>
        <w:rPr>
          <w:rFonts w:cs="Calibri" w:ascii="Calibri" w:hAnsi="Calibri"/>
          <w:b/>
        </w:rPr>
        <w:t>No)</w:t>
      </w:r>
    </w:p>
    <w:p>
      <w:pPr>
        <w:pStyle w:val="Normal"/>
        <w:spacing w:lineRule="auto" w:line="288" w:before="0" w:after="120"/>
        <w:rPr>
          <w:sz w:val="20"/>
          <w:szCs w:val="20"/>
        </w:rPr>
      </w:pPr>
      <w:r>
        <w:rPr/>
      </w:r>
    </w:p>
    <w:p>
      <w:pPr>
        <w:pStyle w:val="Normal"/>
        <w:spacing w:lineRule="auto" w:line="288" w:before="0" w:after="120"/>
        <w:rPr/>
      </w:pPr>
      <w:r>
        <w:rPr>
          <w:b/>
          <w:bCs/>
          <w:sz w:val="20"/>
          <w:szCs w:val="20"/>
        </w:rPr>
        <w:t>N/A</w:t>
      </w:r>
      <w:sdt>
        <w:sdtPr>
          <w:id w:val="-1914537939"/>
          <w:text/>
        </w:sdtPr>
        <w:sdtContent>
          <w:r>
            <w:rPr>
              <w:rFonts w:cs="Arial"/>
            </w:rPr>
          </w:r>
          <w:r>
            <w:rPr>
              <w:rFonts w:cs="Arial"/>
            </w:rPr>
          </w:r>
        </w:sdtContent>
      </w:sdt>
    </w:p>
    <w:p>
      <w:pPr>
        <w:pStyle w:val="Normal"/>
        <w:spacing w:lineRule="auto" w:line="288" w:before="0" w:after="120"/>
        <w:rPr>
          <w:rFonts w:eastAsia="MS Mincho"/>
          <w:color w:val="FF0000"/>
          <w:sz w:val="20"/>
          <w:szCs w:val="20"/>
          <w:lang w:eastAsia="ja-JP"/>
        </w:rPr>
      </w:pPr>
      <w:r>
        <w:rPr>
          <w:rFonts w:eastAsia="MS Mincho"/>
          <w:color w:val="FF0000"/>
          <w:sz w:val="20"/>
          <w:szCs w:val="20"/>
          <w:lang w:eastAsia="ja-JP"/>
        </w:rPr>
      </w:r>
    </w:p>
    <w:tbl>
      <w:tblPr>
        <w:tblW w:w="9483" w:type="dxa"/>
        <w:jc w:val="left"/>
        <w:tblInd w:w="-3" w:type="dxa"/>
        <w:tblLayout w:type="fixed"/>
        <w:tblCellMar>
          <w:top w:w="0" w:type="dxa"/>
          <w:left w:w="120" w:type="dxa"/>
          <w:bottom w:w="0" w:type="dxa"/>
          <w:right w:w="120" w:type="dxa"/>
        </w:tblCellMar>
        <w:tblLook w:val="04a0" w:noHBand="0" w:noVBand="1" w:firstColumn="1" w:lastRow="0" w:lastColumn="0" w:firstRow="1"/>
      </w:tblPr>
      <w:tblGrid>
        <w:gridCol w:w="3271"/>
        <w:gridCol w:w="1622"/>
        <w:gridCol w:w="4590"/>
      </w:tblGrid>
      <w:tr>
        <w:trPr>
          <w:trHeight w:val="300" w:hRule="atLeast"/>
          <w:cantSplit w:val="true"/>
        </w:trPr>
        <w:tc>
          <w:tcPr>
            <w:tcW w:w="3271" w:type="dxa"/>
            <w:vMerge w:val="restart"/>
            <w:tcBorders>
              <w:top w:val="single" w:sz="2" w:space="0" w:color="000000"/>
              <w:left w:val="single" w:sz="2" w:space="0" w:color="000000"/>
              <w:bottom w:val="single" w:sz="2" w:space="0" w:color="000000"/>
              <w:right w:val="single" w:sz="2" w:space="0" w:color="000000"/>
            </w:tcBorders>
            <w:shd w:color="auto" w:fill="FFFFFF" w:val="pct30"/>
            <w:vAlign w:val="bottom"/>
          </w:tcPr>
          <w:p>
            <w:pPr>
              <w:pStyle w:val="Header"/>
              <w:tabs>
                <w:tab w:val="left" w:pos="0" w:leader="none"/>
                <w:tab w:val="left" w:pos="475" w:leader="none"/>
                <w:tab w:val="left" w:pos="950" w:leader="none"/>
                <w:tab w:val="left" w:pos="1425" w:leader="none"/>
                <w:tab w:val="left" w:pos="1900" w:leader="none"/>
                <w:tab w:val="left" w:pos="2375" w:leader="none"/>
                <w:tab w:val="left" w:pos="2850" w:leader="none"/>
                <w:tab w:val="left" w:pos="3325" w:leader="none"/>
                <w:tab w:val="left" w:pos="3800" w:leader="none"/>
                <w:tab w:val="left" w:pos="4275" w:leader="none"/>
                <w:tab w:val="center" w:pos="4680" w:leader="none"/>
                <w:tab w:val="left" w:pos="4750" w:leader="none"/>
                <w:tab w:val="left" w:pos="5225" w:leader="none"/>
                <w:tab w:val="left" w:pos="5700" w:leader="none"/>
                <w:tab w:val="left" w:pos="6175" w:leader="none"/>
                <w:tab w:val="left" w:pos="6650" w:leader="none"/>
                <w:tab w:val="left" w:pos="7125" w:leader="none"/>
                <w:tab w:val="left" w:pos="7600" w:leader="none"/>
                <w:tab w:val="left" w:pos="8075" w:leader="none"/>
                <w:tab w:val="left" w:pos="8550" w:leader="none"/>
                <w:tab w:val="left" w:pos="9025" w:leader="none"/>
                <w:tab w:val="right" w:pos="9360" w:leader="none"/>
                <w:tab w:val="left" w:pos="9500" w:leader="none"/>
                <w:tab w:val="left" w:pos="9975" w:leader="none"/>
              </w:tabs>
              <w:spacing w:before="0" w:after="43"/>
              <w:jc w:val="center"/>
              <w:rPr>
                <w:rFonts w:cs="Calibri" w:cstheme="minorHAnsi"/>
                <w:b/>
                <w:sz w:val="28"/>
                <w:szCs w:val="28"/>
              </w:rPr>
            </w:pPr>
            <w:hyperlink r:id="rId16">
              <w:r>
                <w:rPr>
                  <w:rStyle w:val="Hyperlink"/>
                  <w:rFonts w:cs="Calibri" w:cstheme="minorHAnsi"/>
                  <w:b/>
                  <w:sz w:val="28"/>
                  <w:szCs w:val="28"/>
                </w:rPr>
                <w:t>PARTICULARLY HAZARDOUS SUBSTANCE</w:t>
              </w:r>
            </w:hyperlink>
            <w:r>
              <w:rPr>
                <w:rFonts w:cs="Calibri" w:cstheme="minorHAnsi"/>
                <w:b/>
                <w:sz w:val="28"/>
                <w:szCs w:val="28"/>
              </w:rPr>
              <w:t xml:space="preserve"> INVOLVED?</w:t>
            </w:r>
          </w:p>
        </w:tc>
        <w:tc>
          <w:tcPr>
            <w:tcW w:w="1622" w:type="dxa"/>
            <w:tcBorders>
              <w:top w:val="single" w:sz="2" w:space="0" w:color="000000"/>
              <w:left w:val="single" w:sz="2" w:space="0" w:color="000000"/>
              <w:bottom w:val="single" w:sz="2" w:space="0" w:color="000000"/>
            </w:tcBorders>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u w:val="single"/>
              </w:rPr>
              <w:t>X</w:t>
            </w:r>
            <w:r>
              <w:rPr>
                <w:rFonts w:cs="Calibri" w:cstheme="minorHAnsi"/>
                <w:b/>
                <w:sz w:val="28"/>
                <w:szCs w:val="28"/>
              </w:rPr>
              <w:t xml:space="preserve"> YES:</w:t>
            </w:r>
          </w:p>
        </w:tc>
        <w:tc>
          <w:tcPr>
            <w:tcW w:w="4590" w:type="dxa"/>
            <w:tcBorders>
              <w:top w:val="single" w:sz="2" w:space="0" w:color="000000"/>
              <w:bottom w:val="single" w:sz="2" w:space="0" w:color="000000"/>
              <w:right w:val="single" w:sz="2" w:space="0" w:color="000000"/>
            </w:tcBorders>
            <w:shd w:color="auto" w:fill="FFFFFF" w:val="pct30"/>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rPr>
              <w:t>Sections #9 to #11 are Mandatory</w:t>
            </w:r>
          </w:p>
        </w:tc>
      </w:tr>
      <w:tr>
        <w:trPr>
          <w:trHeight w:val="300" w:hRule="atLeast"/>
          <w:cantSplit w:val="true"/>
        </w:trPr>
        <w:tc>
          <w:tcPr>
            <w:tcW w:w="3271"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pacing w:before="0" w:after="200"/>
              <w:rPr>
                <w:rFonts w:cs="Calibri" w:cstheme="minorHAnsi"/>
                <w:b/>
                <w:sz w:val="28"/>
                <w:szCs w:val="28"/>
              </w:rPr>
            </w:pPr>
            <w:r>
              <w:rPr>
                <w:rFonts w:cs="Calibri" w:cstheme="minorHAnsi"/>
                <w:b/>
                <w:sz w:val="28"/>
                <w:szCs w:val="28"/>
              </w:rPr>
            </w:r>
          </w:p>
        </w:tc>
        <w:tc>
          <w:tcPr>
            <w:tcW w:w="1622" w:type="dxa"/>
            <w:tcBorders>
              <w:top w:val="single" w:sz="2" w:space="0" w:color="000000"/>
              <w:left w:val="single" w:sz="2" w:space="0" w:color="000000"/>
              <w:bottom w:val="single" w:sz="2" w:space="0" w:color="000000"/>
            </w:tcBorders>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u w:val="single"/>
              </w:rPr>
              <w:t xml:space="preserve">    </w:t>
            </w:r>
            <w:r>
              <w:rPr>
                <w:rFonts w:cs="Calibri" w:cstheme="minorHAnsi"/>
                <w:b/>
                <w:sz w:val="28"/>
                <w:szCs w:val="28"/>
              </w:rPr>
              <w:t xml:space="preserve">  </w:t>
            </w:r>
            <w:r>
              <w:rPr>
                <w:rFonts w:cs="Calibri" w:cstheme="minorHAnsi"/>
                <w:b/>
                <w:sz w:val="28"/>
                <w:szCs w:val="28"/>
              </w:rPr>
              <w:t>NO:</w:t>
            </w:r>
          </w:p>
        </w:tc>
        <w:tc>
          <w:tcPr>
            <w:tcW w:w="4590" w:type="dxa"/>
            <w:tcBorders>
              <w:top w:val="single" w:sz="2" w:space="0" w:color="000000"/>
              <w:bottom w:val="single" w:sz="2" w:space="0" w:color="000000"/>
              <w:right w:val="single" w:sz="2" w:space="0" w:color="000000"/>
            </w:tcBorders>
            <w:shd w:color="auto" w:fill="FFFFFF" w:val="pct30"/>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rPr>
              <w:t>Sections #9 to #11 are Optional.</w:t>
            </w:r>
          </w:p>
        </w:tc>
      </w:tr>
    </w:tbl>
    <w:p>
      <w:pPr>
        <w:pStyle w:val="Normal"/>
        <w:spacing w:lineRule="auto" w:line="240" w:before="120" w:after="120"/>
        <w:rPr>
          <w:rFonts w:ascii="Calibri" w:hAnsi="Calibri" w:eastAsia="Times New Roman" w:cs="Calibri"/>
          <w:b/>
          <w:color w:val="FF0000"/>
        </w:rPr>
      </w:pPr>
      <w:r>
        <w:rPr>
          <w:rFonts w:eastAsia="Times New Roman" w:cs="Calibri"/>
          <w:b/>
          <w:color w:val="FF0000"/>
        </w:rPr>
      </w:r>
    </w:p>
    <w:p>
      <w:pPr>
        <w:pStyle w:val="Heading1"/>
        <w:rPr>
          <w:rFonts w:ascii="Calibri" w:hAnsi="Calibri" w:cs="Calibri"/>
          <w:b/>
        </w:rPr>
      </w:pPr>
      <w:r>
        <w:rPr>
          <w:rFonts w:cs="Calibri" w:ascii="Calibri" w:hAnsi="Calibri"/>
          <w:b/>
        </w:rPr>
        <w:t xml:space="preserve">Section 9 – Approvals required </w:t>
      </w:r>
    </w:p>
    <w:p>
      <w:pPr>
        <w:pStyle w:val="Normal"/>
        <w:spacing w:lineRule="auto" w:line="288" w:before="0" w:after="120"/>
        <w:rPr>
          <w:sz w:val="20"/>
          <w:szCs w:val="20"/>
        </w:rPr>
      </w:pPr>
      <w:r>
        <w:rPr>
          <w:sz w:val="20"/>
          <w:szCs w:val="20"/>
        </w:rPr>
        <w:t>All staff working with</w:t>
      </w:r>
      <w:r>
        <w:rPr>
          <w:b/>
          <w:sz w:val="20"/>
          <w:szCs w:val="20"/>
        </w:rPr>
        <w:t xml:space="preserve"> chloroform</w:t>
      </w:r>
      <w:r>
        <w:rPr>
          <w:sz w:val="20"/>
          <w:szCs w:val="20"/>
        </w:rPr>
        <w:t xml:space="preserve"> must be trained on this SOP prior to starting work. They must also review the SDS, and it must be readily available in the laboratory. All training must be documented and maintained by the PI or their designee.</w:t>
      </w:r>
      <w:sdt>
        <w:sdtPr>
          <w:id w:val="435261326"/>
          <w:text/>
        </w:sdtPr>
        <w:sdtContent>
          <w:r>
            <w:rPr>
              <w:sz w:val="20"/>
              <w:szCs w:val="20"/>
            </w:rPr>
          </w:r>
          <w:r>
            <w:rPr>
              <w:sz w:val="20"/>
              <w:szCs w:val="20"/>
            </w:rPr>
          </w:r>
        </w:sdtContent>
      </w:sdt>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Section 10 – Decontamination</w:t>
      </w:r>
      <w:sdt>
        <w:sdtPr>
          <w:id w:val="1404185200"/>
          <w:text/>
        </w:sdtPr>
        <w:sdtContent>
          <w:r>
            <w:rPr>
              <w:rFonts w:cs="Calibri" w:ascii="Calibri" w:hAnsi="Calibri" w:asciiTheme="minorHAnsi" w:cstheme="minorHAnsi" w:hAnsiTheme="minorHAnsi"/>
              <w:b/>
              <w:bCs/>
            </w:rPr>
          </w:r>
          <w:r>
            <w:rPr>
              <w:rFonts w:cs="Calibri" w:ascii="Calibri" w:hAnsi="Calibri" w:asciiTheme="minorHAnsi" w:cstheme="minorHAnsi" w:hAnsiTheme="minorHAnsi"/>
              <w:b/>
              <w:bCs/>
            </w:rPr>
          </w:r>
        </w:sdtContent>
      </w:sdt>
    </w:p>
    <w:p>
      <w:pPr>
        <w:pStyle w:val="Heading1"/>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rPr>
        <w:t>Clean surfaces with water and dry.</w:t>
      </w:r>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Section 11 – Designated area</w:t>
      </w:r>
    </w:p>
    <w:p>
      <w:pPr>
        <w:pStyle w:val="Heading1"/>
        <w:rPr>
          <w:rFonts w:ascii="Calibri" w:hAnsi="Calibri" w:cs="Calibri" w:asciiTheme="minorHAnsi" w:cstheme="minorHAnsi" w:hAnsiTheme="minorHAnsi"/>
        </w:rPr>
      </w:pPr>
      <w:r>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Fume hood</w:t>
      </w:r>
      <w:sdt>
        <w:sdtPr>
          <w:id w:val="-555704424"/>
          <w:text/>
        </w:sdtPr>
        <w:sdtContent>
          <w:r>
            <w:rPr/>
          </w:r>
          <w:r>
            <w:rPr/>
          </w:r>
        </w:sdtContent>
      </w:sdt>
    </w:p>
    <w:p>
      <w:pPr>
        <w:pStyle w:val="Heading1"/>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Section 12 – Documentation of training</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 xml:space="preserve">Training must be repeated following </w:t>
      </w:r>
      <w:r>
        <w:rPr>
          <w:rFonts w:eastAsia="MS Mincho" w:cs="Calibri" w:cstheme="minorHAnsi"/>
          <w:b/>
          <w:sz w:val="20"/>
          <w:szCs w:val="20"/>
          <w:lang w:eastAsia="ja-JP"/>
        </w:rPr>
        <w:t>any</w:t>
      </w:r>
      <w:r>
        <w:rPr>
          <w:rFonts w:eastAsia="MS Mincho" w:cs="Calibri" w:cstheme="minorHAnsi"/>
          <w:sz w:val="20"/>
          <w:szCs w:val="20"/>
          <w:lang w:eastAsia="ja-JP"/>
        </w:rPr>
        <w:t xml:space="preserve"> revision to the content of this SOP.  </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 xml:space="preserve">Training </w:t>
      </w:r>
      <w:r>
        <w:rPr>
          <w:rFonts w:eastAsia="MS Mincho" w:cs="Calibri" w:cstheme="minorHAnsi"/>
          <w:sz w:val="20"/>
          <w:szCs w:val="20"/>
          <w:u w:val="single"/>
          <w:lang w:eastAsia="ja-JP"/>
        </w:rPr>
        <w:t>must be documented</w:t>
      </w:r>
      <w:r>
        <w:rPr>
          <w:rFonts w:eastAsia="MS Mincho" w:cs="Calibri" w:cstheme="minorHAnsi"/>
          <w:sz w:val="20"/>
          <w:szCs w:val="20"/>
          <w:lang w:eastAsia="ja-JP"/>
        </w:rPr>
        <w:t>.  This training sheet is provided as one option; other forms of training documentation (including electronic) are acceptable but records must be accessible and immediately available upon request.</w:t>
      </w:r>
    </w:p>
    <w:p>
      <w:pPr>
        <w:pStyle w:val="Normal"/>
        <w:spacing w:lineRule="auto" w:line="288" w:before="120" w:after="120"/>
        <w:rPr>
          <w:rFonts w:cs="Calibri" w:cstheme="minorHAnsi"/>
          <w:b/>
          <w:sz w:val="20"/>
          <w:szCs w:val="20"/>
        </w:rPr>
      </w:pPr>
      <w:r>
        <w:rPr>
          <w:rFonts w:cs="Calibri" w:cstheme="minorHAnsi"/>
          <w:b/>
          <w:sz w:val="20"/>
          <w:szCs w:val="20"/>
        </w:rPr>
        <w:t xml:space="preserve"> </w:t>
      </w: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3"/>
        <w:gridCol w:w="3347"/>
        <w:gridCol w:w="2130"/>
      </w:tblGrid>
      <w:tr>
        <w:trPr>
          <w:tblHeader w:val="true"/>
          <w:trHeight w:val="576" w:hRule="atLeast"/>
        </w:trPr>
        <w:tc>
          <w:tcPr>
            <w:tcW w:w="3873" w:type="dxa"/>
            <w:tcBorders/>
            <w:shd w:color="auto" w:fill="F2F2F2" w:themeFill="background1" w:themeFillShade="f2" w:val="clear"/>
          </w:tcPr>
          <w:p>
            <w:pPr>
              <w:pStyle w:val="Normal"/>
              <w:widowControl/>
              <w:suppressAutoHyphens w:val="true"/>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Name</w:t>
            </w:r>
          </w:p>
        </w:tc>
        <w:tc>
          <w:tcPr>
            <w:tcW w:w="3347" w:type="dxa"/>
            <w:tcBorders/>
            <w:shd w:color="auto" w:fill="F2F2F2" w:themeFill="background1" w:themeFillShade="f2" w:val="clear"/>
          </w:tcPr>
          <w:p>
            <w:pPr>
              <w:pStyle w:val="Normal"/>
              <w:widowControl/>
              <w:suppressAutoHyphens w:val="true"/>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suppressAutoHyphens w:val="true"/>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Date</w:t>
            </w:r>
          </w:p>
        </w:tc>
      </w:tr>
      <w:tr>
        <w:trPr>
          <w:tblHeader w:val="true"/>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2"/>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  Sam White   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  09-30-2025   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6"/>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7"/>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8"/>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29"/>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0"/>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1"/>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2"/>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3"/>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4"/>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5"/>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6"/>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7"/>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8"/>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39"/>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0"/>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1"/>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2"/>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4"/>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5"/>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49"/>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0"/>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1"/>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2"/>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3"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7"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6"/>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uppressAutoHyphens w:val="true"/>
              <w:spacing w:lineRule="auto" w:line="288" w:before="120" w:after="120"/>
              <w:jc w:val="left"/>
              <w:rPr>
                <w:rFonts w:cs="Calibri" w:cstheme="minorHAnsi"/>
                <w:b/>
                <w:sz w:val="24"/>
                <w:szCs w:val="24"/>
              </w:rPr>
            </w:pPr>
            <w:r>
              <w:fldChar w:fldCharType="begin">
                <w:ffData>
                  <w:name w:val="Bookmark Copy 57"/>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bl>
    <w:p>
      <w:pPr>
        <w:pStyle w:val="Normal"/>
        <w:spacing w:lineRule="auto" w:line="288" w:before="120" w:after="120"/>
        <w:rPr>
          <w:rFonts w:cs="Calibri" w:cstheme="minorHAnsi"/>
          <w:b/>
          <w:sz w:val="24"/>
          <w:szCs w:val="24"/>
        </w:rPr>
      </w:pPr>
      <w:r>
        <w:rPr>
          <w:rFonts w:cs="Calibri" w:cstheme="minorHAnsi"/>
          <w:b/>
          <w:sz w:val="24"/>
          <w:szCs w:val="24"/>
        </w:rPr>
      </w:r>
    </w:p>
    <w:p>
      <w:pPr>
        <w:pStyle w:val="Normal"/>
        <w:spacing w:lineRule="auto" w:line="288" w:before="120" w:after="120"/>
        <w:rPr>
          <w:rFonts w:cs="Calibri" w:cstheme="minorHAnsi"/>
          <w:b/>
          <w:sz w:val="24"/>
          <w:szCs w:val="24"/>
        </w:rPr>
      </w:pPr>
      <w:r>
        <w:rPr>
          <w:rFonts w:cs="Calibri" w:cstheme="minorHAnsi"/>
          <w:b/>
          <w:sz w:val="24"/>
          <w:szCs w:val="24"/>
        </w:rPr>
      </w:r>
    </w:p>
    <w:sectPr>
      <w:headerReference w:type="even" r:id="rId17"/>
      <w:headerReference w:type="default" r:id="rId18"/>
      <w:headerReference w:type="first" r:id="rId19"/>
      <w:footerReference w:type="even" r:id="rId20"/>
      <w:footerReference w:type="default" r:id="rId21"/>
      <w:footerReference w:type="first" r:id="rId22"/>
      <w:type w:val="nextPage"/>
      <w:pgSz w:w="12240" w:h="15840"/>
      <w:pgMar w:left="1440" w:right="1440" w:gutter="0" w:header="432" w:top="1440" w:footer="288"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Chloroform SOP</w:t>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rFonts w:cs="Calibri" w:cstheme="minorHAnsi"/>
          <w:sz w:val="18"/>
          <w:szCs w:val="18"/>
        </w:rPr>
        <w:t>http://www.ehs.washington.edu</w:t>
      </w:r>
    </w:hyperlink>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6</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Chloroform SOP</w:t>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rFonts w:cs="Calibri" w:cstheme="minorHAnsi"/>
          <w:sz w:val="18"/>
          <w:szCs w:val="18"/>
        </w:rPr>
        <w:t>http://www.ehs.washington.edu</w:t>
      </w:r>
    </w:hyperlink>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6</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9">
          <wp:simplePos x="0" y="0"/>
          <wp:positionH relativeFrom="column">
            <wp:posOffset>-447675</wp:posOffset>
          </wp:positionH>
          <wp:positionV relativeFrom="paragraph">
            <wp:posOffset>173355</wp:posOffset>
          </wp:positionV>
          <wp:extent cx="3401060" cy="36576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9">
          <wp:simplePos x="0" y="0"/>
          <wp:positionH relativeFrom="column">
            <wp:posOffset>-447675</wp:posOffset>
          </wp:positionH>
          <wp:positionV relativeFrom="paragraph">
            <wp:posOffset>173355</wp:posOffset>
          </wp:positionV>
          <wp:extent cx="3401060" cy="365760"/>
          <wp:effectExtent l="0" t="0" r="0" b="0"/>
          <wp:wrapSquare wrapText="bothSides"/>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color w:themeColor="text1" w:themeTint="f2" w:val="0D0D0D"/>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50978"/>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themeColor="followedHyperlink" w:val="800080"/>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 w:cs="" w:asciiTheme="majorHAnsi" w:cstheme="majorBidi" w:eastAsiaTheme="majorEastAsia" w:hAnsiTheme="majorHAnsi"/>
      <w:b/>
      <w:bCs/>
      <w:color w:themeColor="accent1" w:val="4F81BD"/>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50978"/>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contextualSpacing/>
    </w:pPr>
    <w:rPr>
      <w:rFonts w:ascii="Calibri" w:hAnsi="Calibri" w:eastAsia="MS Mincho" w:cs="Times New Roman"/>
      <w:lang w:eastAsia="ja-JP"/>
    </w:rPr>
  </w:style>
  <w:style w:type="paragraph" w:styleId="NoSpacing">
    <w:name w:val="No Spacing"/>
    <w:uiPriority w:val="1"/>
    <w:qFormat/>
    <w:rsid w:val="003f564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Revision">
    <w:name w:val="Revision"/>
    <w:uiPriority w:val="99"/>
    <w:semiHidden/>
    <w:qFormat/>
    <w:rsid w:val="00545cb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hyperlink" Target="http://www.ehs.washington.edu/resource/incompatiblechemicals-focus-sheet-176" TargetMode="External"/><Relationship Id="rId7" Type="http://schemas.openxmlformats.org/officeDocument/2006/relationships/hyperlink" Target="http://www.ehs.washington.edu/chemical/hazardous-chemical-waste-disposal" TargetMode="External"/><Relationship Id="rId8" Type="http://schemas.openxmlformats.org/officeDocument/2006/relationships/hyperlink" Target="mailto:chmwaste@uw.edu" TargetMode="External"/><Relationship Id="rId9" Type="http://schemas.openxmlformats.org/officeDocument/2006/relationships/hyperlink" Target="https://ehs.washington.edu/workplace/accident-and-injury-reporting" TargetMode="External"/><Relationship Id="rId10" Type="http://schemas.openxmlformats.org/officeDocument/2006/relationships/hyperlink" Target="https://ehs.washington.edu/workplace/accident-and-injury-reporting" TargetMode="External"/><Relationship Id="rId11" Type="http://schemas.openxmlformats.org/officeDocument/2006/relationships/hyperlink" Target="https://www.ehs.washington.edu/chemical/hazardous-chemical-waste-disposal" TargetMode="External"/><Relationship Id="rId12" Type="http://schemas.openxmlformats.org/officeDocument/2006/relationships/hyperlink" Target="https://www.ehs.washington.edu/system/files/resources/how-to-label-chemical-waste-containers.pdf" TargetMode="External"/><Relationship Id="rId13" Type="http://schemas.openxmlformats.org/officeDocument/2006/relationships/hyperlink" Target="https://www.ehs.washington.edu/chemical/hazardous-chemical-waste-disposal" TargetMode="External"/><Relationship Id="rId14" Type="http://schemas.openxmlformats.org/officeDocument/2006/relationships/hyperlink" Target="https://www.ehs.washington.edu/chemical/mychem" TargetMode="External"/><Relationship Id="rId15" Type="http://schemas.openxmlformats.org/officeDocument/2006/relationships/hyperlink" Target="mailto:chmwaste@uw.edu" TargetMode="External"/><Relationship Id="rId16" Type="http://schemas.openxmlformats.org/officeDocument/2006/relationships/hyperlink" Target="https://www.ehs.washington.edu/resource/particularly-hazardous-substances-655"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www.ehs.washington.edu/" TargetMode="External"/>
</Relationships>
</file>

<file path=word/_rels/footer3.xml.rels><?xml version="1.0" encoding="UTF-8"?>
<Relationships xmlns="http://schemas.openxmlformats.org/package/2006/relationships"><Relationship Id="rId1" Type="http://schemas.openxmlformats.org/officeDocument/2006/relationships/hyperlink" Target="http://www.ehs.washington.edu/" TargetMode="Externa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_rels/header3.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
      <w:docPartPr>
        <w:name w:val="48559482C65444FE85BEC97550A40576"/>
        <w:category>
          <w:name w:val="General"/>
          <w:gallery w:val="placeholder"/>
        </w:category>
        <w:types>
          <w:type w:val="bbPlcHdr"/>
        </w:types>
        <w:behaviors>
          <w:behavior w:val="content"/>
        </w:behaviors>
        <w:guid w:val="{E395C4F2-53A8-4961-9645-509B809E86C3}"/>
      </w:docPartPr>
      <w:docPartBody>
        <w:p w:rsidR="00BE7415" w:rsidRDefault="00E916B0" w:rsidP="00E916B0">
          <w:pPr>
            <w:pStyle w:val="48559482C65444FE85BEC97550A40576"/>
          </w:pPr>
          <w:r w:rsidRPr="00E87EFD">
            <w:rPr>
              <w:rStyle w:val="PlaceholderText"/>
            </w:rPr>
            <w:t>Click here to enter text.</w:t>
          </w:r>
        </w:p>
      </w:docPartBody>
    </w:docPart>
    <w:docPart>
      <w:docPartPr>
        <w:name w:val="A0990F28C70E4D94933704F6BB1F701C"/>
        <w:category>
          <w:name w:val="General"/>
          <w:gallery w:val="placeholder"/>
        </w:category>
        <w:types>
          <w:type w:val="bbPlcHdr"/>
        </w:types>
        <w:behaviors>
          <w:behavior w:val="content"/>
        </w:behaviors>
        <w:guid w:val="{80786C4C-1ED9-49B8-A70D-E0B046B2063D}"/>
      </w:docPartPr>
      <w:docPartBody>
        <w:p w:rsidR="00BE7415" w:rsidRDefault="00E916B0" w:rsidP="00E916B0">
          <w:pPr>
            <w:pStyle w:val="A0990F28C70E4D94933704F6BB1F701C"/>
          </w:pPr>
          <w:r w:rsidRPr="00AA09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F542F"/>
    <w:rsid w:val="000F69A7"/>
    <w:rsid w:val="00152316"/>
    <w:rsid w:val="00183816"/>
    <w:rsid w:val="001934E5"/>
    <w:rsid w:val="001B5EBF"/>
    <w:rsid w:val="001D1AD3"/>
    <w:rsid w:val="001E1F7C"/>
    <w:rsid w:val="00260C72"/>
    <w:rsid w:val="0037324B"/>
    <w:rsid w:val="003A5A30"/>
    <w:rsid w:val="004262AE"/>
    <w:rsid w:val="00431ABF"/>
    <w:rsid w:val="004D6545"/>
    <w:rsid w:val="004F1CE5"/>
    <w:rsid w:val="00506434"/>
    <w:rsid w:val="005938EF"/>
    <w:rsid w:val="005A70F7"/>
    <w:rsid w:val="006606EC"/>
    <w:rsid w:val="00664E38"/>
    <w:rsid w:val="00696754"/>
    <w:rsid w:val="006B5186"/>
    <w:rsid w:val="006E0705"/>
    <w:rsid w:val="00701618"/>
    <w:rsid w:val="00706935"/>
    <w:rsid w:val="007211E0"/>
    <w:rsid w:val="00792D49"/>
    <w:rsid w:val="007A164D"/>
    <w:rsid w:val="007B6AFB"/>
    <w:rsid w:val="007B7C55"/>
    <w:rsid w:val="00820CF8"/>
    <w:rsid w:val="00843825"/>
    <w:rsid w:val="008A650D"/>
    <w:rsid w:val="008B6B37"/>
    <w:rsid w:val="00966BD6"/>
    <w:rsid w:val="00A56A4D"/>
    <w:rsid w:val="00A94EB8"/>
    <w:rsid w:val="00AA02E5"/>
    <w:rsid w:val="00B010C8"/>
    <w:rsid w:val="00B014BD"/>
    <w:rsid w:val="00B356E8"/>
    <w:rsid w:val="00B81870"/>
    <w:rsid w:val="00B86262"/>
    <w:rsid w:val="00BE172F"/>
    <w:rsid w:val="00BE53EC"/>
    <w:rsid w:val="00BE7415"/>
    <w:rsid w:val="00C22AD5"/>
    <w:rsid w:val="00C36209"/>
    <w:rsid w:val="00C445ED"/>
    <w:rsid w:val="00C673B7"/>
    <w:rsid w:val="00CA32D6"/>
    <w:rsid w:val="00D302C9"/>
    <w:rsid w:val="00D619D6"/>
    <w:rsid w:val="00D7087C"/>
    <w:rsid w:val="00D7284F"/>
    <w:rsid w:val="00D73B20"/>
    <w:rsid w:val="00D77C07"/>
    <w:rsid w:val="00D95356"/>
    <w:rsid w:val="00DB6431"/>
    <w:rsid w:val="00DF3CCD"/>
    <w:rsid w:val="00DF481B"/>
    <w:rsid w:val="00E44D33"/>
    <w:rsid w:val="00E904F3"/>
    <w:rsid w:val="00E916B0"/>
    <w:rsid w:val="00EE384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6B0"/>
    <w:rPr>
      <w:color w:val="808080"/>
    </w:rPr>
  </w:style>
  <w:style w:type="paragraph" w:customStyle="1" w:styleId="48559482C65444FE85BEC97550A40576">
    <w:name w:val="48559482C65444FE85BEC97550A40576"/>
    <w:rsid w:val="00E916B0"/>
    <w:pPr>
      <w:spacing w:after="160" w:line="259" w:lineRule="auto"/>
    </w:pPr>
  </w:style>
  <w:style w:type="paragraph" w:customStyle="1" w:styleId="A0990F28C70E4D94933704F6BB1F701C">
    <w:name w:val="A0990F28C70E4D94933704F6BB1F701C"/>
    <w:rsid w:val="00E916B0"/>
    <w:pPr>
      <w:spacing w:after="160" w:line="259" w:lineRule="auto"/>
    </w:p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69FBD-F62C-4EC3-9016-A497F862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LibreOffice/24.2.7.2$Linux_X86_64 LibreOffice_project/420$Build-2</Application>
  <AppVersion>15.0000</AppVersion>
  <Pages>6</Pages>
  <Words>1515</Words>
  <Characters>8479</Characters>
  <CharactersWithSpaces>10164</CharactersWithSpaces>
  <Paragraphs>138</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2024-01-29T18:49:00Z</dcterms:created>
  <dc:creator>Estey Theriault</dc:creator>
  <dc:description/>
  <dc:language>en-US</dc:language>
  <cp:lastModifiedBy/>
  <cp:lastPrinted>2020-06-08T21:27:00Z</cp:lastPrinted>
  <dcterms:modified xsi:type="dcterms:W3CDTF">2025-09-30T10:57:02Z</dcterms:modified>
  <cp:revision>9</cp:revision>
  <dc:subject/>
  <dc:title>Chloroform SOP</dc:title>
</cp:coreProperties>
</file>

<file path=docProps/custom.xml><?xml version="1.0" encoding="utf-8"?>
<Properties xmlns="http://schemas.openxmlformats.org/officeDocument/2006/custom-properties" xmlns:vt="http://schemas.openxmlformats.org/officeDocument/2006/docPropsVTypes"/>
</file>