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UNIVERSIDADE CATÓLICA DO SALVADOR</w:t>
      </w:r>
    </w:p>
    <w:p>
      <w:pPr>
        <w:spacing w:after="40"/>
        <w:jc w:val="center"/>
      </w:pPr>
      <w:r>
        <w:rPr>
          <w:sz w:val="20"/>
          <w:szCs w:val="20"/>
        </w:rPr>
        <w:t xml:space="preserve">Curso de Engenharia de Software</w:t>
      </w:r>
    </w:p>
    <w:p>
      <w:pPr>
        <w:spacing w:after="400"/>
        <w:jc w:val="center"/>
      </w:pPr>
      <w:r>
        <w:rPr>
          <w:sz w:val="20"/>
          <w:szCs w:val="20"/>
        </w:rPr>
        <w:t xml:space="preserve">Disciplina: Big Data e Analytics</w:t>
      </w:r>
    </w:p>
    <w:p>
      <w:pPr>
        <w:spacing w:after="80"/>
        <w:jc w:val="center"/>
      </w:pPr>
      <w:r>
        <w:rPr>
          <w:b/>
          <w:bCs/>
          <w:sz w:val="32"/>
          <w:szCs w:val="32"/>
        </w:rPr>
        <w:t xml:space="preserve">Projeto Prático de Big Data</w:t>
      </w:r>
    </w:p>
    <w:p>
      <w:pPr>
        <w:spacing w:after="40"/>
        <w:jc w:val="center"/>
      </w:pPr>
      <w:r>
        <w:rPr>
          <w:b/>
          <w:bCs/>
          <w:sz w:val="24"/>
          <w:szCs w:val="24"/>
        </w:rPr>
        <w:t xml:space="preserve">Etapa 1 — Levantamento de Parâmetros e Tipagem de Dados</w:t>
      </w:r>
    </w:p>
    <w:p>
      <w:pPr>
        <w:spacing w:after="400"/>
        <w:jc w:val="center"/>
      </w:pPr>
      <w:r>
        <w:rPr>
          <w:i/>
          <w:iCs/>
          <w:sz w:val="22"/>
          <w:szCs w:val="22"/>
        </w:rPr>
        <w:t xml:space="preserve">Tema 05: Acesso a Microcrédito e Inclusão Financeira Regional</w:t>
      </w:r>
    </w:p>
    <w:p>
      <w:pPr>
        <w:spacing w:after="80"/>
      </w:pPr>
      <w:r>
        <w:rPr>
          <w:b/>
          <w:bCs/>
          <w:sz w:val="22"/>
          <w:szCs w:val="22"/>
        </w:rPr>
        <w:t xml:space="preserve">Integrantes do grupo:</w:t>
      </w:r>
    </w:p>
    <w:p>
      <w:pPr>
        <w:spacing w:after="160"/>
        <w:jc w:val="both"/>
      </w:pPr>
      <w:r>
        <w:t xml:space="preserve">Vinicius Lago Cruz</w:t>
      </w:r>
    </w:p>
    <w:p>
      <w:pPr>
        <w:spacing w:after="160"/>
        <w:jc w:val="both"/>
      </w:pPr>
      <w:r>
        <w:t xml:space="preserve">Roberto Luis Jr.</w:t>
      </w:r>
    </w:p>
    <w:p>
      <w:pPr>
        <w:spacing w:after="160"/>
        <w:jc w:val="both"/>
      </w:pPr>
      <w:r>
        <w:t xml:space="preserve">Guilherme Chaves</w:t>
      </w:r>
    </w:p>
    <w:p>
      <w:pPr>
        <w:spacing w:after="160"/>
        <w:jc w:val="both"/>
      </w:pPr>
      <w:r>
        <w:t xml:space="preserve">Maria Fernanda Prandi</w:t>
      </w:r>
    </w:p>
    <w:p>
      <w:pPr>
        <w:spacing w:after="400" w:before="200"/>
      </w:pPr>
      <w:r>
        <w:rPr>
          <w:i/>
          <w:iCs/>
          <w:sz w:val="20"/>
          <w:szCs w:val="20"/>
        </w:rPr>
        <w:t xml:space="preserve">Atividade: AI 02 — Fase do Projeto (18/09/2026)</w:t>
      </w:r>
    </w:p>
    <w:p>
      <w:pPr>
        <w:pStyle w:val="Heading1"/>
        <w:spacing w:after="120" w:before="240"/>
      </w:pPr>
      <w:r>
        <w:t xml:space="preserve">1. Identificação da Fonte</w:t>
      </w:r>
    </w:p>
    <w:p>
      <w:pPr>
        <w:spacing w:after="160"/>
        <w:jc w:val="both"/>
      </w:pPr>
      <w:r>
        <w:t xml:space="preserve">A base de dados adotada para o tema de microcrédito e inclusão financeira regional é o Portal de Dados Abertos do Banco Central do Brasil (BCB), a partir de duas fontes complementares.</w:t>
      </w:r>
    </w:p>
    <w:p>
      <w:pPr>
        <w:pStyle w:val="ListParagraph"/>
        <w:numPr>
          <w:ilvl w:val="0"/>
          <w:numId w:val="2"/>
        </w:numPr>
        <w:spacing w:after="80"/>
        <w:jc w:val="both"/>
      </w:pPr>
      <w:r>
        <w:t xml:space="preserve">SCR.data (Sistema de Informações de Crédito): fonte principal do trabalho, pois disponibiliza dados de crédito já segmentados por região. Os arquivos são distribuídos em pacotes ZIP contendo CSV, atualizados mensalmente desde junho de 2012, com informações agregadas por Unidade da Federação, modalidade de crédito, segmento (pessoa física ou jurídica), CNAE ou ocupação e faixa de renda, incluindo indicadores de carteira ativa, inadimplência e ativo problemático.</w:t>
      </w:r>
    </w:p>
    <w:p>
      <w:pPr>
        <w:pStyle w:val="ListParagraph"/>
        <w:numPr>
          <w:ilvl w:val="0"/>
          <w:numId w:val="2"/>
        </w:numPr>
        <w:spacing w:after="80"/>
        <w:jc w:val="both"/>
      </w:pPr>
      <w:r>
        <w:t xml:space="preserve">API SGS (Sistema Gerenciador de Séries Temporais): reúne as séries históricas agregadas de microcrédito e é acessada por meio de uma API REST que retorna os dados em formato JSON ou CSV. As séries selecionadas foram a de número 20618, referente ao saldo da carteira de pessoa física em microcrédito destinado a microempreendedores, e a de número 20712, referente às concessões de microcrédito a pessoa física.</w:t>
      </w:r>
    </w:p>
    <w:p>
      <w:pPr>
        <w:spacing w:after="160"/>
        <w:jc w:val="both"/>
      </w:pPr>
      <w:r>
        <w:t xml:space="preserve">Como fonte complementar, o grupo poderá recorrer à Matriz de Dados do Crédito Rural (MDCR), disponível em CSV com contratos segmentados por Região, Unidade da Federação e Gênero, permitindo o cruzamento do recorte de microcrédito com a ODS 5 (Igualdade de Gênero).</w:t>
      </w:r>
    </w:p>
    <w:p>
      <w:pPr>
        <w:spacing w:after="160"/>
        <w:jc w:val="both"/>
      </w:pPr>
      <w:r>
        <w:t xml:space="preserve">Os microdados utilizados no projeto têm origem, portanto, em arquivos CSV obtidos por meio de pacotes ZIP e em respostas JSON provenientes de consultas à API REST do Banco Central.</w:t>
      </w:r>
    </w:p>
    <w:p>
      <w:pPr>
        <w:pStyle w:val="Heading1"/>
        <w:spacing w:after="120" w:before="240"/>
      </w:pPr>
      <w:r>
        <w:t xml:space="preserve">2. Estratégia de Otimização de Volume</w:t>
      </w:r>
    </w:p>
    <w:p>
      <w:pPr>
        <w:spacing w:after="160"/>
        <w:jc w:val="both"/>
      </w:pPr>
      <w:r>
        <w:t xml:space="preserve">Por disponibilizar os dados em nível agregado, e não por operação individual, o SCR.data apresenta volume significativamente inferior ao de bases como a RAIS ou o ENADE. Ainda assim, o uso do histórico completo desde 2012, considerando todas as Unidades da Federação e modalidades de crédito, ultrapassaria o limite de 1 GB do plano gratuito do PostgreSQL na Aiven. Diante disso, o grupo definiu três ações a serem aplicadas durante o processo de ETL.</w:t>
      </w:r>
    </w:p>
    <w:p>
      <w:pPr>
        <w:pStyle w:val="ListParagraph"/>
        <w:numPr>
          <w:ilvl w:val="0"/>
          <w:numId w:val="2"/>
        </w:numPr>
        <w:spacing w:after="80"/>
        <w:jc w:val="both"/>
      </w:pPr>
      <w:r>
        <w:t xml:space="preserve">Recorte temporal: a base será limitada aos registros a partir de 2021, descartando o histórico anterior. A escolha se justifica pelo interesse do projeto em analisar o comportamento recente do microcrédito, e não sua evolução desde o início da série.</w:t>
      </w:r>
    </w:p>
    <w:p>
      <w:pPr>
        <w:pStyle w:val="ListParagraph"/>
        <w:numPr>
          <w:ilvl w:val="0"/>
          <w:numId w:val="2"/>
        </w:numPr>
        <w:spacing w:after="80"/>
        <w:jc w:val="both"/>
      </w:pPr>
      <w:r>
        <w:t xml:space="preserve">Recorte geográfico: considerando que o tema já delimita a análise ao contexto regional, os dados serão filtrados por Região ou por um conjunto específico de Unidades da Federação, em vez de contemplar a totalidade do território nacional. Essa escolha reduz o volume de dados e reforça o escopo analítico proposto.</w:t>
      </w:r>
    </w:p>
    <w:p>
      <w:pPr>
        <w:pStyle w:val="ListParagraph"/>
        <w:numPr>
          <w:ilvl w:val="0"/>
          <w:numId w:val="2"/>
        </w:numPr>
        <w:spacing w:after="80"/>
        <w:jc w:val="both"/>
      </w:pPr>
      <w:r>
        <w:t xml:space="preserve">Agregação prévia: o grupo trabalhará com o nível de agregação por Unidade da Federação, modalidade e mês já fornecido pelo SCR.data, evitando níveis de granularidade mais detalhados, como sub-região ou CNAE completo, que ampliam consideravelmente o número de combinações e, consequentemente, o volume de linhas.</w:t>
      </w:r>
    </w:p>
    <w:p>
      <w:pPr>
        <w:spacing w:after="160"/>
        <w:jc w:val="both"/>
      </w:pPr>
      <w:r>
        <w:t xml:space="preserve">Além disso, colunas de metadados e campos textuais extensos que não são utilizados nas regras de negócio serão descartados ainda na etapa inicial do ETL, antes da carga dos dados no banco de dados relacional.</w:t>
      </w:r>
    </w:p>
    <w:p>
      <w:pPr>
        <w:pStyle w:val="Heading1"/>
        <w:spacing w:after="120" w:before="240"/>
      </w:pPr>
      <w:r>
        <w:t xml:space="preserve">3. Mapeamento de Variedade e Tipagem</w:t>
      </w:r>
    </w:p>
    <w:p>
      <w:pPr>
        <w:spacing w:after="160"/>
        <w:jc w:val="both"/>
      </w:pPr>
      <w:r>
        <w:t xml:space="preserve">O quadro a seguir apresenta as principais colunas identificadas nas fontes selecionadas e as respectivas conversões de tipo previstas durante o tratamento dos dados.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000"/>
      </w:tblGrid>
      <w:tr>
        <w:tc>
          <w:tcPr>
            <w:tcW w:type="dxa" w:w="2600"/>
            <w:shd w:fill="D9D9D9" w:val="clear"/>
            <w:tcMar>
              <w:top w:type="dxa" w:w="80"/>
              <w:left w:type="dxa" w:w="100"/>
              <w:bottom w:type="dxa" w:w="80"/>
              <w:right w:type="dxa" w:w="100"/>
            </w:tcMar>
          </w:tcPr>
          <w:p>
            <w:r>
              <w:rPr>
                <w:b/>
                <w:bCs/>
              </w:rPr>
              <w:t xml:space="preserve">Coluna original</w:t>
            </w:r>
          </w:p>
        </w:tc>
        <w:tc>
          <w:tcPr>
            <w:tcW w:type="dxa" w:w="2600"/>
            <w:shd w:fill="D9D9D9" w:val="clear"/>
            <w:tcMar>
              <w:top w:type="dxa" w:w="80"/>
              <w:left w:type="dxa" w:w="100"/>
              <w:bottom w:type="dxa" w:w="80"/>
              <w:right w:type="dxa" w:w="100"/>
            </w:tcMar>
          </w:tcPr>
          <w:p>
            <w:r>
              <w:rPr>
                <w:b/>
                <w:bCs/>
              </w:rPr>
              <w:t xml:space="preserve">Formato de origem</w:t>
            </w:r>
          </w:p>
        </w:tc>
        <w:tc>
          <w:tcPr>
            <w:tcW w:type="dxa" w:w="4000"/>
            <w:shd w:fill="D9D9D9" w:val="clear"/>
            <w:tcMar>
              <w:top w:type="dxa" w:w="80"/>
              <w:left w:type="dxa" w:w="100"/>
              <w:bottom w:type="dxa" w:w="80"/>
              <w:right w:type="dxa" w:w="100"/>
            </w:tcMar>
          </w:tcPr>
          <w:p>
            <w:r>
              <w:rPr>
                <w:b/>
                <w:bCs/>
              </w:rPr>
              <w:t xml:space="preserve">Conversão aplicada</w:t>
            </w:r>
          </w:p>
        </w:tc>
      </w:tr>
      <w:tr>
        <w:tc>
          <w:tcPr>
            <w:tcW w:type="dxa" w:w="2600"/>
            <w:tcMar>
              <w:top w:type="dxa" w:w="80"/>
              <w:left w:type="dxa" w:w="100"/>
              <w:bottom w:type="dxa" w:w="80"/>
              <w:right w:type="dxa" w:w="100"/>
            </w:tcMar>
          </w:tcPr>
          <w:p>
            <w:r>
              <w:rPr>
                <w:b w:val="false"/>
                <w:bCs w:val="false"/>
              </w:rPr>
              <w:t xml:space="preserve">Valor de carteira e de concessão de crédito</w:t>
            </w:r>
          </w:p>
        </w:tc>
        <w:tc>
          <w:tcPr>
            <w:tcW w:type="dxa" w:w="2600"/>
            <w:tcMar>
              <w:top w:type="dxa" w:w="80"/>
              <w:left w:type="dxa" w:w="100"/>
              <w:bottom w:type="dxa" w:w="80"/>
              <w:right w:type="dxa" w:w="100"/>
            </w:tcMar>
          </w:tcPr>
          <w:p>
            <w:r>
              <w:rPr>
                <w:b w:val="false"/>
                <w:bCs w:val="false"/>
              </w:rPr>
              <w:t xml:space="preserve">String, com "." como separador de milhar e "," como separador decimal</w:t>
            </w:r>
          </w:p>
        </w:tc>
        <w:tc>
          <w:tcPr>
            <w:tcW w:type="dxa" w:w="4000"/>
            <w:tcMar>
              <w:top w:type="dxa" w:w="80"/>
              <w:left w:type="dxa" w:w="100"/>
              <w:bottom w:type="dxa" w:w="80"/>
              <w:right w:type="dxa" w:w="100"/>
            </w:tcMar>
          </w:tcPr>
          <w:p>
            <w:r>
              <w:rPr>
                <w:b w:val="false"/>
                <w:bCs w:val="false"/>
              </w:rPr>
              <w:t xml:space="preserve">DECIMAL(15,2)</w:t>
            </w:r>
          </w:p>
        </w:tc>
      </w:tr>
      <w:tr>
        <w:tc>
          <w:tcPr>
            <w:tcW w:type="dxa" w:w="2600"/>
            <w:tcMar>
              <w:top w:type="dxa" w:w="80"/>
              <w:left w:type="dxa" w:w="100"/>
              <w:bottom w:type="dxa" w:w="80"/>
              <w:right w:type="dxa" w:w="100"/>
            </w:tcMar>
          </w:tcPr>
          <w:p>
            <w:r>
              <w:rPr>
                <w:b w:val="false"/>
                <w:bCs w:val="false"/>
              </w:rPr>
              <w:t xml:space="preserve">Taxa de inadimplência</w:t>
            </w:r>
          </w:p>
        </w:tc>
        <w:tc>
          <w:tcPr>
            <w:tcW w:type="dxa" w:w="2600"/>
            <w:tcMar>
              <w:top w:type="dxa" w:w="80"/>
              <w:left w:type="dxa" w:w="100"/>
              <w:bottom w:type="dxa" w:w="80"/>
              <w:right w:type="dxa" w:w="100"/>
            </w:tcMar>
          </w:tcPr>
          <w:p>
            <w:r>
              <w:rPr>
                <w:b w:val="false"/>
                <w:bCs w:val="false"/>
              </w:rPr>
              <w:t xml:space="preserve">String no formato "x,xx%"</w:t>
            </w:r>
          </w:p>
        </w:tc>
        <w:tc>
          <w:tcPr>
            <w:tcW w:type="dxa" w:w="4000"/>
            <w:tcMar>
              <w:top w:type="dxa" w:w="80"/>
              <w:left w:type="dxa" w:w="100"/>
              <w:bottom w:type="dxa" w:w="80"/>
              <w:right w:type="dxa" w:w="100"/>
            </w:tcMar>
          </w:tcPr>
          <w:p>
            <w:r>
              <w:rPr>
                <w:b w:val="false"/>
                <w:bCs w:val="false"/>
              </w:rPr>
              <w:t xml:space="preserve">FLOAT / DECIMAL</w:t>
            </w:r>
          </w:p>
        </w:tc>
      </w:tr>
      <w:tr>
        <w:tc>
          <w:tcPr>
            <w:tcW w:type="dxa" w:w="2600"/>
            <w:tcMar>
              <w:top w:type="dxa" w:w="80"/>
              <w:left w:type="dxa" w:w="100"/>
              <w:bottom w:type="dxa" w:w="80"/>
              <w:right w:type="dxa" w:w="100"/>
            </w:tcMar>
          </w:tcPr>
          <w:p>
            <w:r>
              <w:rPr>
                <w:b w:val="false"/>
                <w:bCs w:val="false"/>
              </w:rPr>
              <w:t xml:space="preserve">Data de referência</w:t>
            </w:r>
          </w:p>
        </w:tc>
        <w:tc>
          <w:tcPr>
            <w:tcW w:type="dxa" w:w="2600"/>
            <w:tcMar>
              <w:top w:type="dxa" w:w="80"/>
              <w:left w:type="dxa" w:w="100"/>
              <w:bottom w:type="dxa" w:w="80"/>
              <w:right w:type="dxa" w:w="100"/>
            </w:tcMar>
          </w:tcPr>
          <w:p>
            <w:r>
              <w:rPr>
                <w:b w:val="false"/>
                <w:bCs w:val="false"/>
              </w:rPr>
              <w:t xml:space="preserve">"dd/mm/aaaa" (SCR.data) ou "AAAAMM" (API SGS)</w:t>
            </w:r>
          </w:p>
        </w:tc>
        <w:tc>
          <w:tcPr>
            <w:tcW w:type="dxa" w:w="4000"/>
            <w:tcMar>
              <w:top w:type="dxa" w:w="80"/>
              <w:left w:type="dxa" w:w="100"/>
              <w:bottom w:type="dxa" w:w="80"/>
              <w:right w:type="dxa" w:w="100"/>
            </w:tcMar>
          </w:tcPr>
          <w:p>
            <w:r>
              <w:rPr>
                <w:b w:val="false"/>
                <w:bCs w:val="false"/>
              </w:rPr>
              <w:t xml:space="preserve">DATE</w:t>
            </w:r>
          </w:p>
        </w:tc>
      </w:tr>
      <w:tr>
        <w:tc>
          <w:tcPr>
            <w:tcW w:type="dxa" w:w="2600"/>
            <w:tcMar>
              <w:top w:type="dxa" w:w="80"/>
              <w:left w:type="dxa" w:w="100"/>
              <w:bottom w:type="dxa" w:w="80"/>
              <w:right w:type="dxa" w:w="100"/>
            </w:tcMar>
          </w:tcPr>
          <w:p>
            <w:r>
              <w:rPr>
                <w:b w:val="false"/>
                <w:bCs w:val="false"/>
              </w:rPr>
              <w:t xml:space="preserve">Unidade da Federação (UF) e Região</w:t>
            </w:r>
          </w:p>
        </w:tc>
        <w:tc>
          <w:tcPr>
            <w:tcW w:type="dxa" w:w="2600"/>
            <w:tcMar>
              <w:top w:type="dxa" w:w="80"/>
              <w:left w:type="dxa" w:w="100"/>
              <w:bottom w:type="dxa" w:w="80"/>
              <w:right w:type="dxa" w:w="100"/>
            </w:tcMar>
          </w:tcPr>
          <w:p>
            <w:r>
              <w:rPr>
                <w:b w:val="false"/>
                <w:bCs w:val="false"/>
              </w:rPr>
              <w:t xml:space="preserve">Texto (sigla ou nome por extenso)</w:t>
            </w:r>
          </w:p>
        </w:tc>
        <w:tc>
          <w:tcPr>
            <w:tcW w:type="dxa" w:w="4000"/>
            <w:tcMar>
              <w:top w:type="dxa" w:w="80"/>
              <w:left w:type="dxa" w:w="100"/>
              <w:bottom w:type="dxa" w:w="80"/>
              <w:right w:type="dxa" w:w="100"/>
            </w:tcMar>
          </w:tcPr>
          <w:p>
            <w:r>
              <w:rPr>
                <w:b w:val="false"/>
                <w:bCs w:val="false"/>
              </w:rPr>
              <w:t xml:space="preserve">VARCHAR categórico padronizado</w:t>
            </w:r>
          </w:p>
        </w:tc>
      </w:tr>
      <w:tr>
        <w:tc>
          <w:tcPr>
            <w:tcW w:type="dxa" w:w="2600"/>
            <w:tcMar>
              <w:top w:type="dxa" w:w="80"/>
              <w:left w:type="dxa" w:w="100"/>
              <w:bottom w:type="dxa" w:w="80"/>
              <w:right w:type="dxa" w:w="100"/>
            </w:tcMar>
          </w:tcPr>
          <w:p>
            <w:r>
              <w:rPr>
                <w:b w:val="false"/>
                <w:bCs w:val="false"/>
              </w:rPr>
              <w:t xml:space="preserve">Código CNAE ou ocupação</w:t>
            </w:r>
          </w:p>
        </w:tc>
        <w:tc>
          <w:tcPr>
            <w:tcW w:type="dxa" w:w="2600"/>
            <w:tcMar>
              <w:top w:type="dxa" w:w="80"/>
              <w:left w:type="dxa" w:w="100"/>
              <w:bottom w:type="dxa" w:w="80"/>
              <w:right w:type="dxa" w:w="100"/>
            </w:tcMar>
          </w:tcPr>
          <w:p>
            <w:r>
              <w:rPr>
                <w:b w:val="false"/>
                <w:bCs w:val="false"/>
              </w:rPr>
              <w:t xml:space="preserve">Código representado como texto</w:t>
            </w:r>
          </w:p>
        </w:tc>
        <w:tc>
          <w:tcPr>
            <w:tcW w:type="dxa" w:w="4000"/>
            <w:tcMar>
              <w:top w:type="dxa" w:w="80"/>
              <w:left w:type="dxa" w:w="100"/>
              <w:bottom w:type="dxa" w:w="80"/>
              <w:right w:type="dxa" w:w="100"/>
            </w:tcMar>
          </w:tcPr>
          <w:p>
            <w:r>
              <w:rPr>
                <w:b w:val="false"/>
                <w:bCs w:val="false"/>
              </w:rPr>
              <w:t xml:space="preserve">VARCHAR / INT categórico</w:t>
            </w:r>
          </w:p>
        </w:tc>
      </w:tr>
      <w:tr>
        <w:tc>
          <w:tcPr>
            <w:tcW w:type="dxa" w:w="2600"/>
            <w:tcMar>
              <w:top w:type="dxa" w:w="80"/>
              <w:left w:type="dxa" w:w="100"/>
              <w:bottom w:type="dxa" w:w="80"/>
              <w:right w:type="dxa" w:w="100"/>
            </w:tcMar>
          </w:tcPr>
          <w:p>
            <w:r>
              <w:rPr>
                <w:b w:val="false"/>
                <w:bCs w:val="false"/>
              </w:rPr>
              <w:t xml:space="preserve">Faixa de renda ou porte do tomador</w:t>
            </w:r>
          </w:p>
        </w:tc>
        <w:tc>
          <w:tcPr>
            <w:tcW w:type="dxa" w:w="2600"/>
            <w:tcMar>
              <w:top w:type="dxa" w:w="80"/>
              <w:left w:type="dxa" w:w="100"/>
              <w:bottom w:type="dxa" w:w="80"/>
              <w:right w:type="dxa" w:w="100"/>
            </w:tcMar>
          </w:tcPr>
          <w:p>
            <w:r>
              <w:rPr>
                <w:b w:val="false"/>
                <w:bCs w:val="false"/>
              </w:rPr>
              <w:t xml:space="preserve">Texto ordinal (ex.: "até 2 salários mínimos")</w:t>
            </w:r>
          </w:p>
        </w:tc>
        <w:tc>
          <w:tcPr>
            <w:tcW w:type="dxa" w:w="4000"/>
            <w:tcMar>
              <w:top w:type="dxa" w:w="80"/>
              <w:left w:type="dxa" w:w="100"/>
              <w:bottom w:type="dxa" w:w="80"/>
              <w:right w:type="dxa" w:w="100"/>
            </w:tcMar>
          </w:tcPr>
          <w:p>
            <w:r>
              <w:rPr>
                <w:b w:val="false"/>
                <w:bCs w:val="false"/>
              </w:rPr>
              <w:t xml:space="preserve">Categoria ordinal</w:t>
            </w:r>
          </w:p>
        </w:tc>
      </w:tr>
      <w:tr>
        <w:tc>
          <w:tcPr>
            <w:tcW w:type="dxa" w:w="2600"/>
            <w:tcMar>
              <w:top w:type="dxa" w:w="80"/>
              <w:left w:type="dxa" w:w="100"/>
              <w:bottom w:type="dxa" w:w="80"/>
              <w:right w:type="dxa" w:w="100"/>
            </w:tcMar>
          </w:tcPr>
          <w:p>
            <w:r>
              <w:rPr>
                <w:b w:val="false"/>
                <w:bCs w:val="false"/>
              </w:rPr>
              <w:t xml:space="preserve">Quantidade de operações e de clientes</w:t>
            </w:r>
          </w:p>
        </w:tc>
        <w:tc>
          <w:tcPr>
            <w:tcW w:type="dxa" w:w="2600"/>
            <w:tcMar>
              <w:top w:type="dxa" w:w="80"/>
              <w:left w:type="dxa" w:w="100"/>
              <w:bottom w:type="dxa" w:w="80"/>
              <w:right w:type="dxa" w:w="100"/>
            </w:tcMar>
          </w:tcPr>
          <w:p>
            <w:r>
              <w:rPr>
                <w:b w:val="false"/>
                <w:bCs w:val="false"/>
              </w:rPr>
              <w:t xml:space="preserve">String numérica</w:t>
            </w:r>
          </w:p>
        </w:tc>
        <w:tc>
          <w:tcPr>
            <w:tcW w:type="dxa" w:w="4000"/>
            <w:tcMar>
              <w:top w:type="dxa" w:w="80"/>
              <w:left w:type="dxa" w:w="100"/>
              <w:bottom w:type="dxa" w:w="80"/>
              <w:right w:type="dxa" w:w="100"/>
            </w:tcMar>
          </w:tcPr>
          <w:p>
            <w:r>
              <w:rPr>
                <w:b w:val="false"/>
                <w:bCs w:val="false"/>
              </w:rPr>
              <w:t xml:space="preserve">INTEGER</w:t>
            </w:r>
          </w:p>
        </w:tc>
      </w:tr>
      <w:tr>
        <w:tc>
          <w:tcPr>
            <w:tcW w:type="dxa" w:w="2600"/>
            <w:tcMar>
              <w:top w:type="dxa" w:w="80"/>
              <w:left w:type="dxa" w:w="100"/>
              <w:bottom w:type="dxa" w:w="80"/>
              <w:right w:type="dxa" w:w="100"/>
            </w:tcMar>
          </w:tcPr>
          <w:p>
            <w:r>
              <w:rPr>
                <w:b w:val="false"/>
                <w:bCs w:val="false"/>
              </w:rPr>
              <w:t xml:space="preserve">Retorno da API SGS</w:t>
            </w:r>
          </w:p>
        </w:tc>
        <w:tc>
          <w:tcPr>
            <w:tcW w:type="dxa" w:w="2600"/>
            <w:tcMar>
              <w:top w:type="dxa" w:w="80"/>
              <w:left w:type="dxa" w:w="100"/>
              <w:bottom w:type="dxa" w:w="80"/>
              <w:right w:type="dxa" w:w="100"/>
            </w:tcMar>
          </w:tcPr>
          <w:p>
            <w:r>
              <w:rPr>
                <w:b w:val="false"/>
                <w:bCs w:val="false"/>
              </w:rPr>
              <w:t xml:space="preserve">JSON {"data": ..., "valor": ...}</w:t>
            </w:r>
          </w:p>
        </w:tc>
        <w:tc>
          <w:tcPr>
            <w:tcW w:type="dxa" w:w="4000"/>
            <w:tcMar>
              <w:top w:type="dxa" w:w="80"/>
              <w:left w:type="dxa" w:w="100"/>
              <w:bottom w:type="dxa" w:w="80"/>
              <w:right w:type="dxa" w:w="100"/>
            </w:tcMar>
          </w:tcPr>
          <w:p>
            <w:r>
              <w:rPr>
                <w:b w:val="false"/>
                <w:bCs w:val="false"/>
              </w:rPr>
              <w:t xml:space="preserve">Conversão de semi-estruturado para tabular</w:t>
            </w:r>
          </w:p>
        </w:tc>
      </w:tr>
    </w:tbl>
    <w:p>
      <w:pPr>
        <w:spacing w:before="160"/>
      </w:pPr>
    </w:p>
    <w:p>
      <w:pPr>
        <w:spacing w:after="160"/>
        <w:jc w:val="both"/>
      </w:pPr>
      <w:r>
        <w:t xml:space="preserve">Quanto à variedade dos dados, o SCR.data apresenta estrutura tabular, classificando-se como dado estruturado, enquanto o retorno da API SGS é entregue em JSON, caracterizando um dado semi-estruturado. Este último exigirá uma etapa específica de conversão para o formato tabular antes de sua integração ao banco de dados relacional.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2026-09-24T14:39:05.688Z</dcterms:created>
  <dcterms:modified xsi:type="dcterms:W3CDTF">2026-09-24T14:39:05.697Z</dcterms:modified>
</cp:coreProperties>
</file>

<file path=docProps/custom.xml><?xml version="1.0" encoding="utf-8"?>
<Properties xmlns="http://schemas.openxmlformats.org/officeDocument/2006/custom-properties" xmlns:vt="http://schemas.openxmlformats.org/officeDocument/2006/docPropsVTypes"/>
</file>