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auto" w:sz="0"/>
          <w:left w:val="none" w:color="auto" w:sz="0"/>
          <w:bottom w:val="single" w:color="E4E7EB" w:sz="4"/>
          <w:right w:val="none" w:color="auto" w:sz="0"/>
          <w:insideH w:val="none" w:color="auto" w:sz="0"/>
          <w:insideV w:val="none" w:color="auto" w:sz="0"/>
        </w:tblBorders>
        <w:tblLayout w:type="fixed"/>
      </w:tblPr>
      <w:tblGrid>
        <w:gridCol w:w="660"/>
        <w:gridCol w:w="5340"/>
        <w:gridCol w:w="3638"/>
      </w:tblGrid>
      <w:tr>
        <w:tc>
          <w:tcPr>
            <w:tcW w:type="dxa" w:w="660"/>
            <w:tcMar>
              <w:top w:type="dxa" w:w="0"/>
              <w:left w:type="dxa" w:w="0"/>
              <w:bottom w:type="dxa" w:w="90"/>
              <w:right w:type="dxa" w:w="0"/>
            </w:tcMar>
            <w:vAlign w:val="center"/>
          </w:tcPr>
          <w:p>
            <w:r>
              <w:drawing>
                <wp:inline distT="0" distB="0" distL="0" distR="0">
                  <wp:extent cx="247650" cy="247650"/>
                  <wp:effectExtent t="0" r="0" b="0" l="0"/>
                  <wp:docPr id="2" name="CPIN Explorer" descr="The CPIN Explorer mark: a dotted globe" title="CPIN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 cy="247650"/>
                          </a:xfrm>
                          <a:prstGeom prst="rect">
                            <a:avLst/>
                          </a:prstGeom>
                        </pic:spPr>
                      </pic:pic>
                    </a:graphicData>
                  </a:graphic>
                </wp:inline>
              </w:drawing>
            </w:r>
          </w:p>
        </w:tc>
        <w:tc>
          <w:tcPr>
            <w:tcW w:type="dxa" w:w="5340"/>
            <w:tcMar>
              <w:top w:type="dxa" w:w="0"/>
              <w:left w:type="dxa" w:w="0"/>
              <w:bottom w:type="dxa" w:w="90"/>
              <w:right w:type="dxa" w:w="0"/>
            </w:tcMar>
            <w:vAlign w:val="center"/>
          </w:tcPr>
          <w:p>
            <w:r>
              <w:rPr>
                <w:rFonts w:ascii="Geist Pixel Square" w:cs="Geist Pixel Square" w:eastAsia="Geist Pixel Square" w:hAnsi="Geist Pixel Square"/>
                <w:caps/>
                <w:color w:val="171D24"/>
                <w:spacing w:val="34"/>
                <w:sz w:val="21"/>
                <w:szCs w:val="21"/>
              </w:rPr>
              <w:t xml:space="preserve">CPIN Explorer</w:t>
            </w:r>
          </w:p>
        </w:tc>
        <w:tc>
          <w:tcPr>
            <w:tcW w:type="dxa" w:w="3638"/>
            <w:tcMar>
              <w:top w:type="dxa" w:w="0"/>
              <w:left w:type="dxa" w:w="0"/>
              <w:bottom w:type="dxa" w:w="90"/>
              <w:right w:type="dxa" w:w="0"/>
            </w:tcMar>
            <w:vAlign w:val="center"/>
          </w:tcPr>
          <w:p>
            <w:pPr>
              <w:jc w:val="right"/>
            </w:pPr>
            <w:r>
              <w:rPr>
                <w:rFonts w:ascii="Geist Pixel Square" w:cs="Geist Pixel Square" w:eastAsia="Geist Pixel Square" w:hAnsi="Geist Pixel Square"/>
                <w:caps/>
                <w:color w:val="66717C"/>
                <w:spacing w:val="14"/>
                <w:sz w:val="14"/>
                <w:szCs w:val="14"/>
              </w:rPr>
              <w:t xml:space="preserve">Saved highlights</w:t>
            </w:r>
          </w:p>
        </w:tc>
      </w:tr>
    </w:tbl>
    <w:p>
      <w:pPr>
        <w:pStyle w:val="CpinLabel"/>
        <w:spacing w:after="100" w:before="440"/>
      </w:pPr>
      <w:r>
        <w:rPr>
          <w:rFonts w:ascii="Geist Pixel Square" w:cs="Geist Pixel Square" w:eastAsia="Geist Pixel Square" w:hAnsi="Geist Pixel Square"/>
          <w:caps/>
          <w:color w:val="66717C"/>
          <w:spacing w:val="14"/>
          <w:sz w:val="14"/>
          <w:szCs w:val="14"/>
        </w:rPr>
        <w:t xml:space="preserve">Country notes · your highlights</w:t>
      </w:r>
    </w:p>
    <w:p>
      <w:pPr>
        <w:pStyle w:val="Title"/>
      </w:pPr>
      <w:r>
        <w:t xml:space="preserve">Saved citations · 2 October 2026</w:t>
      </w:r>
    </w:p>
    <w:p>
      <w:pPr>
        <w:pStyle w:val="CpinBody"/>
        <w:spacing w:after="240" w:before="60"/>
      </w:pPr>
      <w:r>
        <w:rPr>
          <w:rFonts w:ascii="Geist Pixel Square" w:cs="Geist Pixel Square" w:eastAsia="Geist Pixel Square" w:hAnsi="Geist Pixel Square"/>
          <w:caps/>
          <w:color w:val="FFFFFF"/>
          <w:spacing w:val="14"/>
          <w:sz w:val="14"/>
          <w:szCs w:val="14"/>
          <w:shd w:fill="2A3CF5" w:color="auto" w:val="clear"/>
        </w:rPr>
        <w:t xml:space="preserve"> OSCOLA citations </w:t>
      </w:r>
      <w:r>
        <w:t xml:space="preserve">   </w:t>
      </w:r>
      <w:r>
        <w:rPr>
          <w:color w:val="66717C"/>
          <w:sz w:val="17"/>
          <w:szCs w:val="17"/>
        </w:rPr>
        <w:t xml:space="preserve">Accessed 2 October 2026. Quotes are verbatim from the Home Office notes on GOV.UK; each link opens the note at the quoted words.</w:t>
      </w:r>
    </w:p>
    <w:tbl>
      <w:tblPr>
        <w:tblW w:type="dxa" w:w="9638"/>
        <w:tblBorders>
          <w:top w:val="single" w:color="E4E7EB" w:sz="4"/>
          <w:left w:val="single" w:color="E4E7EB" w:sz="4"/>
          <w:bottom w:val="single" w:color="E4E7EB" w:sz="4"/>
          <w:right w:val="single" w:color="E4E7EB" w:sz="4"/>
          <w:insideH w:val="none" w:color="auto" w:sz="0"/>
          <w:insideV w:val="single" w:color="E4E7EB" w:sz="4"/>
        </w:tblBorders>
        <w:tblLayout w:type="fixed"/>
      </w:tblPr>
      <w:tblGrid>
        <w:gridCol w:w="3212"/>
        <w:gridCol w:w="3212"/>
        <w:gridCol w:w="3212"/>
      </w:tblGrid>
      <w:tr>
        <w:tc>
          <w:tcPr>
            <w:tcW w:type="dxa" w:w="3212"/>
            <w:tcMar>
              <w:top w:type="dxa" w:w="150"/>
              <w:left w:type="dxa" w:w="200"/>
              <w:bottom w:type="dxa" w:w="150"/>
              <w:right w:type="dxa" w:w="200"/>
            </w:tcMar>
          </w:tcPr>
          <w:p>
            <w:pPr>
              <w:spacing w:after="60"/>
            </w:pPr>
            <w:r>
              <w:rPr>
                <w:rFonts w:ascii="Geist Pixel Square" w:cs="Geist Pixel Square" w:eastAsia="Geist Pixel Square" w:hAnsi="Geist Pixel Square"/>
                <w:caps w:val="false"/>
                <w:color w:val="2A3CF5"/>
                <w:sz w:val="44"/>
                <w:szCs w:val="44"/>
              </w:rPr>
              <w:t xml:space="preserve">4</w:t>
            </w:r>
          </w:p>
          <w:p>
            <w:r>
              <w:rPr>
                <w:rFonts w:ascii="Geist Pixel Square" w:cs="Geist Pixel Square" w:eastAsia="Geist Pixel Square" w:hAnsi="Geist Pixel Square"/>
                <w:caps/>
                <w:color w:val="66717C"/>
                <w:spacing w:val="14"/>
                <w:sz w:val="13"/>
                <w:szCs w:val="13"/>
              </w:rPr>
              <w:t xml:space="preserve">Highlights</w:t>
            </w:r>
          </w:p>
        </w:tc>
        <w:tc>
          <w:tcPr>
            <w:tcW w:type="dxa" w:w="3212"/>
            <w:tcMar>
              <w:top w:type="dxa" w:w="150"/>
              <w:left w:type="dxa" w:w="200"/>
              <w:bottom w:type="dxa" w:w="150"/>
              <w:right w:type="dxa" w:w="200"/>
            </w:tcMar>
          </w:tcPr>
          <w:p>
            <w:pPr>
              <w:spacing w:after="60"/>
            </w:pPr>
            <w:r>
              <w:rPr>
                <w:rFonts w:ascii="Geist Pixel Square" w:cs="Geist Pixel Square" w:eastAsia="Geist Pixel Square" w:hAnsi="Geist Pixel Square"/>
                <w:caps w:val="false"/>
                <w:color w:val="2A3CF5"/>
                <w:sz w:val="44"/>
                <w:szCs w:val="44"/>
              </w:rPr>
              <w:t xml:space="preserve">3</w:t>
            </w:r>
          </w:p>
          <w:p>
            <w:r>
              <w:rPr>
                <w:rFonts w:ascii="Geist Pixel Square" w:cs="Geist Pixel Square" w:eastAsia="Geist Pixel Square" w:hAnsi="Geist Pixel Square"/>
                <w:caps/>
                <w:color w:val="66717C"/>
                <w:spacing w:val="14"/>
                <w:sz w:val="13"/>
                <w:szCs w:val="13"/>
              </w:rPr>
              <w:t xml:space="preserve">Notes</w:t>
            </w:r>
          </w:p>
        </w:tc>
        <w:tc>
          <w:tcPr>
            <w:tcW w:type="dxa" w:w="3212"/>
            <w:tcMar>
              <w:top w:type="dxa" w:w="150"/>
              <w:left w:type="dxa" w:w="200"/>
              <w:bottom w:type="dxa" w:w="150"/>
              <w:right w:type="dxa" w:w="200"/>
            </w:tcMar>
          </w:tcPr>
          <w:p>
            <w:pPr>
              <w:spacing w:after="60"/>
            </w:pPr>
            <w:r>
              <w:rPr>
                <w:rFonts w:ascii="Geist Pixel Square" w:cs="Geist Pixel Square" w:eastAsia="Geist Pixel Square" w:hAnsi="Geist Pixel Square"/>
                <w:caps w:val="false"/>
                <w:color w:val="2A3CF5"/>
                <w:sz w:val="44"/>
                <w:szCs w:val="44"/>
              </w:rPr>
              <w:t xml:space="preserve">2</w:t>
            </w:r>
          </w:p>
          <w:p>
            <w:r>
              <w:rPr>
                <w:rFonts w:ascii="Geist Pixel Square" w:cs="Geist Pixel Square" w:eastAsia="Geist Pixel Square" w:hAnsi="Geist Pixel Square"/>
                <w:caps/>
                <w:color w:val="66717C"/>
                <w:spacing w:val="14"/>
                <w:sz w:val="13"/>
                <w:szCs w:val="13"/>
              </w:rPr>
              <w:t xml:space="preserve">Countries</w:t>
            </w:r>
          </w:p>
        </w:tc>
      </w:tr>
    </w:tbl>
    <w:p>
      <w:pPr>
        <w:pStyle w:val="CpinLabel"/>
        <w:pBdr>
          <w:bottom w:val="single" w:color="E4E7EB" w:sz="4"/>
        </w:pBdr>
        <w:spacing w:after="100" w:before="360"/>
      </w:pPr>
      <w:bookmarkStart w:name="Contents" w:id="1"/>
      <w:r>
        <w:rPr>
          <w:rFonts w:ascii="Geist Pixel Square" w:cs="Geist Pixel Square" w:eastAsia="Geist Pixel Square" w:hAnsi="Geist Pixel Square"/>
          <w:caps/>
          <w:color w:val="66717C"/>
          <w:spacing w:val="14"/>
          <w:sz w:val="14"/>
          <w:szCs w:val="14"/>
        </w:rPr>
        <w:t xml:space="preserve">Contents</w:t>
      </w:r>
      <w:bookmarkEnd w:id="1"/>
    </w:p>
    <w:sdt>
      <w:sdtPr>
        <w:docPartObj>
          <w:docPartGallery w:val="Table of Contents"/>
          <w:docPartUnique/>
        </w:docPartObj>
      </w:sdtPr>
      <w:sdtContent>
        <w:p>
          <w:pPr>
            <w:pStyle w:val="TOC1"/>
          </w:pPr>
          <w:r>
            <w:fldChar w:fldCharType="begin"/>
          </w:r>
          <w:r>
            <w:instrText xml:space="preserve"> TOC \o "1-3" \h \z \u \n </w:instrText>
          </w:r>
          <w:r>
            <w:fldChar w:fldCharType="separate"/>
          </w:r>
          <w:hyperlink w:history="1" w:anchor="Afghanistan">
            <w:r>
              <w:t xml:space="preserve">Afghanistan</w:t>
            </w:r>
          </w:hyperlink>
        </w:p>
        <w:p>
          <w:pPr>
            <w:pStyle w:val="TOC2"/>
          </w:pPr>
          <w:hyperlink w:history="1" w:anchor="Afghanistan_humanitarian_situation">
            <w:r>
              <w:t xml:space="preserve">Humanitarian situation</w:t>
            </w:r>
          </w:hyperlink>
        </w:p>
        <w:p>
          <w:pPr>
            <w:pStyle w:val="TOC3"/>
          </w:pPr>
          <w:hyperlink w:history="1" w:anchor="Afghanistan_para_8_4_2_humanitarian_situ">
            <w:r>
              <w:t xml:space="preserve">Para 8.4.2 — 8. Humanitarian situation</w:t>
            </w:r>
          </w:hyperlink>
        </w:p>
        <w:p>
          <w:pPr>
            <w:pStyle w:val="TOC1"/>
          </w:pPr>
          <w:hyperlink w:history="1" w:anchor="Iran">
            <w:r>
              <w:t xml:space="preserve">Iran</w:t>
            </w:r>
          </w:hyperlink>
        </w:p>
        <w:p>
          <w:pPr>
            <w:pStyle w:val="TOC2"/>
          </w:pPr>
          <w:hyperlink w:history="1" w:anchor="Iran_illegal_exit">
            <w:r>
              <w:t xml:space="preserve">Illegal exit</w:t>
            </w:r>
          </w:hyperlink>
        </w:p>
        <w:p>
          <w:pPr>
            <w:pStyle w:val="TOC3"/>
          </w:pPr>
          <w:hyperlink w:history="1" w:anchor="Iran_para_2_4_5_illegal_exit">
            <w:r>
              <w:t xml:space="preserve">Para 2.4.5 — 2.4 Risk</w:t>
            </w:r>
          </w:hyperlink>
        </w:p>
        <w:p>
          <w:pPr>
            <w:pStyle w:val="TOC2"/>
          </w:pPr>
          <w:hyperlink w:history="1" w:anchor="Iran_military_service">
            <w:r>
              <w:t xml:space="preserve">Military service</w:t>
            </w:r>
          </w:hyperlink>
        </w:p>
        <w:p>
          <w:pPr>
            <w:pStyle w:val="TOC3"/>
          </w:pPr>
          <w:hyperlink w:history="1" w:anchor="Iran_para_4_2_1_military_service">
            <w:r>
              <w:t xml:space="preserve">Para 4.2.1 — 4. Risk</w:t>
            </w:r>
          </w:hyperlink>
        </w:p>
        <w:p>
          <w:pPr>
            <w:pStyle w:val="TOC3"/>
          </w:pPr>
          <w:hyperlink w:history="1" w:anchor="Iran_para_9_1_1_military_service">
            <w:r>
              <w:t xml:space="preserve">Para 9.1.1 — 9. Armed forces structure</w:t>
            </w:r>
          </w:hyperlink>
          <w:r>
            <w:fldChar w:fldCharType="end"/>
          </w:r>
        </w:p>
      </w:sdtContent>
    </w:sdt>
    <w:p>
      <w:pPr>
        <w:keepNext w:val="false"/>
        <w:pBdr>
          <w:top w:val="single" w:color="E4E7EB" w:sz="4"/>
        </w:pBdr>
        <w:spacing w:after="0" w:before="60" w:line="120" w:lineRule="exact"/>
      </w:pPr>
    </w:p>
    <w:p>
      <w:pPr>
        <w:pStyle w:val="CpinLabel"/>
        <w:keepNext/>
        <w:tabs>
          <w:tab w:val="right" w:pos="9638"/>
        </w:tabs>
        <w:spacing w:after="60" w:before="520"/>
      </w:pPr>
      <w:r>
        <w:rPr>
          <w:rFonts w:ascii="Geist Pixel Square" w:cs="Geist Pixel Square" w:eastAsia="Geist Pixel Square" w:hAnsi="Geist Pixel Square"/>
          <w:caps/>
          <w:color w:val="66717C"/>
          <w:spacing w:val="14"/>
          <w:sz w:val="14"/>
          <w:szCs w:val="14"/>
        </w:rPr>
        <w:t xml:space="preserve">Country · 1 saved</w:t>
      </w:r>
      <w:r>
        <w:tab/>
      </w:r>
      <w:hyperlink w:history="1" w:anchor="Contents">
        <w:r>
          <w:rPr>
            <w:rFonts w:ascii="Geist Pixel Square" w:cs="Geist Pixel Square" w:eastAsia="Geist Pixel Square" w:hAnsi="Geist Pixel Square"/>
            <w:caps/>
            <w:color w:val="2A3CF5"/>
            <w:spacing w:val="14"/>
            <w:sz w:val="14"/>
            <w:szCs w:val="14"/>
          </w:rPr>
          <w:t xml:space="preserve">↑ Contents</w:t>
        </w:r>
      </w:hyperlink>
    </w:p>
    <w:p>
      <w:pPr>
        <w:pStyle w:val="Heading1"/>
      </w:pPr>
      <w:bookmarkStart w:name="Afghanistan" w:id="2"/>
      <w:r>
        <w:t xml:space="preserve">Afghanistan</w:t>
      </w:r>
      <w:bookmarkEnd w:id="2"/>
    </w:p>
    <w:p>
      <w:pPr>
        <w:keepNext/>
        <w:spacing w:after="80" w:before="360"/>
      </w:pPr>
      <w:r>
        <w:rPr>
          <w:rFonts w:ascii="Geist Pixel Square" w:cs="Geist Pixel Square" w:eastAsia="Geist Pixel Square" w:hAnsi="Geist Pixel Square"/>
          <w:caps/>
          <w:color w:val="2A3CF5"/>
          <w:spacing w:val="14"/>
          <w:sz w:val="14"/>
          <w:szCs w:val="14"/>
          <w:bdr w:val="single" w:color="2A3CF5" w:sz="4" w:space="0"/>
        </w:rPr>
        <w:t xml:space="preserve"> CPIN </w:t>
      </w:r>
      <w:r>
        <w:t xml:space="preserve">  </w:t>
      </w:r>
      <w:r>
        <w:rPr>
          <w:rFonts w:ascii="Geist Pixel Square" w:cs="Geist Pixel Square" w:eastAsia="Geist Pixel Square" w:hAnsi="Geist Pixel Square"/>
          <w:caps/>
          <w:color w:val="66717C"/>
          <w:spacing w:val="14"/>
          <w:sz w:val="14"/>
          <w:szCs w:val="14"/>
        </w:rPr>
        <w:t xml:space="preserve">Apr 2026 · v4.0</w:t>
      </w:r>
    </w:p>
    <w:p>
      <w:pPr>
        <w:pStyle w:val="Heading2"/>
      </w:pPr>
      <w:bookmarkStart w:name="Afghanistan_humanitarian_situation" w:id="3"/>
      <w:r>
        <w:t xml:space="preserve">Humanitarian situation</w:t>
      </w:r>
      <w:bookmarkEnd w:id="3"/>
    </w:p>
    <w:p>
      <w:pPr>
        <w:pStyle w:val="CpinVerbatim"/>
        <w:keepNext/>
      </w:pPr>
      <w:r>
        <w:t xml:space="preserve">Country policy and information note: humanitarian situation, Afghanistan, April 2026 (accessible)</w:t>
      </w:r>
    </w:p>
    <w:p>
      <w:pPr>
        <w:pStyle w:val="CpinMeta"/>
        <w:keepNext/>
      </w:pPr>
      <w:r>
        <w:rPr>
          <w:color w:val="66717C"/>
        </w:rPr>
        <w:t xml:space="preserve">Version 4.0</w:t>
      </w:r>
      <w:r>
        <w:rPr>
          <w:color w:val="9AA3AD"/>
        </w:rPr>
        <w:t xml:space="preserve">  ·  </w:t>
      </w:r>
      <w:hyperlink w:history="1" r:id="rIdnpukq5lyz8ayufjpfmpaf">
        <w:r>
          <w:rPr>
            <w:rStyle w:val="Hyperlink"/>
          </w:rPr>
          <w:t xml:space="preserve">https://www.gov.uk/government/publications/afghanistan-country-policy-and-information-notes/country-policy-and-information-note-humanitarian-situation-afghanistan-april-2026-accessible</w:t>
        </w:r>
      </w:hyperlink>
    </w:p>
    <w:tbl>
      <w:tblPr>
        <w:tblW w:type="dxa" w:w="9638"/>
        <w:tblBorders>
          <w:top w:val="single" w:color="E4E7EB" w:sz="4"/>
          <w:left w:val="single" w:color="E4E7EB" w:sz="4"/>
          <w:bottom w:val="single" w:color="E4E7EB" w:sz="4"/>
          <w:right w:val="single" w:color="E4E7EB" w:sz="4"/>
          <w:insideH w:val="none" w:color="auto" w:sz="0"/>
          <w:insideV w:val="none" w:color="auto" w:sz="0"/>
        </w:tblBorders>
        <w:tblLayout w:type="fixed"/>
      </w:tblPr>
      <w:tblGrid>
        <w:gridCol w:w="9638"/>
      </w:tblGrid>
      <w:tr>
        <w:trPr>
          <w:cantSplit/>
        </w:trPr>
        <w:tc>
          <w:tcPr>
            <w:tcW w:type="dxa" w:w="9638"/>
            <w:tcMar>
              <w:top w:type="dxa" w:w="200"/>
              <w:left w:type="dxa" w:w="220"/>
              <w:bottom w:type="dxa" w:w="220"/>
              <w:right w:type="dxa" w:w="220"/>
            </w:tcMar>
          </w:tcPr>
          <w:p>
            <w:pPr>
              <w:pStyle w:val="Heading3"/>
            </w:pPr>
            <w:bookmarkStart w:name="Afghanistan_para_8_4_2_humanitarian_situ" w:id="4"/>
            <w:r>
              <w:rPr>
                <w:rFonts w:ascii="Geist Pixel Square" w:cs="Geist Pixel Square" w:eastAsia="Geist Pixel Square" w:hAnsi="Geist Pixel Square"/>
                <w:caps/>
                <w:color w:val="FFFFFF"/>
                <w:spacing w:val="14"/>
                <w:sz w:val="14"/>
                <w:szCs w:val="14"/>
                <w:shd w:fill="2A3CF5" w:color="auto" w:val="clear"/>
              </w:rPr>
              <w:t xml:space="preserve"> Para 8.4.2 </w:t>
            </w:r>
            <w:r>
              <w:t xml:space="preserve"> — </w:t>
            </w:r>
            <w:r>
              <w:t xml:space="preserve">8. Humanitarian situation</w:t>
            </w:r>
            <w:bookmarkEnd w:id="4"/>
          </w:p>
          <w:p>
            <w:pPr>
              <w:keepNext/>
              <w:spacing w:after="140"/>
            </w:pPr>
            <w:r>
              <w:rPr>
                <w:color w:val="66717C"/>
                <w:sz w:val="14"/>
                <w:szCs w:val="14"/>
              </w:rPr>
              <w:t xml:space="preserve">Saved 30 September 2026</w:t>
            </w:r>
          </w:p>
          <w:p>
            <w:pPr>
              <w:pStyle w:val="CpinQuote"/>
            </w:pPr>
            <w:r>
              <w:t xml:space="preserve">“The HNRP 2026 reported that at least 422 primary health care facilities, including Mobile Health and Nutrition Teams (MHNT), closed during 2025 due to funding shortfalls, affecting access to services for an estimated 3.3 million people.”</w:t>
            </w:r>
          </w:p>
          <w:p>
            <w:pPr>
              <w:pStyle w:val="CpinCitation"/>
            </w:pPr>
            <w:r>
              <w:rPr>
                <w:i w:val="false"/>
                <w:iCs w:val="false"/>
              </w:rPr>
              <w:t xml:space="preserve">Home Office, </w:t>
            </w:r>
            <w:r>
              <w:rPr>
                <w:i/>
                <w:iCs/>
              </w:rPr>
              <w:t xml:space="preserve">Country Policy and Information Note: Humanitarian Situation, Afghanistan</w:t>
            </w:r>
            <w:r>
              <w:rPr>
                <w:i w:val="false"/>
                <w:iCs w:val="false"/>
              </w:rPr>
              <w:t xml:space="preserve"> (version 4.0, April 2026) para 8.4.2 &lt;</w:t>
            </w:r>
            <w:hyperlink w:history="1" r:id="rId30jvtkjuds5rtxen-rwyw">
              <w:r>
                <w:rPr>
                  <w:rStyle w:val="Hyperlink"/>
                  <w:i w:val="false"/>
                  <w:iCs w:val="false"/>
                </w:rPr>
                <w:t xml:space="preserve">https://www.gov.uk/government/publications/afghanistan-country-policy-and-information-notes/country-policy-and-information-note-humanitarian-situation-afghanistan-april-2026-accessible#:~:text=The%20HNRP%202026%20reported%20that,an%20estimated%203.3%20million%20people.</w:t>
              </w:r>
            </w:hyperlink>
            <w:r>
              <w:rPr>
                <w:i w:val="false"/>
                <w:iCs w:val="false"/>
              </w:rPr>
              <w:t xml:space="preserve">&gt; accessed 2 October 2026.</w:t>
            </w:r>
          </w:p>
          <w:p>
            <w:pPr>
              <w:pStyle w:val="CpinLabel"/>
              <w:keepNext/>
              <w:spacing w:after="80" w:before="200"/>
            </w:pPr>
            <w:r>
              <w:rPr>
                <w:rFonts w:ascii="Geist Pixel Square" w:cs="Geist Pixel Square" w:eastAsia="Geist Pixel Square" w:hAnsi="Geist Pixel Square"/>
                <w:caps/>
                <w:color w:val="66717C"/>
                <w:spacing w:val="14"/>
                <w:sz w:val="14"/>
                <w:szCs w:val="14"/>
              </w:rPr>
              <w:t xml:space="preserve">Sources cited in this passage · 1</w:t>
            </w:r>
          </w:p>
          <w:p>
            <w:pPr>
              <w:pStyle w:val="CpinSource"/>
              <w:tabs>
                <w:tab w:val="left" w:pos="454"/>
              </w:tabs>
            </w:pPr>
            <w:r>
              <w:rPr>
                <w:color w:val="2A3CF5"/>
              </w:rPr>
              <w:t xml:space="preserve">[70]</w:t>
            </w:r>
            <w:r>
              <w:tab/>
            </w:r>
            <w:hyperlink w:history="1" r:id="rId9rnvxh0s03jmko-rcmqaf">
              <w:r>
                <w:rPr>
                  <w:rStyle w:val="Hyperlink"/>
                </w:rPr>
                <w:t xml:space="preserve">OCHA, Afghanistan: HNRP 2026 (page 52), 30 December 2025</w:t>
              </w:r>
            </w:hyperlink>
          </w:p>
        </w:tc>
      </w:tr>
    </w:tbl>
    <w:p>
      <w:pPr>
        <w:pStyle w:val="CpinLabel"/>
        <w:keepNext/>
        <w:tabs>
          <w:tab w:val="right" w:pos="9638"/>
        </w:tabs>
        <w:spacing w:after="60" w:before="520"/>
      </w:pPr>
      <w:r>
        <w:rPr>
          <w:rFonts w:ascii="Geist Pixel Square" w:cs="Geist Pixel Square" w:eastAsia="Geist Pixel Square" w:hAnsi="Geist Pixel Square"/>
          <w:caps/>
          <w:color w:val="66717C"/>
          <w:spacing w:val="14"/>
          <w:sz w:val="14"/>
          <w:szCs w:val="14"/>
        </w:rPr>
        <w:t xml:space="preserve">Country · 3 saved</w:t>
      </w:r>
      <w:r>
        <w:tab/>
      </w:r>
      <w:hyperlink w:history="1" w:anchor="Contents">
        <w:r>
          <w:rPr>
            <w:rFonts w:ascii="Geist Pixel Square" w:cs="Geist Pixel Square" w:eastAsia="Geist Pixel Square" w:hAnsi="Geist Pixel Square"/>
            <w:caps/>
            <w:color w:val="2A3CF5"/>
            <w:spacing w:val="14"/>
            <w:sz w:val="14"/>
            <w:szCs w:val="14"/>
          </w:rPr>
          <w:t xml:space="preserve">↑ Contents</w:t>
        </w:r>
      </w:hyperlink>
    </w:p>
    <w:p>
      <w:pPr>
        <w:pStyle w:val="Heading1"/>
      </w:pPr>
      <w:bookmarkStart w:name="Iran" w:id="5"/>
      <w:r>
        <w:t xml:space="preserve">Iran</w:t>
      </w:r>
      <w:bookmarkEnd w:id="5"/>
    </w:p>
    <w:p>
      <w:pPr>
        <w:keepNext/>
        <w:spacing w:after="80" w:before="360"/>
      </w:pPr>
      <w:r>
        <w:rPr>
          <w:rFonts w:ascii="Geist Pixel Square" w:cs="Geist Pixel Square" w:eastAsia="Geist Pixel Square" w:hAnsi="Geist Pixel Square"/>
          <w:caps/>
          <w:color w:val="2A3CF5"/>
          <w:spacing w:val="14"/>
          <w:sz w:val="14"/>
          <w:szCs w:val="14"/>
          <w:bdr w:val="single" w:color="2A3CF5" w:sz="4" w:space="0"/>
        </w:rPr>
        <w:t xml:space="preserve"> CPIN </w:t>
      </w:r>
      <w:r>
        <w:t xml:space="preserve">  </w:t>
      </w:r>
      <w:r>
        <w:rPr>
          <w:rFonts w:ascii="Geist Pixel Square" w:cs="Geist Pixel Square" w:eastAsia="Geist Pixel Square" w:hAnsi="Geist Pixel Square"/>
          <w:caps/>
          <w:color w:val="66717C"/>
          <w:spacing w:val="14"/>
          <w:sz w:val="14"/>
          <w:szCs w:val="14"/>
        </w:rPr>
        <w:t xml:space="preserve">Dec 2025 · v7.0</w:t>
      </w:r>
    </w:p>
    <w:p>
      <w:pPr>
        <w:pStyle w:val="Heading2"/>
      </w:pPr>
      <w:bookmarkStart w:name="Iran_illegal_exit" w:id="6"/>
      <w:r>
        <w:t xml:space="preserve">Illegal exit</w:t>
      </w:r>
      <w:bookmarkEnd w:id="6"/>
    </w:p>
    <w:p>
      <w:pPr>
        <w:pStyle w:val="CpinVerbatim"/>
        <w:keepNext/>
      </w:pPr>
      <w:r>
        <w:t xml:space="preserve">Country policy and information note: illegal exit, Iran, December 2025 (accessible)</w:t>
      </w:r>
    </w:p>
    <w:p>
      <w:pPr>
        <w:pStyle w:val="CpinMeta"/>
        <w:keepNext/>
      </w:pPr>
      <w:r>
        <w:rPr>
          <w:color w:val="66717C"/>
        </w:rPr>
        <w:t xml:space="preserve">Version 7.0</w:t>
      </w:r>
      <w:r>
        <w:rPr>
          <w:color w:val="9AA3AD"/>
        </w:rPr>
        <w:t xml:space="preserve">  ·  </w:t>
      </w:r>
      <w:hyperlink w:history="1" r:id="rIduahabk1agjbt_fv_ssp2e">
        <w:r>
          <w:rPr>
            <w:rStyle w:val="Hyperlink"/>
          </w:rPr>
          <w:t xml:space="preserve">https://www.gov.uk/government/publications/iran-country-policy-and-information-notes/country-policy-and-information-note-illegal-exit-iran-may-2022-accessible</w:t>
        </w:r>
      </w:hyperlink>
    </w:p>
    <w:tbl>
      <w:tblPr>
        <w:tblW w:type="dxa" w:w="9638"/>
        <w:tblBorders>
          <w:top w:val="single" w:color="CFD4DA" w:sz="4"/>
          <w:left w:val="single" w:color="CFD4DA" w:sz="4"/>
          <w:bottom w:val="single" w:color="CFD4DA" w:sz="4"/>
          <w:right w:val="single" w:color="CFD4DA" w:sz="4"/>
          <w:insideH w:val="none" w:color="auto" w:sz="0"/>
          <w:insideV w:val="none" w:color="auto" w:sz="0"/>
        </w:tblBorders>
        <w:tblLayout w:type="fixed"/>
      </w:tblPr>
      <w:tblGrid>
        <w:gridCol w:w="9638"/>
      </w:tblGrid>
      <w:tr>
        <w:trPr>
          <w:cantSplit/>
        </w:trPr>
        <w:tc>
          <w:tcPr>
            <w:tcW w:type="dxa" w:w="9638"/>
            <w:shd w:fill="F6F7F9" w:color="auto" w:val="clear"/>
            <w:tcMar>
              <w:top w:type="dxa" w:w="200"/>
              <w:left w:type="dxa" w:w="220"/>
              <w:bottom w:type="dxa" w:w="220"/>
              <w:right w:type="dxa" w:w="220"/>
            </w:tcMar>
          </w:tcPr>
          <w:p>
            <w:pPr>
              <w:pStyle w:val="Heading3"/>
            </w:pPr>
            <w:bookmarkStart w:name="Iran_para_2_4_5_illegal_exit" w:id="7"/>
            <w:r>
              <w:rPr>
                <w:rFonts w:ascii="Geist Pixel Square" w:cs="Geist Pixel Square" w:eastAsia="Geist Pixel Square" w:hAnsi="Geist Pixel Square"/>
                <w:caps/>
                <w:color w:val="FFFFFF"/>
                <w:spacing w:val="14"/>
                <w:sz w:val="14"/>
                <w:szCs w:val="14"/>
                <w:shd w:fill="2A3CF5" w:color="auto" w:val="clear"/>
              </w:rPr>
              <w:t xml:space="preserve"> Para 2.4.5 </w:t>
            </w:r>
            <w:r>
              <w:t xml:space="preserve"> — </w:t>
            </w:r>
            <w:r>
              <w:t xml:space="preserve">2.4 Risk</w:t>
            </w:r>
            <w:bookmarkEnd w:id="7"/>
          </w:p>
          <w:p>
            <w:pPr>
              <w:keepNext/>
              <w:spacing w:after="140"/>
            </w:pPr>
            <w:r>
              <w:rPr>
                <w:color w:val="66717C"/>
                <w:sz w:val="14"/>
                <w:szCs w:val="14"/>
              </w:rPr>
              <w:t xml:space="preserve">Saved 10 June 2025</w:t>
            </w:r>
          </w:p>
          <w:p>
            <w:pPr>
              <w:keepNext/>
              <w:spacing w:after="160"/>
            </w:pPr>
            <w:r>
              <w:rPr>
                <w:rFonts w:ascii="Geist Pixel Square" w:cs="Geist Pixel Square" w:eastAsia="Geist Pixel Square" w:hAnsi="Geist Pixel Square"/>
                <w:caps/>
                <w:color w:val="2A3CF5"/>
                <w:spacing w:val="14"/>
                <w:sz w:val="14"/>
                <w:szCs w:val="14"/>
                <w:bdr w:val="single" w:color="2A3CF5" w:sz="4" w:space="0"/>
              </w:rPr>
              <w:t xml:space="preserve"> Changed since saved </w:t>
            </w:r>
            <w:r>
              <w:t xml:space="preserve">  </w:t>
            </w:r>
            <w:r>
              <w:rPr>
                <w:color w:val="171D24"/>
                <w:sz w:val="16"/>
                <w:szCs w:val="16"/>
              </w:rPr>
              <w:t xml:space="preserve">v6.0 → v7.0: these words are not in the edition now on GOV.UK. The citation points to the archived copy of v6.0.</w:t>
            </w:r>
          </w:p>
          <w:p>
            <w:pPr>
              <w:pStyle w:val="CpinQuoteChanged"/>
            </w:pPr>
            <w:r>
              <w:t xml:space="preserve">“Leaving the country without a valid passport can be punished with a fine, a prison sentence or both. In practice, if a person left Iran illegally and is not wanted by the authorities for any other reason, only a fine is issued (see Treatment of returnees).”</w:t>
            </w:r>
          </w:p>
          <w:p>
            <w:pPr>
              <w:pStyle w:val="CpinCitation"/>
            </w:pPr>
            <w:r>
              <w:rPr>
                <w:i w:val="false"/>
                <w:iCs w:val="false"/>
              </w:rPr>
              <w:t xml:space="preserve">Home Office, </w:t>
            </w:r>
            <w:r>
              <w:rPr>
                <w:i/>
                <w:iCs/>
              </w:rPr>
              <w:t xml:space="preserve">Country Policy and Information Note: Illegal Exit, Iran</w:t>
            </w:r>
            <w:r>
              <w:rPr>
                <w:i w:val="false"/>
                <w:iCs w:val="false"/>
              </w:rPr>
              <w:t xml:space="preserve"> (version 6.0, May 2022) para 2.4.5 (archived copy, Internet Archive, captured 29 March 2025) &lt;</w:t>
            </w:r>
            <w:hyperlink w:history="1" r:id="rIdndrkft53ec37bivqvn2tp">
              <w:r>
                <w:rPr>
                  <w:rStyle w:val="Hyperlink"/>
                  <w:i w:val="false"/>
                  <w:iCs w:val="false"/>
                </w:rPr>
                <w:t xml:space="preserve">https://web.archive.org/web/20250329184654/https://www.gov.uk/government/publications/iran-country-policy-and-information-notes/country-policy-and-information-note-illegal-exit-iran-may-2022-accessible#:~:text=Leaving%20the%20country%20without%20a,issued%20(see%20Treatment%20of%20returnees).</w:t>
              </w:r>
            </w:hyperlink>
            <w:r>
              <w:rPr>
                <w:i w:val="false"/>
                <w:iCs w:val="false"/>
              </w:rPr>
              <w:t xml:space="preserve">&gt; accessed 2 October 2026.</w:t>
            </w:r>
          </w:p>
          <w:p>
            <w:pPr>
              <w:pStyle w:val="CpinLabel"/>
              <w:keepNext/>
              <w:spacing w:after="60" w:before="200"/>
            </w:pPr>
            <w:r>
              <w:rPr>
                <w:rFonts w:ascii="Geist Pixel Square" w:cs="Geist Pixel Square" w:eastAsia="Geist Pixel Square" w:hAnsi="Geist Pixel Square"/>
                <w:caps/>
                <w:color w:val="66717C"/>
                <w:spacing w:val="14"/>
                <w:sz w:val="14"/>
                <w:szCs w:val="14"/>
              </w:rPr>
              <w:t xml:space="preserve">Private note</w:t>
            </w:r>
          </w:p>
          <w:p>
            <w:pPr>
              <w:pStyle w:val="CpinBody"/>
            </w:pPr>
            <w:r>
              <w:t xml:space="preserve">Check the v7.0 wording before relying on this.</w:t>
            </w:r>
          </w:p>
        </w:tc>
      </w:tr>
    </w:tbl>
    <w:p>
      <w:pPr>
        <w:keepNext/>
        <w:spacing w:after="80" w:before="360"/>
      </w:pPr>
      <w:r>
        <w:rPr>
          <w:rFonts w:ascii="Geist Pixel Square" w:cs="Geist Pixel Square" w:eastAsia="Geist Pixel Square" w:hAnsi="Geist Pixel Square"/>
          <w:caps/>
          <w:color w:val="2A3CF5"/>
          <w:spacing w:val="14"/>
          <w:sz w:val="14"/>
          <w:szCs w:val="14"/>
          <w:bdr w:val="single" w:color="2A3CF5" w:sz="4" w:space="0"/>
        </w:rPr>
        <w:t xml:space="preserve"> CPIN </w:t>
      </w:r>
      <w:r>
        <w:t xml:space="preserve">  </w:t>
      </w:r>
      <w:r>
        <w:rPr>
          <w:rFonts w:ascii="Geist Pixel Square" w:cs="Geist Pixel Square" w:eastAsia="Geist Pixel Square" w:hAnsi="Geist Pixel Square"/>
          <w:caps/>
          <w:color w:val="66717C"/>
          <w:spacing w:val="14"/>
          <w:sz w:val="14"/>
          <w:szCs w:val="14"/>
        </w:rPr>
        <w:t xml:space="preserve">Aug 2026 · v4.0</w:t>
      </w:r>
    </w:p>
    <w:p>
      <w:pPr>
        <w:pStyle w:val="Heading2"/>
      </w:pPr>
      <w:bookmarkStart w:name="Iran_military_service" w:id="8"/>
      <w:r>
        <w:t xml:space="preserve">Military service</w:t>
      </w:r>
      <w:bookmarkEnd w:id="8"/>
    </w:p>
    <w:p>
      <w:pPr>
        <w:pStyle w:val="CpinVerbatim"/>
        <w:keepNext/>
      </w:pPr>
      <w:r>
        <w:t xml:space="preserve">Country policy and information note: military service, Iran, August 2026 (accessible)</w:t>
      </w:r>
    </w:p>
    <w:p>
      <w:pPr>
        <w:pStyle w:val="CpinMeta"/>
        <w:keepNext/>
      </w:pPr>
      <w:r>
        <w:rPr>
          <w:color w:val="66717C"/>
        </w:rPr>
        <w:t xml:space="preserve">Version 4.0</w:t>
      </w:r>
      <w:r>
        <w:rPr>
          <w:color w:val="9AA3AD"/>
        </w:rPr>
        <w:t xml:space="preserve">  ·  </w:t>
      </w:r>
      <w:hyperlink w:history="1" r:id="rId4xc6ixne95mn55n2leg2f">
        <w:r>
          <w:rPr>
            <w:rStyle w:val="Hyperlink"/>
          </w:rPr>
          <w:t xml:space="preserve">https://www.gov.uk/government/publications/iran-country-policy-and-information-notes/country-policy-and-information-note-military-service-iran-august-2026-accessible</w:t>
        </w:r>
      </w:hyperlink>
    </w:p>
    <w:tbl>
      <w:tblPr>
        <w:tblW w:type="dxa" w:w="9638"/>
        <w:tblBorders>
          <w:top w:val="single" w:color="E4E7EB" w:sz="4"/>
          <w:left w:val="single" w:color="E4E7EB" w:sz="4"/>
          <w:bottom w:val="single" w:color="E4E7EB" w:sz="4"/>
          <w:right w:val="single" w:color="E4E7EB" w:sz="4"/>
          <w:insideH w:val="none" w:color="auto" w:sz="0"/>
          <w:insideV w:val="none" w:color="auto" w:sz="0"/>
        </w:tblBorders>
        <w:tblLayout w:type="fixed"/>
      </w:tblPr>
      <w:tblGrid>
        <w:gridCol w:w="9638"/>
      </w:tblGrid>
      <w:tr>
        <w:trPr>
          <w:cantSplit/>
        </w:trPr>
        <w:tc>
          <w:tcPr>
            <w:tcW w:type="dxa" w:w="9638"/>
            <w:tcMar>
              <w:top w:type="dxa" w:w="200"/>
              <w:left w:type="dxa" w:w="220"/>
              <w:bottom w:type="dxa" w:w="220"/>
              <w:right w:type="dxa" w:w="220"/>
            </w:tcMar>
          </w:tcPr>
          <w:p>
            <w:pPr>
              <w:pStyle w:val="Heading3"/>
            </w:pPr>
            <w:bookmarkStart w:name="Iran_para_4_2_1_military_service" w:id="9"/>
            <w:r>
              <w:rPr>
                <w:rFonts w:ascii="Geist Pixel Square" w:cs="Geist Pixel Square" w:eastAsia="Geist Pixel Square" w:hAnsi="Geist Pixel Square"/>
                <w:caps/>
                <w:color w:val="FFFFFF"/>
                <w:spacing w:val="14"/>
                <w:sz w:val="14"/>
                <w:szCs w:val="14"/>
                <w:shd w:fill="2A3CF5" w:color="auto" w:val="clear"/>
              </w:rPr>
              <w:t xml:space="preserve"> Para 4.2.1 </w:t>
            </w:r>
            <w:r>
              <w:t xml:space="preserve"> — </w:t>
            </w:r>
            <w:r>
              <w:t xml:space="preserve">4. Risk</w:t>
            </w:r>
            <w:bookmarkEnd w:id="9"/>
          </w:p>
          <w:p>
            <w:pPr>
              <w:keepNext/>
              <w:spacing w:after="140"/>
            </w:pPr>
            <w:r>
              <w:rPr>
                <w:color w:val="66717C"/>
                <w:sz w:val="14"/>
                <w:szCs w:val="14"/>
              </w:rPr>
              <w:t xml:space="preserve">Saved 29 September 2026</w:t>
            </w:r>
          </w:p>
          <w:p>
            <w:pPr>
              <w:pStyle w:val="CpinQuote"/>
            </w:pPr>
            <w:r>
              <w:t xml:space="preserve">“Military service is compulsory for all males aged between 18 and 49. It lasts for between 14 and 24 months (see Eligibility and Duration).”</w:t>
            </w:r>
          </w:p>
          <w:p>
            <w:pPr>
              <w:pStyle w:val="CpinCitation"/>
            </w:pPr>
            <w:r>
              <w:rPr>
                <w:i w:val="false"/>
                <w:iCs w:val="false"/>
              </w:rPr>
              <w:t xml:space="preserve">Home Office, </w:t>
            </w:r>
            <w:r>
              <w:rPr>
                <w:i/>
                <w:iCs/>
              </w:rPr>
              <w:t xml:space="preserve">Country Policy and Information Note: Military Service, Iran</w:t>
            </w:r>
            <w:r>
              <w:rPr>
                <w:i w:val="false"/>
                <w:iCs w:val="false"/>
              </w:rPr>
              <w:t xml:space="preserve"> (version 4.0, August 2026) para 4.2.1 &lt;</w:t>
            </w:r>
            <w:hyperlink w:history="1" r:id="rIdsnkvw4q7ukt8usanedddd">
              <w:r>
                <w:rPr>
                  <w:rStyle w:val="Hyperlink"/>
                  <w:i w:val="false"/>
                  <w:iCs w:val="false"/>
                </w:rPr>
                <w:t xml:space="preserve">https://www.gov.uk/government/publications/iran-country-policy-and-information-notes/country-policy-and-information-note-military-service-iran-august-2026-accessible#:~:text=Military%20service%20is%20compulsory%20for,months%20(see%20Eligibility%20and%20Duration).</w:t>
              </w:r>
            </w:hyperlink>
            <w:r>
              <w:rPr>
                <w:i w:val="false"/>
                <w:iCs w:val="false"/>
              </w:rPr>
              <w:t xml:space="preserve">&gt; accessed 2 October 2026.</w:t>
            </w:r>
          </w:p>
        </w:tc>
      </w:tr>
    </w:tbl>
    <w:p>
      <w:pPr>
        <w:spacing w:after="0" w:before="0" w:line="180" w:lineRule="exact"/>
      </w:pPr>
    </w:p>
    <w:tbl>
      <w:tblPr>
        <w:tblW w:type="dxa" w:w="9638"/>
        <w:tblBorders>
          <w:top w:val="single" w:color="E4E7EB" w:sz="4"/>
          <w:left w:val="single" w:color="E4E7EB" w:sz="4"/>
          <w:bottom w:val="single" w:color="E4E7EB" w:sz="4"/>
          <w:right w:val="single" w:color="E4E7EB" w:sz="4"/>
          <w:insideH w:val="none" w:color="auto" w:sz="0"/>
          <w:insideV w:val="none" w:color="auto" w:sz="0"/>
        </w:tblBorders>
        <w:tblLayout w:type="fixed"/>
      </w:tblPr>
      <w:tblGrid>
        <w:gridCol w:w="9638"/>
      </w:tblGrid>
      <w:tr>
        <w:trPr>
          <w:cantSplit/>
        </w:trPr>
        <w:tc>
          <w:tcPr>
            <w:tcW w:type="dxa" w:w="9638"/>
            <w:tcMar>
              <w:top w:type="dxa" w:w="200"/>
              <w:left w:type="dxa" w:w="220"/>
              <w:bottom w:type="dxa" w:w="220"/>
              <w:right w:type="dxa" w:w="220"/>
            </w:tcMar>
          </w:tcPr>
          <w:p>
            <w:pPr>
              <w:pStyle w:val="Heading3"/>
            </w:pPr>
            <w:bookmarkStart w:name="Iran_para_9_1_1_military_service" w:id="10"/>
            <w:r>
              <w:rPr>
                <w:rFonts w:ascii="Geist Pixel Square" w:cs="Geist Pixel Square" w:eastAsia="Geist Pixel Square" w:hAnsi="Geist Pixel Square"/>
                <w:caps/>
                <w:color w:val="FFFFFF"/>
                <w:spacing w:val="14"/>
                <w:sz w:val="14"/>
                <w:szCs w:val="14"/>
                <w:shd w:fill="2A3CF5" w:color="auto" w:val="clear"/>
              </w:rPr>
              <w:t xml:space="preserve"> Para 9.1.1 </w:t>
            </w:r>
            <w:r>
              <w:t xml:space="preserve"> — </w:t>
            </w:r>
            <w:r>
              <w:t xml:space="preserve">9. Armed forces structure</w:t>
            </w:r>
            <w:bookmarkEnd w:id="10"/>
          </w:p>
          <w:p>
            <w:pPr>
              <w:keepNext/>
              <w:spacing w:after="140"/>
            </w:pPr>
            <w:r>
              <w:rPr>
                <w:color w:val="66717C"/>
                <w:sz w:val="14"/>
                <w:szCs w:val="14"/>
              </w:rPr>
              <w:t xml:space="preserve">Saved 29 September 2026</w:t>
            </w:r>
          </w:p>
          <w:p>
            <w:pPr>
              <w:pStyle w:val="CpinQuote"/>
            </w:pPr>
            <w:r>
              <w:t xml:space="preserve">“Under articles 107 and 110 of the Constitution of the Islamic Republic of Iran, the Supreme Leader has ultimate command of the Armed Forces.”</w:t>
            </w:r>
          </w:p>
          <w:p>
            <w:pPr>
              <w:pStyle w:val="CpinCitation"/>
            </w:pPr>
            <w:r>
              <w:rPr>
                <w:i w:val="false"/>
                <w:iCs w:val="false"/>
              </w:rPr>
              <w:t xml:space="preserve">Home Office, </w:t>
            </w:r>
            <w:r>
              <w:rPr>
                <w:i/>
                <w:iCs/>
              </w:rPr>
              <w:t xml:space="preserve">Country Policy and Information Note: Military Service, Iran</w:t>
            </w:r>
            <w:r>
              <w:rPr>
                <w:i w:val="false"/>
                <w:iCs w:val="false"/>
              </w:rPr>
              <w:t xml:space="preserve"> (version 4.0, August 2026) para 9.1.1 &lt;</w:t>
            </w:r>
            <w:hyperlink w:history="1" r:id="rId7edqbt6nc4otrf8tibzu-">
              <w:r>
                <w:rPr>
                  <w:rStyle w:val="Hyperlink"/>
                  <w:i w:val="false"/>
                  <w:iCs w:val="false"/>
                </w:rPr>
                <w:t xml:space="preserve">https://www.gov.uk/government/publications/iran-country-policy-and-information-notes/country-policy-and-information-note-military-service-iran-august-2026-accessible#:~:text=Under%20articles%20107%20and%20110,command%20of%20the%20Armed%20Forces.</w:t>
              </w:r>
            </w:hyperlink>
            <w:r>
              <w:rPr>
                <w:i w:val="false"/>
                <w:iCs w:val="false"/>
              </w:rPr>
              <w:t xml:space="preserve">&gt; accessed 2 October 2026.</w:t>
            </w:r>
          </w:p>
          <w:p>
            <w:pPr>
              <w:pStyle w:val="CpinLabel"/>
              <w:keepNext/>
              <w:spacing w:after="80" w:before="200"/>
            </w:pPr>
            <w:r>
              <w:rPr>
                <w:rFonts w:ascii="Geist Pixel Square" w:cs="Geist Pixel Square" w:eastAsia="Geist Pixel Square" w:hAnsi="Geist Pixel Square"/>
                <w:caps/>
                <w:color w:val="66717C"/>
                <w:spacing w:val="14"/>
                <w:sz w:val="14"/>
                <w:szCs w:val="14"/>
              </w:rPr>
              <w:t xml:space="preserve">Sources cited in this passage · 1</w:t>
            </w:r>
          </w:p>
          <w:p>
            <w:pPr>
              <w:pStyle w:val="CpinSource"/>
              <w:tabs>
                <w:tab w:val="left" w:pos="454"/>
              </w:tabs>
            </w:pPr>
            <w:r>
              <w:rPr>
                <w:color w:val="2A3CF5"/>
              </w:rPr>
              <w:t xml:space="preserve">[12]</w:t>
            </w:r>
            <w:r>
              <w:tab/>
            </w:r>
            <w:hyperlink w:history="1" r:id="rIdxvllwjwn-bbqbnexw1fxi">
              <w:r>
                <w:rPr>
                  <w:rStyle w:val="Hyperlink"/>
                </w:rPr>
                <w:t xml:space="preserve">Iran Data Portal, The Constitution … (pages 23), 2/3 December 1979, amended 28 July</w:t>
              </w:r>
            </w:hyperlink>
          </w:p>
          <w:p>
            <w:pPr>
              <w:pStyle w:val="CpinLabel"/>
              <w:keepNext/>
              <w:spacing w:after="60" w:before="200"/>
            </w:pPr>
            <w:r>
              <w:rPr>
                <w:rFonts w:ascii="Geist Pixel Square" w:cs="Geist Pixel Square" w:eastAsia="Geist Pixel Square" w:hAnsi="Geist Pixel Square"/>
                <w:caps/>
                <w:color w:val="66717C"/>
                <w:spacing w:val="14"/>
                <w:sz w:val="14"/>
                <w:szCs w:val="14"/>
              </w:rPr>
              <w:t xml:space="preserve">Private note</w:t>
            </w:r>
          </w:p>
          <w:p>
            <w:pPr>
              <w:pStyle w:val="CpinBody"/>
            </w:pPr>
            <w:r>
              <w:t xml:space="preserve">Supreme Leader commands the armed forces: relevant to imputed political opinion if the appellant deserts.</w:t>
            </w:r>
          </w:p>
        </w:tc>
      </w:tr>
    </w:tbl>
    <w:sectPr>
      <w:footerReference w:type="default" r:id="rId6"/>
      <w:pgSz w:w="11906" w:h="16838" w:orient="portrait"/>
      <w:pgMar w:top="1080" w:right="1134" w:bottom="1080" w:left="1134" w:header="567" w:footer="48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w="http://schemas.openxmlformats.org/wordprocessingml/2006/main" xmlns:r="http://schemas.openxmlformats.org/officeDocument/2006/relationships">
  <w:font w:name="Geist">
    <w:charset w:val="00"/>
    <w:family w:val="swiss"/>
    <w:pitch w:val="variable"/>
    <w:embedRegular r:id="rId1" w:fontKey="{27910034-9E6E-98AA-B013-E03D85BFF5A9}"/>
    <w:embedItalic r:id="rId2" w:fontKey="{EE5B008B-0492-4C81-E1BF-00AD4A5674E7}"/>
  </w:font>
  <w:font w:name="Geist SemiBold">
    <w:charset w:val="00"/>
    <w:family w:val="swiss"/>
    <w:pitch w:val="variable"/>
    <w:embedRegular r:id="rId3" w:fontKey="{CA096744-8D7E-EE5F-288A-49FFB7523141}"/>
  </w:font>
  <w:font w:name="Geist Pixel Square">
    <w:charset w:val="00"/>
    <w:family w:val="swiss"/>
    <w:pitch w:val="variable"/>
    <w:embedRegular r:id="rId4" w:fontKey="{6D84E5BE-EA9F-620B-3F71-86E4407DAFD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E4E7EB" w:sz="4"/>
        <w:left w:val="none" w:color="auto" w:sz="0"/>
        <w:bottom w:val="none" w:color="auto" w:sz="0"/>
        <w:right w:val="none" w:color="auto" w:sz="0"/>
        <w:insideH w:val="none" w:color="auto" w:sz="0"/>
        <w:insideV w:val="none" w:color="auto" w:sz="0"/>
      </w:tblBorders>
      <w:tblLayout w:type="fixed"/>
    </w:tblPr>
    <w:tblGrid>
      <w:gridCol w:w="820"/>
      <w:gridCol w:w="6818"/>
      <w:gridCol w:w="2000"/>
    </w:tblGrid>
    <w:tr>
      <w:tc>
        <w:tcPr>
          <w:tcW w:type="dxa" w:w="820"/>
          <w:tcMar>
            <w:top w:type="dxa" w:w="110"/>
            <w:left w:type="dxa" w:w="0"/>
            <w:bottom w:type="dxa" w:w="0"/>
            <w:right w:type="dxa" w:w="0"/>
          </w:tcMar>
        </w:tcPr>
        <w:p>
          <w:pPr>
            <w:pStyle w:val="CpinFooter"/>
          </w:pPr>
          <w:r>
            <w:drawing>
              <wp:inline distT="0" distB="0" distL="0" distR="0">
                <wp:extent cx="295275" cy="142875"/>
                <wp:effectExtent t="0" r="0" b="0" l="0"/>
                <wp:docPr id="1" name="Roberts Macros" descr="RM, the Roberts Macros mark" title="Roberts Mac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95275" cy="142875"/>
                        </a:xfrm>
                        <a:prstGeom prst="rect">
                          <a:avLst/>
                        </a:prstGeom>
                      </pic:spPr>
                    </pic:pic>
                  </a:graphicData>
                </a:graphic>
              </wp:inline>
            </w:drawing>
          </w:r>
        </w:p>
      </w:tc>
      <w:tc>
        <w:tcPr>
          <w:tcW w:type="dxa" w:w="6818"/>
          <w:tcMar>
            <w:top w:type="dxa" w:w="110"/>
            <w:left w:type="dxa" w:w="0"/>
            <w:bottom w:type="dxa" w:w="0"/>
            <w:right w:type="dxa" w:w="240"/>
          </w:tcMar>
        </w:tcPr>
        <w:p>
          <w:pPr>
            <w:pStyle w:val="CpinFooter"/>
          </w:pPr>
          <w:r>
            <w:rPr>
              <w:i w:val="false"/>
              <w:iCs w:val="false"/>
              <w:color w:val="66717C"/>
              <w:sz w:val="13"/>
              <w:szCs w:val="13"/>
            </w:rPr>
            <w:t xml:space="preserve">Sources: Home Office, </w:t>
          </w:r>
          <w:hyperlink w:history="1" r:id="rId9oxxqrdrtb-hb4fmdioam">
            <w:r>
              <w:rPr>
                <w:rStyle w:val="Hyperlink"/>
                <w:i w:val="false"/>
                <w:iCs w:val="false"/>
                <w:sz w:val="13"/>
                <w:szCs w:val="13"/>
              </w:rPr>
              <w:t xml:space="preserve">GOV.UK</w:t>
            </w:r>
          </w:hyperlink>
          <w:r>
            <w:rPr>
              <w:i w:val="false"/>
              <w:iCs w:val="false"/>
              <w:color w:val="66717C"/>
              <w:sz w:val="13"/>
              <w:szCs w:val="13"/>
            </w:rPr>
            <w:t xml:space="preserve">. Contains public sector information licensed under the </w:t>
          </w:r>
          <w:hyperlink w:history="1" r:id="rIdncempbdg052w1pdhooxv2">
            <w:r>
              <w:rPr>
                <w:rStyle w:val="Hyperlink"/>
                <w:i w:val="false"/>
                <w:iCs w:val="false"/>
                <w:sz w:val="13"/>
                <w:szCs w:val="13"/>
              </w:rPr>
              <w:t xml:space="preserve">Open Government Licence v3.0</w:t>
            </w:r>
          </w:hyperlink>
          <w:r>
            <w:rPr>
              <w:i w:val="false"/>
              <w:iCs w:val="false"/>
              <w:color w:val="66717C"/>
              <w:sz w:val="13"/>
              <w:szCs w:val="13"/>
            </w:rPr>
            <w:t xml:space="preserve">. CPIN Explorer is an independent mirror, not affiliated with or endorsed by the Home Office.</w:t>
          </w:r>
        </w:p>
      </w:tc>
      <w:tc>
        <w:tcPr>
          <w:tcW w:type="dxa" w:w="2000"/>
          <w:tcMar>
            <w:top w:type="dxa" w:w="110"/>
            <w:left w:type="dxa" w:w="0"/>
            <w:bottom w:type="dxa" w:w="0"/>
            <w:right w:type="dxa" w:w="0"/>
          </w:tcMar>
        </w:tcPr>
        <w:p>
          <w:pPr>
            <w:pStyle w:val="CpinFooter"/>
            <w:jc w:val="right"/>
          </w:pPr>
          <w:r>
            <w:rPr>
              <w:rFonts w:ascii="Geist Pixel Square" w:cs="Geist Pixel Square" w:eastAsia="Geist Pixel Square" w:hAnsi="Geist Pixel Square"/>
              <w:caps/>
              <w:color w:val="66717C"/>
              <w:spacing w:val="14"/>
              <w:sz w:val="13"/>
              <w:szCs w:val="13"/>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67" w:hanging="567"/>
      </w:pPr>
      <w:rPr>
        <w:rFonts w:ascii="Geist Pixel Square" w:cs="Geist Pixel Square" w:eastAsia="Geist Pixel Square" w:hAnsi="Geist Pixel Square"/>
        <w:color w:val="2A3CF5"/>
        <w:sz w:val="16"/>
        <w:szCs w:val="16"/>
      </w:rPr>
    </w:lvl>
  </w:abstractNum>
  <w:num w:numId="1">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isplayBackgroundShape/>
  <w:embedTrueTypeFonts/>
  <w:defaultTabStop w:val="720"/>
  <w:characterSpacingControl w:val="doNotCompress"/>
  <w:compat>
    <w:compatSetting w:name="compatibilityMode" w:uri="http://schemas.microsoft.com/office/word" w:val="15"/>
  </w:compat>
  <w:themeFontLang w:val="en-G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ist" w:cs="Geist" w:eastAsia="Geist" w:hAnsi="Geist"/>
        <w:color w:val="171D24"/>
        <w:sz w:val="19"/>
        <w:szCs w:val="19"/>
        <w:lang w:val="en-GB"/>
      </w:rPr>
    </w:rPrDefault>
    <w:pPrDefault>
      <w:pPr>
        <w:spacing w:after="0" w:before="0" w:line="300" w:lineRule="auto"/>
      </w:pPr>
    </w:pPrDefault>
  </w:docDefaults>
  <w:style w:type="paragraph" w:styleId="Normal" w:default="1">
    <w:name w:val="Normal"/>
    <w:qFormat/>
  </w:style>
  <w:style w:type="paragraph" w:styleId="Title">
    <w:name w:val="Title"/>
    <w:basedOn w:val="Normal"/>
    <w:next w:val="Normal"/>
    <w:qFormat/>
    <w:pPr>
      <w:spacing w:after="120" w:before="0" w:line="240"/>
    </w:pPr>
    <w:rPr>
      <w:rFonts w:ascii="Geist Pixel Square" w:cs="Geist Pixel Square" w:eastAsia="Geist Pixel Square" w:hAnsi="Geist Pixel Square"/>
      <w:caps/>
      <w:color w:val="2A3CF5"/>
      <w:spacing w:val="20"/>
      <w:sz w:val="44"/>
      <w:szCs w:val="44"/>
    </w:rPr>
  </w:style>
  <w:style w:type="paragraph" w:styleId="Heading1">
    <w:name w:val="Heading 1"/>
    <w:basedOn w:val="Normal"/>
    <w:next w:val="Normal"/>
    <w:qFormat/>
    <w:pPr>
      <w:keepNext/>
      <w:pBdr>
        <w:bottom w:val="single" w:color="2A3CF5" w:sz="6" w:space="8"/>
      </w:pBdr>
      <w:spacing w:after="120" w:before="0" w:line="240"/>
      <w:outlineLvl w:val="0"/>
    </w:pPr>
    <w:rPr>
      <w:rFonts w:ascii="Geist Pixel Square" w:cs="Geist Pixel Square" w:eastAsia="Geist Pixel Square" w:hAnsi="Geist Pixel Square"/>
      <w:b w:val="false"/>
      <w:bCs w:val="false"/>
      <w:caps/>
      <w:color w:val="2A3CF5"/>
      <w:spacing w:val="24"/>
      <w:sz w:val="40"/>
      <w:szCs w:val="40"/>
    </w:rPr>
  </w:style>
  <w:style w:type="paragraph" w:styleId="Heading2">
    <w:name w:val="Heading 2"/>
    <w:basedOn w:val="Normal"/>
    <w:next w:val="Normal"/>
    <w:qFormat/>
    <w:pPr>
      <w:keepNext/>
      <w:spacing w:after="60" w:before="0" w:line="276"/>
      <w:outlineLvl w:val="1"/>
    </w:pPr>
    <w:rPr>
      <w:rFonts w:ascii="Geist SemiBold" w:cs="Geist SemiBold" w:eastAsia="Geist SemiBold" w:hAnsi="Geist SemiBold"/>
      <w:b w:val="false"/>
      <w:bCs w:val="false"/>
      <w:color w:val="171D24"/>
      <w:sz w:val="27"/>
      <w:szCs w:val="27"/>
    </w:rPr>
  </w:style>
  <w:style w:type="paragraph" w:styleId="Heading3">
    <w:name w:val="Heading 3"/>
    <w:basedOn w:val="Normal"/>
    <w:next w:val="Normal"/>
    <w:qFormat/>
    <w:pPr>
      <w:keepNext/>
      <w:spacing w:after="80" w:before="0" w:line="276"/>
      <w:outlineLvl w:val="2"/>
    </w:pPr>
    <w:rPr>
      <w:rFonts w:ascii="Geist Pixel Square" w:cs="Geist Pixel Square" w:eastAsia="Geist Pixel Square" w:hAnsi="Geist Pixel Square"/>
      <w:b w:val="false"/>
      <w:bCs w:val="false"/>
      <w:caps/>
      <w:color w:val="66717C"/>
      <w:spacing w:val="14"/>
      <w:sz w:val="14"/>
      <w:szCs w:val="1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A3CF5"/>
      <w:u w:val="non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uiPriority w:val="39"/>
    <w:pPr>
      <w:spacing w:after="50" w:before="150"/>
    </w:pPr>
    <w:rPr>
      <w:rFonts w:ascii="Geist Pixel Square" w:cs="Geist Pixel Square" w:eastAsia="Geist Pixel Square" w:hAnsi="Geist Pixel Square"/>
      <w:caps/>
      <w:color w:val="2A3CF5"/>
      <w:spacing w:val="14"/>
      <w:sz w:val="15"/>
      <w:szCs w:val="15"/>
    </w:rPr>
  </w:style>
  <w:style w:type="paragraph" w:styleId="TOC2">
    <w:name w:val="toc 2"/>
    <w:basedOn w:val="Normal"/>
    <w:next w:val="Normal"/>
    <w:uiPriority w:val="39"/>
    <w:pPr>
      <w:spacing w:after="30" w:line="264"/>
      <w:ind w:left="284"/>
    </w:pPr>
    <w:rPr>
      <w:color w:val="171D24"/>
      <w:sz w:val="18"/>
      <w:szCs w:val="18"/>
    </w:rPr>
  </w:style>
  <w:style w:type="paragraph" w:styleId="TOC3">
    <w:name w:val="toc 3"/>
    <w:basedOn w:val="Normal"/>
    <w:next w:val="Normal"/>
    <w:uiPriority w:val="39"/>
    <w:pPr>
      <w:spacing w:after="20" w:line="252"/>
      <w:ind w:left="568"/>
    </w:pPr>
    <w:rPr>
      <w:color w:val="66717C"/>
      <w:sz w:val="15"/>
      <w:szCs w:val="15"/>
    </w:rPr>
  </w:style>
  <w:style w:type="paragraph" w:styleId="CpinBody">
    <w:name w:val="CPIN body"/>
    <w:basedOn w:val="Normal"/>
    <w:pPr>
      <w:spacing w:line="300"/>
    </w:pPr>
    <w:rPr>
      <w:sz w:val="19"/>
      <w:szCs w:val="19"/>
    </w:rPr>
  </w:style>
  <w:style w:type="paragraph" w:styleId="CpinLabel">
    <w:name w:val="CPIN label"/>
    <w:basedOn w:val="Normal"/>
    <w:pPr>
      <w:keepNext/>
    </w:pPr>
    <w:rPr>
      <w:rFonts w:ascii="Geist Pixel Square" w:cs="Geist Pixel Square" w:eastAsia="Geist Pixel Square" w:hAnsi="Geist Pixel Square"/>
      <w:color w:val="66717C"/>
      <w:sz w:val="14"/>
      <w:szCs w:val="14"/>
    </w:rPr>
  </w:style>
  <w:style w:type="paragraph" w:styleId="CpinVerbatim">
    <w:name w:val="CPIN GOV.UK title"/>
    <w:basedOn w:val="Normal"/>
    <w:pPr>
      <w:spacing w:after="40" w:line="264"/>
    </w:pPr>
    <w:rPr>
      <w:color w:val="66717C"/>
      <w:sz w:val="15"/>
      <w:szCs w:val="15"/>
    </w:rPr>
  </w:style>
  <w:style w:type="paragraph" w:styleId="CpinMeta">
    <w:name w:val="CPIN note details"/>
    <w:basedOn w:val="Normal"/>
    <w:pPr>
      <w:spacing w:after="200" w:line="264"/>
    </w:pPr>
    <w:rPr>
      <w:color w:val="66717C"/>
      <w:sz w:val="15"/>
      <w:szCs w:val="15"/>
    </w:rPr>
  </w:style>
  <w:style w:type="paragraph" w:styleId="CpinQuote">
    <w:name w:val="CPIN quote"/>
    <w:basedOn w:val="Normal"/>
    <w:pPr>
      <w:pBdr>
        <w:left w:val="single" w:color="2A3CF5" w:sz="12" w:space="10"/>
      </w:pBdr>
      <w:spacing w:after="200" w:line="336"/>
      <w:ind w:left="240"/>
    </w:pPr>
    <w:rPr>
      <w:color w:val="171D24"/>
      <w:sz w:val="21"/>
      <w:szCs w:val="21"/>
    </w:rPr>
  </w:style>
  <w:style w:type="paragraph" w:styleId="CpinQuoteChanged">
    <w:name w:val="CPIN quote (changed)"/>
    <w:basedOn w:val="CpinQuote"/>
    <w:pPr>
      <w:pBdr>
        <w:left w:val="single" w:color="CFD4DA" w:sz="12" w:space="10"/>
      </w:pBdr>
    </w:pPr>
    <w:rPr>
      <w:color w:val="66717C"/>
    </w:rPr>
  </w:style>
  <w:style w:type="paragraph" w:styleId="CpinCitation">
    <w:name w:val="CPIN citation"/>
    <w:basedOn w:val="Normal"/>
    <w:pPr>
      <w:pBdr>
        <w:top w:val="single" w:color="E4E7EB" w:sz="4" w:space="5"/>
        <w:left w:val="single" w:color="E4E7EB" w:sz="4" w:space="5"/>
        <w:bottom w:val="single" w:color="E4E7EB" w:sz="4" w:space="5"/>
        <w:right w:val="single" w:color="E4E7EB" w:sz="4" w:space="5"/>
      </w:pBdr>
      <w:shd w:fill="F6F7F9" w:color="auto" w:val="clear"/>
      <w:spacing w:after="0" w:before="0" w:line="276"/>
      <w:ind w:left="100" w:right="100"/>
    </w:pPr>
    <w:rPr>
      <w:color w:val="171D24"/>
      <w:sz w:val="16"/>
      <w:szCs w:val="16"/>
    </w:rPr>
  </w:style>
  <w:style w:type="paragraph" w:styleId="CpinSource">
    <w:name w:val="CPIN source"/>
    <w:basedOn w:val="Normal"/>
    <w:pPr>
      <w:spacing w:after="60" w:line="264"/>
      <w:ind w:left="454" w:hanging="454"/>
    </w:pPr>
    <w:rPr>
      <w:color w:val="66717C"/>
      <w:sz w:val="15"/>
      <w:szCs w:val="15"/>
    </w:rPr>
  </w:style>
  <w:style w:type="paragraph" w:styleId="CpinFooter">
    <w:name w:val="CPIN footer"/>
    <w:basedOn w:val="Normal"/>
    <w:pPr>
      <w:spacing w:line="252"/>
    </w:pPr>
    <w:rPr>
      <w:color w:val="66717C"/>
      <w:sz w:val="13"/>
      <w:szCs w:val="13"/>
    </w:rPr>
  </w:style>
  <w:style w:type="paragraph" w:styleId="CpinListCitation">
    <w:name w:val="CPIN listed citation"/>
    <w:basedOn w:val="Normal"/>
    <w:pPr>
      <w:spacing w:after="60" w:line="288"/>
    </w:pPr>
    <w:rPr>
      <w:color w:val="171D24"/>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npukq5lyz8ayufjpfmpaf" Type="http://schemas.openxmlformats.org/officeDocument/2006/relationships/hyperlink" Target="https://www.gov.uk/government/publications/afghanistan-country-policy-and-information-notes/country-policy-and-information-note-humanitarian-situation-afghanistan-april-2026-accessible" TargetMode="External"/><Relationship Id="rId30jvtkjuds5rtxen-rwyw" Type="http://schemas.openxmlformats.org/officeDocument/2006/relationships/hyperlink" Target="https://www.gov.uk/government/publications/afghanistan-country-policy-and-information-notes/country-policy-and-information-note-humanitarian-situation-afghanistan-april-2026-accessible#:~:text=The%20HNRP%202026%20reported%20that,an%20estimated%203.3%20million%20people." TargetMode="External"/><Relationship Id="rId9rnvxh0s03jmko-rcmqaf" Type="http://schemas.openxmlformats.org/officeDocument/2006/relationships/hyperlink" Target="https://reliefweb.int/attachments/0a995c74-1bea-401b-be47-bbe697adae9c/AFG_Humanitarian_Needs_and_Response%20Plan_2026.pdf" TargetMode="External"/><Relationship Id="rIduahabk1agjbt_fv_ssp2e" Type="http://schemas.openxmlformats.org/officeDocument/2006/relationships/hyperlink" Target="https://www.gov.uk/government/publications/iran-country-policy-and-information-notes/country-policy-and-information-note-illegal-exit-iran-may-2022-accessible" TargetMode="External"/><Relationship Id="rIdndrkft53ec37bivqvn2tp" Type="http://schemas.openxmlformats.org/officeDocument/2006/relationships/hyperlink" Target="https://web.archive.org/web/20250329184654/https://www.gov.uk/government/publications/iran-country-policy-and-information-notes/country-policy-and-information-note-illegal-exit-iran-may-2022-accessible#:~:text=Leaving%20the%20country%20without%20a,issued%20(see%20Treatment%20of%20returnees)." TargetMode="External"/><Relationship Id="rId4xc6ixne95mn55n2leg2f" Type="http://schemas.openxmlformats.org/officeDocument/2006/relationships/hyperlink" Target="https://www.gov.uk/government/publications/iran-country-policy-and-information-notes/country-policy-and-information-note-military-service-iran-august-2026-accessible" TargetMode="External"/><Relationship Id="rIdsnkvw4q7ukt8usanedddd" Type="http://schemas.openxmlformats.org/officeDocument/2006/relationships/hyperlink" Target="https://www.gov.uk/government/publications/iran-country-policy-and-information-notes/country-policy-and-information-note-military-service-iran-august-2026-accessible#:~:text=Military%20service%20is%20compulsory%20for,months%20(see%20Eligibility%20and%20Duration)." TargetMode="External"/><Relationship Id="rId7edqbt6nc4otrf8tibzu-" Type="http://schemas.openxmlformats.org/officeDocument/2006/relationships/hyperlink" Target="https://www.gov.uk/government/publications/iran-country-policy-and-information-notes/country-policy-and-information-note-military-service-iran-august-2026-accessible#:~:text=Under%20articles%20107%20and%20110,command%20of%20the%20Armed%20Forces." TargetMode="External"/><Relationship Id="rIdxvllwjwn-bbqbnexw1fxi" Type="http://schemas.openxmlformats.org/officeDocument/2006/relationships/hyperlink" Target="https://irandataportal.syr.edu/wp-content/uploads/constitution-english-1368.pdf" TargetMode="External"/><Relationship Id="rId8" Type="http://schemas.openxmlformats.org/officeDocument/2006/relationships/image" Target="media/3244877dc06b20780e60c984b6ab02f75da53fb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_rels/footer1.xml.rels><?xml version="1.0" encoding="UTF-8"?><Relationships xmlns="http://schemas.openxmlformats.org/package/2006/relationships"><Relationship Id="rId9oxxqrdrtb-hb4fmdioam" Type="http://schemas.openxmlformats.org/officeDocument/2006/relationships/hyperlink" Target="https://www.gov.uk/government/collections/country-policy-and-information-notes" TargetMode="External"/><Relationship Id="rIdncempbdg052w1pdhooxv2" Type="http://schemas.openxmlformats.org/officeDocument/2006/relationships/hyperlink" Target="https://www.nationalarchives.gov.uk/doc/open-government-licence/version/3/" TargetMode="External"/><Relationship Id="rId0" Type="http://schemas.openxmlformats.org/officeDocument/2006/relationships/image" Target="media/6b399277fffca26df8f5a9d710183dd7f4c83b6c.png"/></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CPIN Explorer citations</dc:title>
  <dc:subject>Passages saved from Home Office country policy and information notes</dc:subject>
  <dc:creator>CPIN Explorer</dc:creator>
  <cp:keywords>CPIN, Home Office, country policy and information notes, citations</cp:keywords>
  <dc:description>4 highlights, OSCOLA citations, exported 2 October 2026. Sources: Home Office, GOV.UK (Open Government Licence v3.0).</dc:description>
  <cp:lastModifiedBy>CPIN Explorer</cp:lastModifiedBy>
  <cp:revision>1</cp:revision>
  <dcterms:created xsi:type="dcterms:W3CDTF">2026-10-03T07:59:14.772Z</dcterms:created>
  <dcterms:modified xsi:type="dcterms:W3CDTF">2026-10-03T07:59:14.773Z</dcterms:modified>
</cp:coreProperties>
</file>

<file path=docProps/custom.xml><?xml version="1.0" encoding="utf-8"?>
<Properties xmlns="http://schemas.openxmlformats.org/officeDocument/2006/custom-properties" xmlns:vt="http://schemas.openxmlformats.org/officeDocument/2006/docPropsVTypes"/>
</file>